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page" w:horzAnchor="margin" w:tblpXSpec="center" w:tblpY="653"/>
        <w:tblW w:w="3940" w:type="dxa"/>
        <w:tblBorders>
          <w:insideH w:val="single" w:sz="4" w:space="0" w:color="auto"/>
          <w:insideV w:val="single" w:sz="4" w:space="0" w:color="auto"/>
        </w:tblBorders>
        <w:tblLayout w:type="fixed"/>
        <w:tblCellMar>
          <w:left w:w="70" w:type="dxa"/>
          <w:right w:w="70" w:type="dxa"/>
        </w:tblCellMar>
        <w:tblLook w:val="0000"/>
      </w:tblPr>
      <w:tblGrid>
        <w:gridCol w:w="3940"/>
      </w:tblGrid>
      <w:tr w:rsidR="00857CDA" w:rsidRPr="00794933" w:rsidTr="00857CDA">
        <w:trPr>
          <w:trHeight w:val="2520"/>
        </w:trPr>
        <w:tc>
          <w:tcPr>
            <w:tcW w:w="3940" w:type="dxa"/>
            <w:tcBorders>
              <w:top w:val="nil"/>
              <w:bottom w:val="nil"/>
              <w:right w:val="nil"/>
            </w:tcBorders>
          </w:tcPr>
          <w:p w:rsidR="00857CDA" w:rsidRPr="00794933" w:rsidRDefault="00857CDA" w:rsidP="00857CDA">
            <w:pPr>
              <w:rPr>
                <w:b/>
                <w:bCs/>
                <w:sz w:val="26"/>
                <w:szCs w:val="26"/>
              </w:rPr>
            </w:pPr>
            <w:r w:rsidRPr="00794933">
              <w:rPr>
                <w:b/>
                <w:bCs/>
                <w:sz w:val="22"/>
                <w:szCs w:val="22"/>
              </w:rPr>
              <w:t xml:space="preserve">     </w:t>
            </w:r>
            <w:r w:rsidRPr="00794933">
              <w:rPr>
                <w:b/>
                <w:bCs/>
                <w:sz w:val="26"/>
                <w:szCs w:val="26"/>
              </w:rPr>
              <w:t>République du Sénégal</w:t>
            </w:r>
          </w:p>
          <w:p w:rsidR="00857CDA" w:rsidRPr="00794933" w:rsidRDefault="00857CDA" w:rsidP="00857CDA">
            <w:pPr>
              <w:rPr>
                <w:b/>
                <w:bCs/>
                <w:sz w:val="16"/>
                <w:szCs w:val="16"/>
              </w:rPr>
            </w:pPr>
            <w:r w:rsidRPr="00794933">
              <w:rPr>
                <w:b/>
                <w:sz w:val="16"/>
                <w:szCs w:val="16"/>
              </w:rPr>
              <w:t xml:space="preserve">          Un Peuple – Un But – Une Foi</w:t>
            </w:r>
          </w:p>
          <w:p w:rsidR="00857CDA" w:rsidRPr="00794933" w:rsidRDefault="00B53BB3" w:rsidP="00857CDA">
            <w:pPr>
              <w:rPr>
                <w:b/>
                <w:sz w:val="22"/>
                <w:szCs w:val="22"/>
              </w:rPr>
            </w:pPr>
            <w:r>
              <w:rPr>
                <w:b/>
                <w:sz w:val="22"/>
                <w:szCs w:val="22"/>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8.6pt;margin-top:11.8pt;width:86.25pt;height:83.8pt;z-index:251658240" wrapcoords="-159 0 -159 21450 21600 21450 21600 0 -159 0">
                  <v:imagedata r:id="rId4" o:title=""/>
                </v:shape>
                <o:OLEObject Type="Embed" ProgID="MSPhotoEd.3" ShapeID="_x0000_s1027" DrawAspect="Content" ObjectID="_1467192157" r:id="rId5"/>
              </w:pict>
            </w:r>
            <w:r w:rsidR="00857CDA" w:rsidRPr="00794933">
              <w:rPr>
                <w:b/>
                <w:sz w:val="22"/>
                <w:szCs w:val="22"/>
              </w:rPr>
              <w:t xml:space="preserve">               ------------</w:t>
            </w:r>
          </w:p>
          <w:p w:rsidR="00857CDA" w:rsidRPr="00794933" w:rsidRDefault="00857CDA" w:rsidP="00857CDA">
            <w:pPr>
              <w:rPr>
                <w:b/>
                <w:sz w:val="22"/>
                <w:szCs w:val="22"/>
              </w:rPr>
            </w:pPr>
            <w:r w:rsidRPr="00794933">
              <w:rPr>
                <w:b/>
                <w:bCs/>
                <w:sz w:val="22"/>
                <w:szCs w:val="22"/>
              </w:rPr>
              <w:t xml:space="preserve">         </w:t>
            </w:r>
          </w:p>
          <w:p w:rsidR="00857CDA" w:rsidRPr="00794933" w:rsidRDefault="00857CDA" w:rsidP="00857CDA">
            <w:pPr>
              <w:jc w:val="center"/>
              <w:rPr>
                <w:b/>
                <w:sz w:val="22"/>
                <w:szCs w:val="22"/>
              </w:rPr>
            </w:pPr>
          </w:p>
          <w:p w:rsidR="00857CDA" w:rsidRPr="00794933" w:rsidRDefault="00857CDA" w:rsidP="00857CDA">
            <w:pPr>
              <w:jc w:val="center"/>
              <w:rPr>
                <w:b/>
                <w:sz w:val="22"/>
                <w:szCs w:val="22"/>
              </w:rPr>
            </w:pPr>
          </w:p>
          <w:p w:rsidR="00857CDA" w:rsidRPr="00794933" w:rsidRDefault="00857CDA" w:rsidP="00857CDA">
            <w:pPr>
              <w:jc w:val="center"/>
              <w:rPr>
                <w:b/>
                <w:sz w:val="22"/>
                <w:szCs w:val="22"/>
              </w:rPr>
            </w:pPr>
          </w:p>
          <w:p w:rsidR="00857CDA" w:rsidRPr="00794933" w:rsidRDefault="00857CDA" w:rsidP="00857CDA">
            <w:pPr>
              <w:spacing w:after="120"/>
              <w:ind w:right="1"/>
              <w:rPr>
                <w:b/>
                <w:sz w:val="22"/>
                <w:szCs w:val="22"/>
              </w:rPr>
            </w:pPr>
          </w:p>
          <w:p w:rsidR="00857CDA" w:rsidRPr="00794933" w:rsidRDefault="00857CDA" w:rsidP="00857CDA">
            <w:pPr>
              <w:spacing w:after="120"/>
              <w:ind w:right="1"/>
              <w:rPr>
                <w:b/>
                <w:sz w:val="22"/>
                <w:szCs w:val="22"/>
              </w:rPr>
            </w:pPr>
          </w:p>
        </w:tc>
      </w:tr>
    </w:tbl>
    <w:p w:rsidR="00857CDA" w:rsidRPr="00794933" w:rsidRDefault="00857CDA" w:rsidP="00857CDA">
      <w:pPr>
        <w:rPr>
          <w:rFonts w:ascii="Arial" w:hAnsi="Arial" w:cs="Arial"/>
          <w:b/>
          <w:bCs/>
          <w:sz w:val="22"/>
          <w:szCs w:val="22"/>
        </w:rPr>
      </w:pPr>
    </w:p>
    <w:p w:rsidR="00857CDA" w:rsidRPr="00794933" w:rsidRDefault="00857CDA" w:rsidP="00857CDA">
      <w:pPr>
        <w:rPr>
          <w:rFonts w:ascii="Arial" w:hAnsi="Arial" w:cs="Arial"/>
          <w:b/>
          <w:bCs/>
          <w:sz w:val="22"/>
          <w:szCs w:val="22"/>
        </w:rPr>
      </w:pPr>
    </w:p>
    <w:p w:rsidR="00857CDA" w:rsidRDefault="00857CDA" w:rsidP="00857CDA">
      <w:pPr>
        <w:rPr>
          <w:rFonts w:ascii="Arial" w:hAnsi="Arial" w:cs="Arial"/>
          <w:b/>
          <w:bCs/>
        </w:rPr>
      </w:pPr>
    </w:p>
    <w:p w:rsidR="00857CDA" w:rsidRDefault="00857CDA" w:rsidP="00857CDA">
      <w:pPr>
        <w:rPr>
          <w:rFonts w:ascii="Arial" w:hAnsi="Arial" w:cs="Arial"/>
          <w:b/>
          <w:bCs/>
        </w:rPr>
      </w:pPr>
    </w:p>
    <w:p w:rsidR="00857CDA" w:rsidRDefault="00857CDA" w:rsidP="00857CDA">
      <w:pPr>
        <w:rPr>
          <w:rFonts w:ascii="Arial" w:hAnsi="Arial" w:cs="Arial"/>
          <w:b/>
          <w:bCs/>
        </w:rPr>
      </w:pPr>
    </w:p>
    <w:p w:rsidR="00857CDA" w:rsidRDefault="00857CDA" w:rsidP="00857CDA">
      <w:pPr>
        <w:rPr>
          <w:rFonts w:ascii="Arial" w:hAnsi="Arial" w:cs="Arial"/>
          <w:b/>
          <w:bCs/>
        </w:rPr>
      </w:pPr>
    </w:p>
    <w:p w:rsidR="00857CDA" w:rsidRDefault="00857CDA" w:rsidP="00857CDA">
      <w:pPr>
        <w:rPr>
          <w:rFonts w:ascii="Arial" w:hAnsi="Arial" w:cs="Arial"/>
          <w:b/>
          <w:bCs/>
        </w:rPr>
      </w:pPr>
    </w:p>
    <w:p w:rsidR="00857CDA" w:rsidRPr="00857CDA" w:rsidRDefault="00857CDA" w:rsidP="00857CDA">
      <w:pPr>
        <w:pBdr>
          <w:top w:val="thickThinSmallGap" w:sz="24" w:space="1" w:color="auto" w:shadow="1"/>
          <w:left w:val="thickThinSmallGap" w:sz="24" w:space="31" w:color="auto" w:shadow="1"/>
          <w:bottom w:val="thickThinSmallGap" w:sz="24" w:space="1" w:color="auto" w:shadow="1"/>
          <w:right w:val="thickThinSmallGap" w:sz="24" w:space="4" w:color="auto" w:shadow="1"/>
        </w:pBdr>
        <w:ind w:left="567" w:right="425"/>
        <w:jc w:val="center"/>
        <w:rPr>
          <w:b/>
          <w:sz w:val="32"/>
          <w:szCs w:val="32"/>
        </w:rPr>
      </w:pPr>
      <w:r w:rsidRPr="00857CDA">
        <w:rPr>
          <w:b/>
          <w:sz w:val="32"/>
          <w:szCs w:val="32"/>
        </w:rPr>
        <w:t xml:space="preserve">Note méthodologique de </w:t>
      </w:r>
      <w:r w:rsidR="003B6508" w:rsidRPr="003B6508">
        <w:rPr>
          <w:b/>
          <w:sz w:val="32"/>
          <w:szCs w:val="32"/>
        </w:rPr>
        <w:t>l’Indice Harmonisé de la Production Industrielle</w:t>
      </w:r>
      <w:r w:rsidR="009271C0">
        <w:rPr>
          <w:b/>
          <w:sz w:val="32"/>
          <w:szCs w:val="32"/>
        </w:rPr>
        <w:t xml:space="preserve"> (IH</w:t>
      </w:r>
      <w:r w:rsidRPr="00857CDA">
        <w:rPr>
          <w:b/>
          <w:sz w:val="32"/>
          <w:szCs w:val="32"/>
        </w:rPr>
        <w:t>PI)</w:t>
      </w:r>
    </w:p>
    <w:p w:rsidR="00857CDA" w:rsidRDefault="00857CDA" w:rsidP="00857CDA">
      <w:pPr>
        <w:rPr>
          <w:rFonts w:ascii="Arial" w:hAnsi="Arial" w:cs="Arial"/>
          <w:b/>
          <w:bCs/>
        </w:rPr>
      </w:pPr>
    </w:p>
    <w:p w:rsidR="00857CDA" w:rsidRDefault="00857CDA" w:rsidP="00857CDA">
      <w:pPr>
        <w:spacing w:before="120" w:after="120"/>
        <w:jc w:val="both"/>
        <w:rPr>
          <w:rFonts w:ascii="Arial" w:hAnsi="Arial" w:cs="Arial"/>
          <w:i/>
          <w:iCs/>
          <w:sz w:val="18"/>
          <w:szCs w:val="18"/>
        </w:rPr>
      </w:pPr>
    </w:p>
    <w:p w:rsidR="00857CDA" w:rsidRDefault="009271C0" w:rsidP="00857CDA">
      <w:pPr>
        <w:jc w:val="both"/>
        <w:rPr>
          <w:rFonts w:ascii="Arial" w:hAnsi="Arial" w:cs="Arial"/>
          <w:sz w:val="18"/>
          <w:szCs w:val="18"/>
        </w:rPr>
      </w:pPr>
      <w:r>
        <w:rPr>
          <w:rFonts w:ascii="Arial" w:hAnsi="Arial" w:cs="Arial"/>
          <w:i/>
          <w:iCs/>
          <w:sz w:val="18"/>
          <w:szCs w:val="18"/>
        </w:rPr>
        <w:t>Depuis janvier 2008, l</w:t>
      </w:r>
      <w:r w:rsidRPr="005B3C39">
        <w:rPr>
          <w:rFonts w:ascii="Arial" w:hAnsi="Arial" w:cs="Arial"/>
          <w:i/>
          <w:iCs/>
          <w:sz w:val="18"/>
          <w:szCs w:val="18"/>
        </w:rPr>
        <w:t xml:space="preserve">’Agence Nationale de la Statistique et de la Démographie (ANSD) </w:t>
      </w:r>
      <w:r>
        <w:rPr>
          <w:rFonts w:ascii="Arial" w:hAnsi="Arial" w:cs="Arial"/>
          <w:i/>
          <w:iCs/>
          <w:sz w:val="18"/>
          <w:szCs w:val="18"/>
        </w:rPr>
        <w:t>publie cette</w:t>
      </w:r>
      <w:r w:rsidRPr="005B3C39">
        <w:rPr>
          <w:rFonts w:ascii="Arial" w:hAnsi="Arial" w:cs="Arial"/>
          <w:i/>
          <w:iCs/>
          <w:sz w:val="18"/>
          <w:szCs w:val="18"/>
        </w:rPr>
        <w:t xml:space="preserve"> note mensuelle</w:t>
      </w:r>
      <w:r>
        <w:rPr>
          <w:rFonts w:ascii="Arial" w:hAnsi="Arial" w:cs="Arial"/>
          <w:i/>
          <w:iCs/>
          <w:sz w:val="18"/>
          <w:szCs w:val="18"/>
        </w:rPr>
        <w:t xml:space="preserve"> </w:t>
      </w:r>
      <w:r w:rsidRPr="005B3C39">
        <w:rPr>
          <w:rFonts w:ascii="Arial" w:hAnsi="Arial" w:cs="Arial"/>
          <w:i/>
          <w:iCs/>
          <w:sz w:val="18"/>
          <w:szCs w:val="18"/>
        </w:rPr>
        <w:t>de l’Indice Harmonisé de la Production Industrielle (IHPI)</w:t>
      </w:r>
      <w:r>
        <w:rPr>
          <w:rFonts w:ascii="Arial" w:hAnsi="Arial" w:cs="Arial"/>
          <w:i/>
          <w:iCs/>
          <w:sz w:val="18"/>
          <w:szCs w:val="18"/>
        </w:rPr>
        <w:t>, diffusé</w:t>
      </w:r>
      <w:r w:rsidRPr="005B3C39">
        <w:rPr>
          <w:rFonts w:ascii="Arial" w:hAnsi="Arial" w:cs="Arial"/>
          <w:i/>
          <w:iCs/>
          <w:sz w:val="18"/>
          <w:szCs w:val="18"/>
        </w:rPr>
        <w:t xml:space="preserve">e concomitamment avec celle trimestrielle </w:t>
      </w:r>
      <w:r>
        <w:rPr>
          <w:rFonts w:ascii="Arial" w:hAnsi="Arial" w:cs="Arial"/>
          <w:i/>
          <w:iCs/>
          <w:sz w:val="18"/>
          <w:szCs w:val="18"/>
        </w:rPr>
        <w:t xml:space="preserve">pour </w:t>
      </w:r>
      <w:r w:rsidRPr="005B3C39">
        <w:rPr>
          <w:rFonts w:ascii="Arial" w:hAnsi="Arial" w:cs="Arial"/>
          <w:i/>
          <w:iCs/>
          <w:sz w:val="18"/>
          <w:szCs w:val="18"/>
        </w:rPr>
        <w:t>répondre aux besoins des utilisateurs de disposer des informations mensuelles sur l’activité industrielle du Sénégal.</w:t>
      </w:r>
      <w:r>
        <w:rPr>
          <w:rFonts w:ascii="Arial" w:hAnsi="Arial" w:cs="Arial"/>
          <w:i/>
          <w:iCs/>
          <w:sz w:val="18"/>
          <w:szCs w:val="18"/>
        </w:rPr>
        <w:t xml:space="preserve"> </w:t>
      </w:r>
      <w:r w:rsidRPr="005B3C39">
        <w:rPr>
          <w:rFonts w:ascii="Arial" w:hAnsi="Arial" w:cs="Arial"/>
          <w:i/>
          <w:iCs/>
          <w:sz w:val="18"/>
          <w:szCs w:val="18"/>
        </w:rPr>
        <w:t>L’indice, base 100 en 2006, couvre les industries extractives, alimentaires, chimiques, mécaniques, les industries textiles et du cuir, les industries d</w:t>
      </w:r>
      <w:r>
        <w:rPr>
          <w:rFonts w:ascii="Arial" w:hAnsi="Arial" w:cs="Arial"/>
          <w:i/>
          <w:iCs/>
          <w:sz w:val="18"/>
          <w:szCs w:val="18"/>
        </w:rPr>
        <w:t>u</w:t>
      </w:r>
      <w:r w:rsidRPr="005B3C39">
        <w:rPr>
          <w:rFonts w:ascii="Arial" w:hAnsi="Arial" w:cs="Arial"/>
          <w:i/>
          <w:iCs/>
          <w:sz w:val="18"/>
          <w:szCs w:val="18"/>
        </w:rPr>
        <w:t xml:space="preserve"> bois, du papier et du carton, de l’énergie, des matériaux de construction et les autres industries manufacturières. La nomenclature d’activités et de produits utilisée est celle des Etats membres d’AFRISTAT.</w:t>
      </w:r>
      <w:r>
        <w:rPr>
          <w:rFonts w:ascii="Arial" w:hAnsi="Arial" w:cs="Arial"/>
          <w:i/>
          <w:iCs/>
          <w:sz w:val="18"/>
          <w:szCs w:val="18"/>
        </w:rPr>
        <w:t xml:space="preserve"> </w:t>
      </w:r>
      <w:r w:rsidRPr="005B3C39">
        <w:rPr>
          <w:rFonts w:ascii="Arial" w:hAnsi="Arial" w:cs="Arial"/>
          <w:i/>
          <w:iCs/>
          <w:sz w:val="18"/>
          <w:szCs w:val="18"/>
        </w:rPr>
        <w:t xml:space="preserve">Les indices sont de type </w:t>
      </w:r>
      <w:proofErr w:type="spellStart"/>
      <w:r w:rsidRPr="005B3C39">
        <w:rPr>
          <w:rFonts w:ascii="Arial" w:hAnsi="Arial" w:cs="Arial"/>
          <w:i/>
          <w:iCs/>
          <w:sz w:val="18"/>
          <w:szCs w:val="18"/>
        </w:rPr>
        <w:t>Laspeyres</w:t>
      </w:r>
      <w:proofErr w:type="spellEnd"/>
      <w:r w:rsidRPr="005B3C39">
        <w:rPr>
          <w:rFonts w:ascii="Arial" w:hAnsi="Arial" w:cs="Arial"/>
          <w:i/>
          <w:iCs/>
          <w:sz w:val="18"/>
          <w:szCs w:val="18"/>
        </w:rPr>
        <w:t>, à pondération constante par les valeurs ajoutées de l’année de base. L’échantillon représente 69 entreprises couvrant 89,8% de la valeur ajoutée industrielle du pays.</w:t>
      </w:r>
      <w:r>
        <w:rPr>
          <w:rFonts w:ascii="Arial" w:hAnsi="Arial" w:cs="Arial"/>
          <w:i/>
          <w:iCs/>
          <w:sz w:val="18"/>
          <w:szCs w:val="18"/>
        </w:rPr>
        <w:t xml:space="preserve"> </w:t>
      </w:r>
      <w:r w:rsidRPr="005B3C39">
        <w:rPr>
          <w:rFonts w:ascii="Arial" w:hAnsi="Arial" w:cs="Arial"/>
          <w:i/>
          <w:iCs/>
          <w:sz w:val="18"/>
          <w:szCs w:val="18"/>
        </w:rPr>
        <w:t>L’indice est publié au plus tard 4</w:t>
      </w:r>
      <w:r>
        <w:rPr>
          <w:rFonts w:ascii="Arial" w:hAnsi="Arial" w:cs="Arial"/>
          <w:i/>
          <w:iCs/>
          <w:sz w:val="18"/>
          <w:szCs w:val="18"/>
        </w:rPr>
        <w:t>2</w:t>
      </w:r>
      <w:r w:rsidRPr="005B3C39">
        <w:rPr>
          <w:rFonts w:ascii="Arial" w:hAnsi="Arial" w:cs="Arial"/>
          <w:i/>
          <w:iCs/>
          <w:sz w:val="18"/>
          <w:szCs w:val="18"/>
        </w:rPr>
        <w:t xml:space="preserve"> jours après la fin du mois sous revue</w:t>
      </w:r>
      <w:r w:rsidRPr="005B3C39">
        <w:rPr>
          <w:rFonts w:ascii="Arial" w:hAnsi="Arial" w:cs="Arial"/>
          <w:sz w:val="18"/>
          <w:szCs w:val="18"/>
        </w:rPr>
        <w:t>.</w:t>
      </w:r>
    </w:p>
    <w:p w:rsidR="009271C0" w:rsidRDefault="009271C0" w:rsidP="00857CDA">
      <w:pPr>
        <w:jc w:val="both"/>
        <w:rPr>
          <w:b/>
          <w:bCs/>
          <w:i/>
          <w:iCs/>
          <w:sz w:val="20"/>
          <w:szCs w:val="20"/>
        </w:rPr>
      </w:pPr>
    </w:p>
    <w:p w:rsidR="009271C0" w:rsidRPr="00D027F8" w:rsidRDefault="009271C0" w:rsidP="009271C0">
      <w:pPr>
        <w:jc w:val="both"/>
        <w:rPr>
          <w:b/>
          <w:bCs/>
          <w:i/>
          <w:iCs/>
          <w:sz w:val="20"/>
          <w:szCs w:val="20"/>
        </w:rPr>
      </w:pPr>
      <w:r w:rsidRPr="00C06A56">
        <w:rPr>
          <w:b/>
          <w:bCs/>
          <w:i/>
          <w:iCs/>
          <w:sz w:val="20"/>
          <w:szCs w:val="20"/>
        </w:rPr>
        <w:t>Champ couvert</w:t>
      </w:r>
    </w:p>
    <w:p w:rsidR="009271C0" w:rsidRPr="00C06A56" w:rsidRDefault="009271C0" w:rsidP="009271C0">
      <w:pPr>
        <w:shd w:val="clear" w:color="auto" w:fill="FFFFFF"/>
        <w:spacing w:before="120" w:after="120"/>
        <w:jc w:val="both"/>
        <w:rPr>
          <w:i/>
          <w:iCs/>
          <w:sz w:val="20"/>
          <w:szCs w:val="20"/>
        </w:rPr>
      </w:pPr>
      <w:r w:rsidRPr="000B4ACA">
        <w:rPr>
          <w:i/>
          <w:iCs/>
          <w:sz w:val="20"/>
          <w:szCs w:val="20"/>
        </w:rPr>
        <w:t>Dans le cadre de  l’IPI harmonisé dans les pays de l’UEMOA, et conformément aux recommandations issues de l’atelier de juin 2003, le champ de l’industrie est bien délimité</w:t>
      </w:r>
      <w:r>
        <w:rPr>
          <w:i/>
          <w:iCs/>
          <w:sz w:val="20"/>
          <w:szCs w:val="20"/>
        </w:rPr>
        <w:t xml:space="preserve"> </w:t>
      </w:r>
      <w:r w:rsidRPr="000B4ACA">
        <w:rPr>
          <w:i/>
          <w:iCs/>
          <w:sz w:val="20"/>
          <w:szCs w:val="20"/>
        </w:rPr>
        <w:t>: le calcul de</w:t>
      </w:r>
      <w:r>
        <w:rPr>
          <w:i/>
          <w:iCs/>
          <w:sz w:val="20"/>
          <w:szCs w:val="20"/>
        </w:rPr>
        <w:t xml:space="preserve"> l’</w:t>
      </w:r>
      <w:r w:rsidRPr="000B4ACA">
        <w:rPr>
          <w:i/>
          <w:iCs/>
          <w:sz w:val="20"/>
          <w:szCs w:val="20"/>
        </w:rPr>
        <w:t>I</w:t>
      </w:r>
      <w:r>
        <w:rPr>
          <w:i/>
          <w:iCs/>
          <w:sz w:val="20"/>
          <w:szCs w:val="20"/>
        </w:rPr>
        <w:t xml:space="preserve">ndice </w:t>
      </w:r>
      <w:r w:rsidRPr="000B4ACA">
        <w:rPr>
          <w:i/>
          <w:iCs/>
          <w:sz w:val="20"/>
          <w:szCs w:val="20"/>
        </w:rPr>
        <w:t>H</w:t>
      </w:r>
      <w:r>
        <w:rPr>
          <w:i/>
          <w:iCs/>
          <w:sz w:val="20"/>
          <w:szCs w:val="20"/>
        </w:rPr>
        <w:t xml:space="preserve">armonisé de la </w:t>
      </w:r>
      <w:r w:rsidRPr="000B4ACA">
        <w:rPr>
          <w:i/>
          <w:iCs/>
          <w:sz w:val="20"/>
          <w:szCs w:val="20"/>
        </w:rPr>
        <w:t>P</w:t>
      </w:r>
      <w:r>
        <w:rPr>
          <w:i/>
          <w:iCs/>
          <w:sz w:val="20"/>
          <w:szCs w:val="20"/>
        </w:rPr>
        <w:t xml:space="preserve">roduction </w:t>
      </w:r>
      <w:r w:rsidRPr="000B4ACA">
        <w:rPr>
          <w:i/>
          <w:iCs/>
          <w:sz w:val="20"/>
          <w:szCs w:val="20"/>
        </w:rPr>
        <w:t>I</w:t>
      </w:r>
      <w:r>
        <w:rPr>
          <w:i/>
          <w:iCs/>
          <w:sz w:val="20"/>
          <w:szCs w:val="20"/>
        </w:rPr>
        <w:t>ndustrielle (IHPI)</w:t>
      </w:r>
      <w:r w:rsidRPr="000B4ACA">
        <w:rPr>
          <w:i/>
          <w:iCs/>
          <w:sz w:val="20"/>
          <w:szCs w:val="20"/>
        </w:rPr>
        <w:t xml:space="preserve"> se rapporte au seul secteur secondaire et ne pre</w:t>
      </w:r>
      <w:r>
        <w:rPr>
          <w:i/>
          <w:iCs/>
          <w:sz w:val="20"/>
          <w:szCs w:val="20"/>
        </w:rPr>
        <w:t>nd</w:t>
      </w:r>
      <w:r w:rsidRPr="000B4ACA">
        <w:rPr>
          <w:i/>
          <w:iCs/>
          <w:sz w:val="20"/>
          <w:szCs w:val="20"/>
        </w:rPr>
        <w:t xml:space="preserve"> en considération que les activités productiv</w:t>
      </w:r>
      <w:r>
        <w:rPr>
          <w:i/>
          <w:iCs/>
          <w:sz w:val="20"/>
          <w:szCs w:val="20"/>
        </w:rPr>
        <w:t>e</w:t>
      </w:r>
      <w:r w:rsidRPr="000B4ACA">
        <w:rPr>
          <w:i/>
          <w:iCs/>
          <w:sz w:val="20"/>
          <w:szCs w:val="20"/>
        </w:rPr>
        <w:t>s des entreprises industrielles</w:t>
      </w:r>
      <w:r>
        <w:rPr>
          <w:i/>
          <w:iCs/>
          <w:sz w:val="20"/>
          <w:szCs w:val="20"/>
        </w:rPr>
        <w:t>. L</w:t>
      </w:r>
      <w:r w:rsidRPr="000B4ACA">
        <w:rPr>
          <w:i/>
          <w:iCs/>
          <w:sz w:val="20"/>
          <w:szCs w:val="20"/>
        </w:rPr>
        <w:t xml:space="preserve">’activité d’égrenage du coton est classée dans la </w:t>
      </w:r>
      <w:r>
        <w:rPr>
          <w:i/>
          <w:iCs/>
          <w:sz w:val="20"/>
          <w:szCs w:val="20"/>
        </w:rPr>
        <w:t>Nomenclature d’Activités des Etats Membres d’AFRISTAT (</w:t>
      </w:r>
      <w:r w:rsidRPr="000B4ACA">
        <w:rPr>
          <w:i/>
          <w:iCs/>
          <w:sz w:val="20"/>
          <w:szCs w:val="20"/>
        </w:rPr>
        <w:t>NAEMA</w:t>
      </w:r>
      <w:r>
        <w:rPr>
          <w:i/>
          <w:iCs/>
          <w:sz w:val="20"/>
          <w:szCs w:val="20"/>
        </w:rPr>
        <w:t>)</w:t>
      </w:r>
      <w:r w:rsidRPr="000B4ACA">
        <w:rPr>
          <w:i/>
          <w:iCs/>
          <w:sz w:val="20"/>
          <w:szCs w:val="20"/>
        </w:rPr>
        <w:t xml:space="preserve"> parmi les activités agricoles alors que cette activité réalisée dans de véritables unités industrielles, est intégr</w:t>
      </w:r>
      <w:r>
        <w:rPr>
          <w:i/>
          <w:iCs/>
          <w:sz w:val="20"/>
          <w:szCs w:val="20"/>
        </w:rPr>
        <w:t>ée</w:t>
      </w:r>
      <w:r w:rsidRPr="000B4ACA">
        <w:rPr>
          <w:i/>
          <w:iCs/>
          <w:sz w:val="20"/>
          <w:szCs w:val="20"/>
        </w:rPr>
        <w:t xml:space="preserve"> dans</w:t>
      </w:r>
      <w:r>
        <w:rPr>
          <w:i/>
          <w:iCs/>
          <w:sz w:val="20"/>
          <w:szCs w:val="20"/>
        </w:rPr>
        <w:t xml:space="preserve"> le calcul de</w:t>
      </w:r>
      <w:r w:rsidRPr="000B4ACA">
        <w:rPr>
          <w:i/>
          <w:iCs/>
          <w:sz w:val="20"/>
          <w:szCs w:val="20"/>
        </w:rPr>
        <w:t xml:space="preserve"> l’</w:t>
      </w:r>
      <w:r>
        <w:rPr>
          <w:i/>
          <w:iCs/>
          <w:sz w:val="20"/>
          <w:szCs w:val="20"/>
        </w:rPr>
        <w:t>indice</w:t>
      </w:r>
      <w:r w:rsidRPr="000B4ACA">
        <w:rPr>
          <w:i/>
          <w:iCs/>
          <w:sz w:val="20"/>
          <w:szCs w:val="20"/>
        </w:rPr>
        <w:t xml:space="preserve"> à l’instar du choix déjà effectué par la plupart des pays</w:t>
      </w:r>
      <w:r>
        <w:rPr>
          <w:i/>
          <w:iCs/>
          <w:sz w:val="20"/>
          <w:szCs w:val="20"/>
        </w:rPr>
        <w:t xml:space="preserve"> de</w:t>
      </w:r>
      <w:r w:rsidRPr="000B4ACA">
        <w:rPr>
          <w:i/>
          <w:iCs/>
          <w:sz w:val="20"/>
          <w:szCs w:val="20"/>
        </w:rPr>
        <w:t xml:space="preserve"> </w:t>
      </w:r>
      <w:r>
        <w:rPr>
          <w:i/>
          <w:iCs/>
          <w:sz w:val="20"/>
          <w:szCs w:val="20"/>
        </w:rPr>
        <w:t>l’</w:t>
      </w:r>
      <w:r w:rsidRPr="000B4ACA">
        <w:rPr>
          <w:i/>
          <w:iCs/>
          <w:sz w:val="20"/>
          <w:szCs w:val="20"/>
        </w:rPr>
        <w:t>UEMOA</w:t>
      </w:r>
      <w:r>
        <w:rPr>
          <w:i/>
          <w:iCs/>
          <w:sz w:val="20"/>
          <w:szCs w:val="20"/>
        </w:rPr>
        <w:t>. L</w:t>
      </w:r>
      <w:r w:rsidRPr="00C06A56">
        <w:rPr>
          <w:i/>
          <w:iCs/>
          <w:sz w:val="20"/>
          <w:szCs w:val="20"/>
        </w:rPr>
        <w:t>es industries extractives sont inclu</w:t>
      </w:r>
      <w:r>
        <w:rPr>
          <w:i/>
          <w:iCs/>
          <w:sz w:val="20"/>
          <w:szCs w:val="20"/>
        </w:rPr>
        <w:t>se</w:t>
      </w:r>
      <w:r w:rsidRPr="00C06A56">
        <w:rPr>
          <w:i/>
          <w:iCs/>
          <w:sz w:val="20"/>
          <w:szCs w:val="20"/>
        </w:rPr>
        <w:t>s dans le champ de l’I</w:t>
      </w:r>
      <w:r>
        <w:rPr>
          <w:i/>
          <w:iCs/>
          <w:sz w:val="20"/>
          <w:szCs w:val="20"/>
        </w:rPr>
        <w:t>H</w:t>
      </w:r>
      <w:r w:rsidRPr="00C06A56">
        <w:rPr>
          <w:i/>
          <w:iCs/>
          <w:sz w:val="20"/>
          <w:szCs w:val="20"/>
        </w:rPr>
        <w:t>PI</w:t>
      </w:r>
      <w:r>
        <w:rPr>
          <w:i/>
          <w:iCs/>
          <w:sz w:val="20"/>
          <w:szCs w:val="20"/>
        </w:rPr>
        <w:t>. L</w:t>
      </w:r>
      <w:r w:rsidRPr="00C06A56">
        <w:rPr>
          <w:i/>
          <w:iCs/>
          <w:sz w:val="20"/>
          <w:szCs w:val="20"/>
        </w:rPr>
        <w:t>es boulangeries industrielles</w:t>
      </w:r>
      <w:r>
        <w:rPr>
          <w:i/>
          <w:iCs/>
          <w:sz w:val="20"/>
          <w:szCs w:val="20"/>
        </w:rPr>
        <w:t>, qui</w:t>
      </w:r>
      <w:r w:rsidRPr="00C06A56">
        <w:rPr>
          <w:i/>
          <w:iCs/>
          <w:sz w:val="20"/>
          <w:szCs w:val="20"/>
        </w:rPr>
        <w:t xml:space="preserve"> sont à l’évidence des industries alimentaires</w:t>
      </w:r>
      <w:r>
        <w:rPr>
          <w:i/>
          <w:iCs/>
          <w:sz w:val="20"/>
          <w:szCs w:val="20"/>
        </w:rPr>
        <w:t>,</w:t>
      </w:r>
      <w:r w:rsidRPr="00C06A56">
        <w:rPr>
          <w:i/>
          <w:iCs/>
          <w:sz w:val="20"/>
          <w:szCs w:val="20"/>
        </w:rPr>
        <w:t xml:space="preserve"> </w:t>
      </w:r>
      <w:r>
        <w:rPr>
          <w:i/>
          <w:iCs/>
          <w:sz w:val="20"/>
          <w:szCs w:val="20"/>
        </w:rPr>
        <w:t>sont aussi</w:t>
      </w:r>
      <w:r w:rsidRPr="00C06A56">
        <w:rPr>
          <w:i/>
          <w:iCs/>
          <w:sz w:val="20"/>
          <w:szCs w:val="20"/>
        </w:rPr>
        <w:t xml:space="preserve"> incluses dans le calcul de l’I</w:t>
      </w:r>
      <w:r>
        <w:rPr>
          <w:i/>
          <w:iCs/>
          <w:sz w:val="20"/>
          <w:szCs w:val="20"/>
        </w:rPr>
        <w:t>HPI. A</w:t>
      </w:r>
      <w:r w:rsidRPr="00C06A56">
        <w:rPr>
          <w:i/>
          <w:iCs/>
          <w:sz w:val="20"/>
          <w:szCs w:val="20"/>
        </w:rPr>
        <w:t xml:space="preserve"> l’inverse</w:t>
      </w:r>
      <w:r>
        <w:rPr>
          <w:i/>
          <w:iCs/>
          <w:sz w:val="20"/>
          <w:szCs w:val="20"/>
        </w:rPr>
        <w:t>,</w:t>
      </w:r>
      <w:r w:rsidRPr="00C06A56">
        <w:rPr>
          <w:i/>
          <w:iCs/>
          <w:sz w:val="20"/>
          <w:szCs w:val="20"/>
        </w:rPr>
        <w:t xml:space="preserve"> les dépôts de p</w:t>
      </w:r>
      <w:r>
        <w:rPr>
          <w:i/>
          <w:iCs/>
          <w:sz w:val="20"/>
          <w:szCs w:val="20"/>
        </w:rPr>
        <w:t>ain ne sont pas pris en compte. L</w:t>
      </w:r>
      <w:r w:rsidRPr="00C06A56">
        <w:rPr>
          <w:i/>
          <w:iCs/>
          <w:sz w:val="20"/>
          <w:szCs w:val="20"/>
        </w:rPr>
        <w:t xml:space="preserve">es activités de </w:t>
      </w:r>
      <w:r>
        <w:rPr>
          <w:i/>
          <w:iCs/>
          <w:sz w:val="20"/>
          <w:szCs w:val="20"/>
        </w:rPr>
        <w:t>construction</w:t>
      </w:r>
      <w:r w:rsidRPr="00C06A56">
        <w:rPr>
          <w:i/>
          <w:iCs/>
          <w:sz w:val="20"/>
          <w:szCs w:val="20"/>
        </w:rPr>
        <w:t xml:space="preserve"> ne </w:t>
      </w:r>
      <w:r>
        <w:rPr>
          <w:i/>
          <w:iCs/>
          <w:sz w:val="20"/>
          <w:szCs w:val="20"/>
        </w:rPr>
        <w:t>sont pas observées. Toutefois, l’</w:t>
      </w:r>
      <w:r w:rsidRPr="00C06A56">
        <w:rPr>
          <w:i/>
          <w:iCs/>
          <w:sz w:val="20"/>
          <w:szCs w:val="20"/>
        </w:rPr>
        <w:t>I</w:t>
      </w:r>
      <w:r>
        <w:rPr>
          <w:i/>
          <w:iCs/>
          <w:sz w:val="20"/>
          <w:szCs w:val="20"/>
        </w:rPr>
        <w:t>H</w:t>
      </w:r>
      <w:r w:rsidRPr="00C06A56">
        <w:rPr>
          <w:i/>
          <w:iCs/>
          <w:sz w:val="20"/>
          <w:szCs w:val="20"/>
        </w:rPr>
        <w:t>P</w:t>
      </w:r>
      <w:r>
        <w:rPr>
          <w:i/>
          <w:iCs/>
          <w:sz w:val="20"/>
          <w:szCs w:val="20"/>
        </w:rPr>
        <w:t xml:space="preserve">I </w:t>
      </w:r>
      <w:r w:rsidRPr="00C06A56">
        <w:rPr>
          <w:i/>
          <w:iCs/>
          <w:sz w:val="20"/>
          <w:szCs w:val="20"/>
        </w:rPr>
        <w:t>calcul</w:t>
      </w:r>
      <w:r>
        <w:rPr>
          <w:i/>
          <w:iCs/>
          <w:sz w:val="20"/>
          <w:szCs w:val="20"/>
        </w:rPr>
        <w:t xml:space="preserve">é </w:t>
      </w:r>
      <w:r w:rsidRPr="00C06A56">
        <w:rPr>
          <w:i/>
          <w:iCs/>
          <w:sz w:val="20"/>
          <w:szCs w:val="20"/>
        </w:rPr>
        <w:t>intègre les matériaux de construction, produits d’une activité industrielle</w:t>
      </w:r>
      <w:r>
        <w:rPr>
          <w:i/>
          <w:iCs/>
          <w:sz w:val="20"/>
          <w:szCs w:val="20"/>
        </w:rPr>
        <w:t>.</w:t>
      </w:r>
    </w:p>
    <w:p w:rsidR="009271C0" w:rsidRPr="00C06A56" w:rsidRDefault="009271C0" w:rsidP="009271C0">
      <w:pPr>
        <w:jc w:val="both"/>
        <w:rPr>
          <w:b/>
          <w:bCs/>
          <w:i/>
          <w:iCs/>
          <w:sz w:val="20"/>
          <w:szCs w:val="20"/>
        </w:rPr>
      </w:pPr>
      <w:r w:rsidRPr="00C06A56">
        <w:rPr>
          <w:b/>
          <w:bCs/>
          <w:i/>
          <w:iCs/>
          <w:sz w:val="20"/>
          <w:szCs w:val="20"/>
        </w:rPr>
        <w:t>Echantillon</w:t>
      </w:r>
    </w:p>
    <w:p w:rsidR="009271C0" w:rsidRDefault="009271C0" w:rsidP="009271C0">
      <w:pPr>
        <w:spacing w:before="120" w:after="120"/>
        <w:jc w:val="both"/>
        <w:rPr>
          <w:i/>
          <w:iCs/>
          <w:sz w:val="20"/>
          <w:szCs w:val="20"/>
        </w:rPr>
      </w:pPr>
      <w:r w:rsidRPr="00C06A56">
        <w:rPr>
          <w:i/>
          <w:iCs/>
          <w:sz w:val="20"/>
          <w:szCs w:val="20"/>
        </w:rPr>
        <w:t>Les entreprises qui composent l’échantillon ont été choisies à partir de la dernière liste complète du répertoire du Centre Unique de C</w:t>
      </w:r>
      <w:r>
        <w:rPr>
          <w:i/>
          <w:iCs/>
          <w:sz w:val="20"/>
          <w:szCs w:val="20"/>
        </w:rPr>
        <w:t>ollecte de l’Information (CUCI). Cette liste a été étendue à d’autres entreprises avec le concours de l’Observatoire de l’industrie.</w:t>
      </w:r>
      <w:r w:rsidRPr="00C06A56">
        <w:rPr>
          <w:i/>
          <w:iCs/>
          <w:sz w:val="20"/>
          <w:szCs w:val="20"/>
        </w:rPr>
        <w:t xml:space="preserve"> </w:t>
      </w:r>
      <w:r>
        <w:rPr>
          <w:i/>
          <w:iCs/>
          <w:sz w:val="20"/>
          <w:szCs w:val="20"/>
        </w:rPr>
        <w:t>Les entreprises</w:t>
      </w:r>
      <w:r w:rsidRPr="00C06A56">
        <w:rPr>
          <w:i/>
          <w:iCs/>
          <w:sz w:val="20"/>
          <w:szCs w:val="20"/>
        </w:rPr>
        <w:t xml:space="preserve"> sont classées par secteur d’activité. Les variables comme la valeur ajoutée, le chiffre d’affaire</w:t>
      </w:r>
      <w:r>
        <w:rPr>
          <w:i/>
          <w:iCs/>
          <w:sz w:val="20"/>
          <w:szCs w:val="20"/>
        </w:rPr>
        <w:t xml:space="preserve">s (CA) </w:t>
      </w:r>
      <w:r w:rsidRPr="00C06A56">
        <w:rPr>
          <w:i/>
          <w:iCs/>
          <w:sz w:val="20"/>
          <w:szCs w:val="20"/>
        </w:rPr>
        <w:t>et les effectifs ont été retenues comme critères pour mesurer les performances industrielles.</w:t>
      </w:r>
      <w:r>
        <w:rPr>
          <w:i/>
          <w:iCs/>
          <w:sz w:val="20"/>
          <w:szCs w:val="20"/>
        </w:rPr>
        <w:t xml:space="preserve"> </w:t>
      </w:r>
      <w:r w:rsidRPr="00C06A56">
        <w:rPr>
          <w:i/>
          <w:iCs/>
          <w:sz w:val="20"/>
          <w:szCs w:val="20"/>
        </w:rPr>
        <w:t>L’échantillon d’entreprises enquêtées couvre l’ensemble des dix branches d’activités industrielles</w:t>
      </w:r>
      <w:r>
        <w:rPr>
          <w:i/>
          <w:iCs/>
          <w:sz w:val="20"/>
          <w:szCs w:val="20"/>
        </w:rPr>
        <w:t>.</w:t>
      </w:r>
      <w:r w:rsidRPr="00C06A56">
        <w:rPr>
          <w:i/>
          <w:iCs/>
          <w:sz w:val="20"/>
          <w:szCs w:val="20"/>
        </w:rPr>
        <w:t> </w:t>
      </w:r>
      <w:r>
        <w:rPr>
          <w:i/>
          <w:iCs/>
          <w:sz w:val="20"/>
          <w:szCs w:val="20"/>
        </w:rPr>
        <w:t>Il a été</w:t>
      </w:r>
      <w:r w:rsidRPr="00C06A56">
        <w:rPr>
          <w:i/>
          <w:iCs/>
          <w:sz w:val="20"/>
          <w:szCs w:val="20"/>
        </w:rPr>
        <w:t xml:space="preserve"> choisi en tenant compte de la représentativité générale, de la représentativité sectorielle ainsi que de la représentativité selon la taille des entreprises.</w:t>
      </w:r>
      <w:r w:rsidRPr="008A36A4">
        <w:rPr>
          <w:i/>
          <w:iCs/>
          <w:sz w:val="20"/>
          <w:szCs w:val="20"/>
        </w:rPr>
        <w:t xml:space="preserve"> </w:t>
      </w:r>
      <w:r w:rsidRPr="00DB6F3E">
        <w:rPr>
          <w:i/>
          <w:iCs/>
          <w:sz w:val="20"/>
          <w:szCs w:val="20"/>
        </w:rPr>
        <w:t>L</w:t>
      </w:r>
      <w:r>
        <w:rPr>
          <w:i/>
          <w:iCs/>
          <w:sz w:val="20"/>
          <w:szCs w:val="20"/>
        </w:rPr>
        <w:t>’</w:t>
      </w:r>
      <w:r w:rsidRPr="00DB6F3E">
        <w:rPr>
          <w:i/>
          <w:iCs/>
          <w:sz w:val="20"/>
          <w:szCs w:val="20"/>
        </w:rPr>
        <w:t>échantillon</w:t>
      </w:r>
      <w:r>
        <w:rPr>
          <w:i/>
          <w:iCs/>
          <w:sz w:val="20"/>
          <w:szCs w:val="20"/>
        </w:rPr>
        <w:t xml:space="preserve"> définitif</w:t>
      </w:r>
      <w:r w:rsidRPr="00DB6F3E">
        <w:rPr>
          <w:i/>
          <w:iCs/>
          <w:sz w:val="20"/>
          <w:szCs w:val="20"/>
        </w:rPr>
        <w:t xml:space="preserve"> </w:t>
      </w:r>
      <w:r>
        <w:rPr>
          <w:i/>
          <w:iCs/>
          <w:sz w:val="20"/>
          <w:szCs w:val="20"/>
        </w:rPr>
        <w:t>retenu&lt; pour le suivi de la conjoncture dans l’industrie compte</w:t>
      </w:r>
      <w:r w:rsidRPr="00DB6F3E">
        <w:rPr>
          <w:i/>
          <w:iCs/>
          <w:sz w:val="20"/>
          <w:szCs w:val="20"/>
        </w:rPr>
        <w:t xml:space="preserve"> 69 entreprises couvrant 89,</w:t>
      </w:r>
      <w:r>
        <w:rPr>
          <w:i/>
          <w:iCs/>
          <w:sz w:val="20"/>
          <w:szCs w:val="20"/>
        </w:rPr>
        <w:t>8</w:t>
      </w:r>
      <w:r w:rsidRPr="00DB6F3E">
        <w:rPr>
          <w:i/>
          <w:iCs/>
          <w:sz w:val="20"/>
          <w:szCs w:val="20"/>
        </w:rPr>
        <w:t>% de la valeur ajoutée industrielle du pays</w:t>
      </w:r>
      <w:r>
        <w:rPr>
          <w:i/>
          <w:iCs/>
          <w:sz w:val="20"/>
          <w:szCs w:val="20"/>
        </w:rPr>
        <w:t>.</w:t>
      </w:r>
    </w:p>
    <w:p w:rsidR="009271C0" w:rsidRDefault="009271C0" w:rsidP="009271C0">
      <w:pPr>
        <w:spacing w:before="120" w:after="120"/>
        <w:jc w:val="both"/>
        <w:rPr>
          <w:b/>
          <w:bCs/>
          <w:i/>
          <w:iCs/>
          <w:sz w:val="20"/>
          <w:szCs w:val="20"/>
        </w:rPr>
      </w:pPr>
      <w:r w:rsidRPr="00DB6F3E">
        <w:rPr>
          <w:b/>
          <w:bCs/>
          <w:i/>
          <w:iCs/>
          <w:sz w:val="20"/>
          <w:szCs w:val="20"/>
        </w:rPr>
        <w:t>Modalité de tirage de l’échantillon</w:t>
      </w:r>
    </w:p>
    <w:p w:rsidR="009271C0" w:rsidRPr="00794AAF" w:rsidRDefault="009271C0" w:rsidP="009271C0">
      <w:pPr>
        <w:spacing w:before="120" w:after="40"/>
        <w:jc w:val="both"/>
        <w:rPr>
          <w:i/>
          <w:iCs/>
          <w:sz w:val="20"/>
          <w:szCs w:val="20"/>
          <w:lang w:val="fr-BE"/>
        </w:rPr>
      </w:pPr>
      <w:r w:rsidRPr="00794AAF">
        <w:rPr>
          <w:i/>
          <w:iCs/>
          <w:sz w:val="20"/>
          <w:szCs w:val="20"/>
          <w:lang w:val="fr-BE"/>
        </w:rPr>
        <w:t>Au niveau de chaque secteur, le tirage de l’échant</w:t>
      </w:r>
      <w:r>
        <w:rPr>
          <w:i/>
          <w:iCs/>
          <w:sz w:val="20"/>
          <w:szCs w:val="20"/>
          <w:lang w:val="fr-BE"/>
        </w:rPr>
        <w:t>illon est fait en deux étapes : la première</w:t>
      </w:r>
      <w:r w:rsidRPr="00794AAF">
        <w:rPr>
          <w:i/>
          <w:iCs/>
          <w:sz w:val="20"/>
          <w:szCs w:val="20"/>
          <w:lang w:val="fr-BE"/>
        </w:rPr>
        <w:t xml:space="preserve"> est relative à la sélection des grandes entreprises de la strate. Un tri des entreprises par taille décroissante du chiffre d’affaires est effectué, ainsi que le calcul des proportions du CA des entreprises retenues dans la base de sondage et celui des proportions cumulées. Il est fixé un seuil de pourcentage cumulé de CA, une borne au-delà de laquelle toutes les entreprises sont retenues. </w:t>
      </w:r>
    </w:p>
    <w:p w:rsidR="009271C0" w:rsidRPr="00AC03D0" w:rsidRDefault="009271C0" w:rsidP="009271C0">
      <w:pPr>
        <w:spacing w:before="120" w:after="40"/>
        <w:jc w:val="both"/>
        <w:rPr>
          <w:i/>
          <w:iCs/>
          <w:sz w:val="20"/>
          <w:szCs w:val="20"/>
          <w:lang w:val="fr-BE"/>
        </w:rPr>
      </w:pPr>
      <w:r w:rsidRPr="00794AAF">
        <w:rPr>
          <w:i/>
          <w:iCs/>
          <w:sz w:val="20"/>
          <w:szCs w:val="20"/>
          <w:lang w:val="fr-BE"/>
        </w:rPr>
        <w:t xml:space="preserve">La deuxième étape consiste à la sélection des autres entreprises de la strate. Pour les entreprises dont le pourcentage du chiffre d’affaires est inférieur à la borne fixée, il est procédé à un échantillonnage par choix raisonné sur la base du chiffre d’affaires ou de critères de taille correspondant aux recommandations méthodologiques d’Eurostat. </w:t>
      </w:r>
    </w:p>
    <w:p w:rsidR="009271C0" w:rsidRPr="00C06A56" w:rsidRDefault="009271C0" w:rsidP="009271C0">
      <w:pPr>
        <w:spacing w:before="120" w:after="120"/>
        <w:jc w:val="both"/>
        <w:rPr>
          <w:b/>
          <w:bCs/>
          <w:i/>
          <w:iCs/>
          <w:sz w:val="20"/>
          <w:szCs w:val="20"/>
        </w:rPr>
      </w:pPr>
      <w:r w:rsidRPr="00C06A56">
        <w:rPr>
          <w:b/>
          <w:bCs/>
          <w:i/>
          <w:iCs/>
          <w:sz w:val="20"/>
          <w:szCs w:val="20"/>
        </w:rPr>
        <w:lastRenderedPageBreak/>
        <w:t>Modalité de calcul des indices</w:t>
      </w:r>
    </w:p>
    <w:p w:rsidR="009271C0" w:rsidRPr="00AC03D0" w:rsidRDefault="009271C0" w:rsidP="009271C0">
      <w:pPr>
        <w:spacing w:before="120" w:after="40"/>
        <w:jc w:val="both"/>
        <w:rPr>
          <w:i/>
          <w:iCs/>
          <w:sz w:val="20"/>
          <w:szCs w:val="20"/>
          <w:lang w:val="fr-BE"/>
        </w:rPr>
      </w:pPr>
      <w:r>
        <w:rPr>
          <w:i/>
          <w:iCs/>
          <w:sz w:val="20"/>
          <w:szCs w:val="20"/>
          <w:lang w:val="fr-BE"/>
        </w:rPr>
        <w:t>L</w:t>
      </w:r>
      <w:r w:rsidRPr="00C06A56">
        <w:rPr>
          <w:i/>
          <w:iCs/>
          <w:sz w:val="20"/>
          <w:szCs w:val="20"/>
          <w:lang w:val="fr-BE"/>
        </w:rPr>
        <w:t xml:space="preserve">e calcul des indices </w:t>
      </w:r>
      <w:r>
        <w:rPr>
          <w:i/>
          <w:iCs/>
          <w:sz w:val="20"/>
          <w:szCs w:val="20"/>
          <w:lang w:val="fr-BE"/>
        </w:rPr>
        <w:t xml:space="preserve">harmonisés </w:t>
      </w:r>
      <w:r w:rsidRPr="00C06A56">
        <w:rPr>
          <w:i/>
          <w:iCs/>
          <w:sz w:val="20"/>
          <w:szCs w:val="20"/>
          <w:lang w:val="fr-BE"/>
        </w:rPr>
        <w:t xml:space="preserve">de la production industrielle s’effectue de manière hiérarchisée </w:t>
      </w:r>
      <w:r>
        <w:rPr>
          <w:i/>
          <w:iCs/>
          <w:sz w:val="20"/>
          <w:szCs w:val="20"/>
          <w:lang w:val="fr-BE"/>
        </w:rPr>
        <w:t>en partant d</w:t>
      </w:r>
      <w:r w:rsidRPr="00C06A56">
        <w:rPr>
          <w:i/>
          <w:iCs/>
          <w:sz w:val="20"/>
          <w:szCs w:val="20"/>
          <w:lang w:val="fr-BE"/>
        </w:rPr>
        <w:t>es indices élémentaires correspondant aux produits industriels caractéristiques</w:t>
      </w:r>
      <w:r>
        <w:rPr>
          <w:i/>
          <w:iCs/>
          <w:sz w:val="20"/>
          <w:szCs w:val="20"/>
          <w:lang w:val="fr-BE"/>
        </w:rPr>
        <w:t xml:space="preserve"> </w:t>
      </w:r>
      <w:r w:rsidRPr="00C06A56">
        <w:rPr>
          <w:i/>
          <w:iCs/>
          <w:sz w:val="20"/>
          <w:szCs w:val="20"/>
          <w:lang w:val="fr-BE"/>
        </w:rPr>
        <w:t>(série</w:t>
      </w:r>
      <w:r>
        <w:rPr>
          <w:i/>
          <w:iCs/>
          <w:sz w:val="20"/>
          <w:szCs w:val="20"/>
          <w:lang w:val="fr-BE"/>
        </w:rPr>
        <w:t xml:space="preserve">s-témoin) aux indices de </w:t>
      </w:r>
      <w:r w:rsidRPr="00C06A56">
        <w:rPr>
          <w:i/>
          <w:iCs/>
          <w:sz w:val="20"/>
          <w:szCs w:val="20"/>
          <w:lang w:val="fr-BE"/>
        </w:rPr>
        <w:t>sous-branche et à l’IPI harmonisé national.</w:t>
      </w:r>
      <w:r>
        <w:rPr>
          <w:i/>
          <w:iCs/>
          <w:sz w:val="20"/>
          <w:szCs w:val="20"/>
          <w:lang w:val="fr-BE"/>
        </w:rPr>
        <w:t xml:space="preserve"> </w:t>
      </w:r>
      <w:r w:rsidRPr="00C06A56">
        <w:rPr>
          <w:i/>
          <w:iCs/>
          <w:sz w:val="20"/>
          <w:szCs w:val="20"/>
          <w:lang w:val="fr-BE"/>
        </w:rPr>
        <w:t>Les indices élémentaires représent</w:t>
      </w:r>
      <w:r>
        <w:rPr>
          <w:i/>
          <w:iCs/>
          <w:sz w:val="20"/>
          <w:szCs w:val="20"/>
          <w:lang w:val="fr-BE"/>
        </w:rPr>
        <w:t>e</w:t>
      </w:r>
      <w:r w:rsidRPr="00C06A56">
        <w:rPr>
          <w:i/>
          <w:iCs/>
          <w:sz w:val="20"/>
          <w:szCs w:val="20"/>
          <w:lang w:val="fr-BE"/>
        </w:rPr>
        <w:t xml:space="preserve">nt le rapport de la quantité produite au cours du </w:t>
      </w:r>
      <w:r>
        <w:rPr>
          <w:i/>
          <w:iCs/>
          <w:sz w:val="20"/>
          <w:szCs w:val="20"/>
          <w:lang w:val="fr-BE"/>
        </w:rPr>
        <w:t xml:space="preserve">mois </w:t>
      </w:r>
      <w:r w:rsidRPr="00C06A56">
        <w:rPr>
          <w:i/>
          <w:iCs/>
          <w:sz w:val="20"/>
          <w:szCs w:val="20"/>
          <w:lang w:val="fr-BE"/>
        </w:rPr>
        <w:t xml:space="preserve">courant à celle correspondant </w:t>
      </w:r>
      <w:r>
        <w:rPr>
          <w:i/>
          <w:iCs/>
          <w:sz w:val="20"/>
          <w:szCs w:val="20"/>
          <w:lang w:val="fr-BE"/>
        </w:rPr>
        <w:t>à la moyenne</w:t>
      </w:r>
      <w:r w:rsidRPr="00C06A56">
        <w:rPr>
          <w:i/>
          <w:iCs/>
          <w:sz w:val="20"/>
          <w:szCs w:val="20"/>
          <w:lang w:val="fr-BE"/>
        </w:rPr>
        <w:t xml:space="preserve"> de l’année de base.</w:t>
      </w:r>
      <w:r>
        <w:rPr>
          <w:i/>
          <w:iCs/>
          <w:sz w:val="20"/>
          <w:szCs w:val="20"/>
          <w:lang w:val="fr-BE"/>
        </w:rPr>
        <w:t xml:space="preserve"> </w:t>
      </w:r>
      <w:r w:rsidRPr="00C06A56">
        <w:rPr>
          <w:i/>
          <w:iCs/>
          <w:sz w:val="20"/>
          <w:szCs w:val="20"/>
          <w:lang w:val="fr-BE"/>
        </w:rPr>
        <w:t>Les indices de sous-branches sont</w:t>
      </w:r>
      <w:r>
        <w:rPr>
          <w:i/>
          <w:iCs/>
          <w:sz w:val="20"/>
          <w:szCs w:val="20"/>
          <w:lang w:val="fr-BE"/>
        </w:rPr>
        <w:t xml:space="preserve"> </w:t>
      </w:r>
      <w:r w:rsidRPr="00C06A56">
        <w:rPr>
          <w:i/>
          <w:iCs/>
          <w:sz w:val="20"/>
          <w:szCs w:val="20"/>
          <w:lang w:val="fr-BE"/>
        </w:rPr>
        <w:t xml:space="preserve">des indices de </w:t>
      </w:r>
      <w:proofErr w:type="spellStart"/>
      <w:r w:rsidRPr="00C06A56">
        <w:rPr>
          <w:i/>
          <w:iCs/>
          <w:sz w:val="20"/>
          <w:szCs w:val="20"/>
          <w:lang w:val="fr-BE"/>
        </w:rPr>
        <w:t>Laspeyres</w:t>
      </w:r>
      <w:proofErr w:type="spellEnd"/>
      <w:r w:rsidRPr="00C06A56">
        <w:rPr>
          <w:i/>
          <w:iCs/>
          <w:sz w:val="20"/>
          <w:szCs w:val="20"/>
          <w:lang w:val="fr-BE"/>
        </w:rPr>
        <w:t xml:space="preserve"> pondérant les indices élémentaires précédents relatifs aux produits selon leur poids respectif (pour l’année de base) dans la </w:t>
      </w:r>
      <w:r>
        <w:rPr>
          <w:i/>
          <w:iCs/>
          <w:sz w:val="20"/>
          <w:szCs w:val="20"/>
          <w:lang w:val="fr-BE"/>
        </w:rPr>
        <w:t xml:space="preserve">valeur ajoutée totale. </w:t>
      </w:r>
      <w:r w:rsidRPr="00C06A56">
        <w:rPr>
          <w:i/>
          <w:iCs/>
          <w:sz w:val="20"/>
          <w:szCs w:val="20"/>
          <w:lang w:val="fr-BE"/>
        </w:rPr>
        <w:t xml:space="preserve">L’IHPI est un indice de </w:t>
      </w:r>
      <w:proofErr w:type="spellStart"/>
      <w:r w:rsidRPr="00C06A56">
        <w:rPr>
          <w:i/>
          <w:iCs/>
          <w:sz w:val="20"/>
          <w:szCs w:val="20"/>
          <w:lang w:val="fr-BE"/>
        </w:rPr>
        <w:t>Lasp</w:t>
      </w:r>
      <w:r>
        <w:rPr>
          <w:i/>
          <w:iCs/>
          <w:sz w:val="20"/>
          <w:szCs w:val="20"/>
          <w:lang w:val="fr-BE"/>
        </w:rPr>
        <w:t>eyres</w:t>
      </w:r>
      <w:proofErr w:type="spellEnd"/>
      <w:r>
        <w:rPr>
          <w:i/>
          <w:iCs/>
          <w:sz w:val="20"/>
          <w:szCs w:val="20"/>
          <w:lang w:val="fr-BE"/>
        </w:rPr>
        <w:t xml:space="preserve"> pondérant les indices de </w:t>
      </w:r>
      <w:r w:rsidRPr="00C06A56">
        <w:rPr>
          <w:i/>
          <w:iCs/>
          <w:sz w:val="20"/>
          <w:szCs w:val="20"/>
          <w:lang w:val="fr-BE"/>
        </w:rPr>
        <w:t>sous-branches précé</w:t>
      </w:r>
      <w:r>
        <w:rPr>
          <w:i/>
          <w:iCs/>
          <w:sz w:val="20"/>
          <w:szCs w:val="20"/>
          <w:lang w:val="fr-BE"/>
        </w:rPr>
        <w:t xml:space="preserve">dents relatifs aux différentes </w:t>
      </w:r>
      <w:r w:rsidRPr="00C06A56">
        <w:rPr>
          <w:i/>
          <w:iCs/>
          <w:sz w:val="20"/>
          <w:szCs w:val="20"/>
          <w:lang w:val="fr-BE"/>
        </w:rPr>
        <w:t xml:space="preserve">sous-branches industrielles selon leur poids respectif </w:t>
      </w:r>
      <w:r>
        <w:rPr>
          <w:i/>
          <w:iCs/>
          <w:sz w:val="20"/>
          <w:szCs w:val="20"/>
          <w:lang w:val="fr-BE"/>
        </w:rPr>
        <w:t xml:space="preserve"> </w:t>
      </w:r>
      <w:r w:rsidRPr="00C06A56">
        <w:rPr>
          <w:i/>
          <w:iCs/>
          <w:sz w:val="20"/>
          <w:szCs w:val="20"/>
          <w:lang w:val="fr-BE"/>
        </w:rPr>
        <w:t xml:space="preserve">dans la </w:t>
      </w:r>
      <w:r>
        <w:rPr>
          <w:i/>
          <w:iCs/>
          <w:sz w:val="20"/>
          <w:szCs w:val="20"/>
          <w:lang w:val="fr-BE"/>
        </w:rPr>
        <w:t>valeur ajoutée industrielle</w:t>
      </w:r>
      <w:r w:rsidRPr="00C06A56">
        <w:rPr>
          <w:i/>
          <w:iCs/>
          <w:sz w:val="20"/>
          <w:szCs w:val="20"/>
          <w:lang w:val="fr-BE"/>
        </w:rPr>
        <w:t xml:space="preserve"> totale. </w:t>
      </w:r>
    </w:p>
    <w:p w:rsidR="009271C0" w:rsidRDefault="009271C0" w:rsidP="009271C0">
      <w:pPr>
        <w:spacing w:before="120" w:after="120"/>
        <w:jc w:val="both"/>
        <w:rPr>
          <w:b/>
          <w:bCs/>
          <w:i/>
          <w:iCs/>
          <w:sz w:val="20"/>
          <w:szCs w:val="20"/>
        </w:rPr>
      </w:pPr>
      <w:r w:rsidRPr="00C06A56">
        <w:rPr>
          <w:b/>
          <w:bCs/>
          <w:i/>
          <w:iCs/>
          <w:sz w:val="20"/>
          <w:szCs w:val="20"/>
        </w:rPr>
        <w:t>Diffusion</w:t>
      </w:r>
    </w:p>
    <w:p w:rsidR="00BB6A60" w:rsidRPr="00857CDA" w:rsidRDefault="009271C0" w:rsidP="009271C0">
      <w:pPr>
        <w:jc w:val="both"/>
        <w:rPr>
          <w:lang w:val="fr-BE"/>
        </w:rPr>
      </w:pPr>
      <w:r w:rsidRPr="00F27102">
        <w:rPr>
          <w:i/>
          <w:iCs/>
          <w:sz w:val="20"/>
          <w:szCs w:val="20"/>
          <w:lang w:val="fr-BE"/>
        </w:rPr>
        <w:t xml:space="preserve">Les indices sont présentés </w:t>
      </w:r>
      <w:r>
        <w:rPr>
          <w:i/>
          <w:iCs/>
          <w:sz w:val="20"/>
          <w:szCs w:val="20"/>
          <w:lang w:val="fr-BE"/>
        </w:rPr>
        <w:t xml:space="preserve">dans un tableau au niveau branche et sous-branche </w:t>
      </w:r>
      <w:r w:rsidRPr="00F27102">
        <w:rPr>
          <w:i/>
          <w:iCs/>
          <w:sz w:val="20"/>
          <w:szCs w:val="20"/>
          <w:lang w:val="fr-BE"/>
        </w:rPr>
        <w:t xml:space="preserve">selon la nomenclature des activités et produits </w:t>
      </w:r>
      <w:r>
        <w:rPr>
          <w:i/>
          <w:iCs/>
          <w:sz w:val="20"/>
          <w:szCs w:val="20"/>
          <w:lang w:val="fr-BE"/>
        </w:rPr>
        <w:t>des Etats membres d’AFRISTAT. Ce tableau comporte les indices du mois, l</w:t>
      </w:r>
      <w:r w:rsidRPr="00F27102">
        <w:rPr>
          <w:i/>
          <w:iCs/>
          <w:sz w:val="20"/>
          <w:szCs w:val="20"/>
          <w:lang w:val="fr-BE"/>
        </w:rPr>
        <w:t>es indices des mois précédents</w:t>
      </w:r>
      <w:r>
        <w:rPr>
          <w:i/>
          <w:iCs/>
          <w:sz w:val="20"/>
          <w:szCs w:val="20"/>
          <w:lang w:val="fr-BE"/>
        </w:rPr>
        <w:t xml:space="preserve"> de l’année en cours, l</w:t>
      </w:r>
      <w:r w:rsidRPr="00F27102">
        <w:rPr>
          <w:i/>
          <w:iCs/>
          <w:sz w:val="20"/>
          <w:szCs w:val="20"/>
          <w:lang w:val="fr-BE"/>
        </w:rPr>
        <w:t>es indices du m</w:t>
      </w:r>
      <w:r>
        <w:rPr>
          <w:i/>
          <w:iCs/>
          <w:sz w:val="20"/>
          <w:szCs w:val="20"/>
          <w:lang w:val="fr-BE"/>
        </w:rPr>
        <w:t>ême mois de l’année précédente, l</w:t>
      </w:r>
      <w:r w:rsidRPr="00F27102">
        <w:rPr>
          <w:i/>
          <w:iCs/>
          <w:sz w:val="20"/>
          <w:szCs w:val="20"/>
          <w:lang w:val="fr-BE"/>
        </w:rPr>
        <w:t>es variati</w:t>
      </w:r>
      <w:r>
        <w:rPr>
          <w:i/>
          <w:iCs/>
          <w:sz w:val="20"/>
          <w:szCs w:val="20"/>
          <w:lang w:val="fr-BE"/>
        </w:rPr>
        <w:t>ons entre le mois courant et le</w:t>
      </w:r>
      <w:r w:rsidRPr="00F27102">
        <w:rPr>
          <w:i/>
          <w:iCs/>
          <w:sz w:val="20"/>
          <w:szCs w:val="20"/>
          <w:lang w:val="fr-BE"/>
        </w:rPr>
        <w:t xml:space="preserve"> mois</w:t>
      </w:r>
      <w:r>
        <w:rPr>
          <w:i/>
          <w:iCs/>
          <w:sz w:val="20"/>
          <w:szCs w:val="20"/>
          <w:lang w:val="fr-BE"/>
        </w:rPr>
        <w:t xml:space="preserve"> précédent, ainsi que celle du même mois de l’année précédente. </w:t>
      </w:r>
      <w:r w:rsidRPr="00F27102">
        <w:rPr>
          <w:i/>
          <w:iCs/>
          <w:sz w:val="20"/>
          <w:szCs w:val="20"/>
          <w:lang w:val="fr-BE"/>
        </w:rPr>
        <w:t xml:space="preserve">Les indices sont disponibles au plus tard 45 jours après la fin du mois sous revue. </w:t>
      </w:r>
      <w:r>
        <w:rPr>
          <w:i/>
          <w:iCs/>
          <w:sz w:val="20"/>
          <w:szCs w:val="20"/>
          <w:lang w:val="fr-BE"/>
        </w:rPr>
        <w:t xml:space="preserve">Ils sont </w:t>
      </w:r>
      <w:r w:rsidRPr="00F27102">
        <w:rPr>
          <w:i/>
          <w:iCs/>
          <w:sz w:val="20"/>
          <w:szCs w:val="20"/>
          <w:lang w:val="fr-BE"/>
        </w:rPr>
        <w:t>accessible</w:t>
      </w:r>
      <w:r>
        <w:rPr>
          <w:i/>
          <w:iCs/>
          <w:sz w:val="20"/>
          <w:szCs w:val="20"/>
          <w:lang w:val="fr-BE"/>
        </w:rPr>
        <w:t>s</w:t>
      </w:r>
      <w:r w:rsidRPr="00F27102">
        <w:rPr>
          <w:i/>
          <w:iCs/>
          <w:sz w:val="20"/>
          <w:szCs w:val="20"/>
          <w:lang w:val="fr-BE"/>
        </w:rPr>
        <w:t xml:space="preserve"> sur le site internet de l’A</w:t>
      </w:r>
      <w:r>
        <w:rPr>
          <w:i/>
          <w:iCs/>
          <w:sz w:val="20"/>
          <w:szCs w:val="20"/>
          <w:lang w:val="fr-BE"/>
        </w:rPr>
        <w:t>gence</w:t>
      </w:r>
      <w:r w:rsidRPr="00F27102">
        <w:rPr>
          <w:i/>
          <w:iCs/>
          <w:sz w:val="20"/>
          <w:szCs w:val="20"/>
          <w:lang w:val="fr-BE"/>
        </w:rPr>
        <w:t> </w:t>
      </w:r>
      <w:r w:rsidRPr="00A30F63">
        <w:rPr>
          <w:b/>
          <w:bCs/>
          <w:i/>
          <w:iCs/>
          <w:sz w:val="20"/>
          <w:szCs w:val="20"/>
          <w:lang w:val="fr-BE"/>
        </w:rPr>
        <w:t xml:space="preserve">: </w:t>
      </w:r>
      <w:hyperlink r:id="rId6" w:history="1">
        <w:r w:rsidRPr="00A30F63">
          <w:rPr>
            <w:rStyle w:val="Lienhypertexte"/>
            <w:b/>
            <w:bCs/>
            <w:i/>
            <w:iCs/>
            <w:sz w:val="20"/>
            <w:szCs w:val="20"/>
            <w:lang w:val="fr-BE"/>
          </w:rPr>
          <w:t>www.ansd.sn</w:t>
        </w:r>
      </w:hyperlink>
      <w:r w:rsidRPr="00F27102">
        <w:rPr>
          <w:i/>
          <w:iCs/>
          <w:sz w:val="20"/>
          <w:szCs w:val="20"/>
          <w:lang w:val="fr-BE"/>
        </w:rPr>
        <w:t>. La diffusion de la publication mensuelle est faite largement en direction des utilisateurs (administrations nationales, médias nationaux et organismes internationaux</w:t>
      </w:r>
      <w:r>
        <w:rPr>
          <w:i/>
          <w:iCs/>
          <w:sz w:val="20"/>
          <w:szCs w:val="20"/>
          <w:lang w:val="fr-BE"/>
        </w:rPr>
        <w:t xml:space="preserve"> etc.)</w:t>
      </w:r>
    </w:p>
    <w:sectPr w:rsidR="00BB6A60" w:rsidRPr="00857CDA" w:rsidSect="00BB6A6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857CDA"/>
    <w:rsid w:val="000712D6"/>
    <w:rsid w:val="00144BF7"/>
    <w:rsid w:val="002838F2"/>
    <w:rsid w:val="002A0EAC"/>
    <w:rsid w:val="002D2118"/>
    <w:rsid w:val="002E49BD"/>
    <w:rsid w:val="00304D58"/>
    <w:rsid w:val="00382785"/>
    <w:rsid w:val="003866AC"/>
    <w:rsid w:val="003B6508"/>
    <w:rsid w:val="003B731C"/>
    <w:rsid w:val="003C1A1E"/>
    <w:rsid w:val="00523695"/>
    <w:rsid w:val="00600606"/>
    <w:rsid w:val="00657AA6"/>
    <w:rsid w:val="00857CDA"/>
    <w:rsid w:val="00866145"/>
    <w:rsid w:val="00891AEB"/>
    <w:rsid w:val="008B0414"/>
    <w:rsid w:val="009271C0"/>
    <w:rsid w:val="00947012"/>
    <w:rsid w:val="00A054AA"/>
    <w:rsid w:val="00B53BB3"/>
    <w:rsid w:val="00B8167D"/>
    <w:rsid w:val="00BB6A60"/>
    <w:rsid w:val="00CD6DC9"/>
    <w:rsid w:val="00D36F64"/>
    <w:rsid w:val="00DE633D"/>
    <w:rsid w:val="00DF6566"/>
    <w:rsid w:val="00E55154"/>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ahoma" w:eastAsiaTheme="minorHAnsi" w:hAnsi="Tahoma" w:cs="Tahoma"/>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CDA"/>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rsid w:val="00857CDA"/>
    <w:rPr>
      <w:color w:val="0000FF"/>
      <w:u w:val="single"/>
    </w:rPr>
  </w:style>
</w:styles>
</file>

<file path=word/webSettings.xml><?xml version="1.0" encoding="utf-8"?>
<w:webSettings xmlns:r="http://schemas.openxmlformats.org/officeDocument/2006/relationships" xmlns:w="http://schemas.openxmlformats.org/wordprocessingml/2006/main">
  <w:divs>
    <w:div w:id="163004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nsd.sn" TargetMode="External"/><Relationship Id="rId5" Type="http://schemas.openxmlformats.org/officeDocument/2006/relationships/oleObject" Target="embeddings/oleObject1.bin"/><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884</Words>
  <Characters>4867</Characters>
  <Application>Microsoft Office Word</Application>
  <DocSecurity>0</DocSecurity>
  <Lines>40</Lines>
  <Paragraphs>11</Paragraphs>
  <ScaleCrop>false</ScaleCrop>
  <Company/>
  <LinksUpToDate>false</LinksUpToDate>
  <CharactersWithSpaces>5740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emgueye</dc:creator>
  <cp:lastModifiedBy>emgueye</cp:lastModifiedBy>
  <cp:revision>3</cp:revision>
  <dcterms:created xsi:type="dcterms:W3CDTF">2014-07-18T12:36:00Z</dcterms:created>
  <dcterms:modified xsi:type="dcterms:W3CDTF">2014-07-18T12:36:00Z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Harvard Reference format 1 (author-date)</vt:lpwstr>
  </property>
</Properties>
</file>