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page" w:horzAnchor="margin" w:tblpXSpec="center" w:tblpY="653"/>
        <w:tblW w:w="3940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40"/>
      </w:tblGrid>
      <w:tr w:rsidR="00857CDA" w:rsidRPr="00794933" w:rsidTr="005A13B6">
        <w:trPr>
          <w:trHeight w:val="2520"/>
        </w:trPr>
        <w:tc>
          <w:tcPr>
            <w:tcW w:w="3940" w:type="dxa"/>
            <w:tcBorders>
              <w:top w:val="nil"/>
              <w:bottom w:val="nil"/>
              <w:right w:val="nil"/>
            </w:tcBorders>
          </w:tcPr>
          <w:p w:rsidR="00857CDA" w:rsidRPr="00794933" w:rsidRDefault="00857CDA" w:rsidP="00857CDA">
            <w:pPr>
              <w:rPr>
                <w:b/>
                <w:bCs/>
                <w:sz w:val="26"/>
                <w:szCs w:val="26"/>
              </w:rPr>
            </w:pPr>
            <w:r w:rsidRPr="00794933">
              <w:rPr>
                <w:b/>
                <w:bCs/>
                <w:sz w:val="22"/>
                <w:szCs w:val="22"/>
              </w:rPr>
              <w:t xml:space="preserve">     </w:t>
            </w:r>
            <w:r w:rsidRPr="00794933">
              <w:rPr>
                <w:b/>
                <w:bCs/>
                <w:sz w:val="26"/>
                <w:szCs w:val="26"/>
              </w:rPr>
              <w:t>République du Sénégal</w:t>
            </w:r>
          </w:p>
          <w:p w:rsidR="00857CDA" w:rsidRPr="00794933" w:rsidRDefault="00857CDA" w:rsidP="00857CDA">
            <w:pPr>
              <w:rPr>
                <w:b/>
                <w:bCs/>
                <w:sz w:val="16"/>
                <w:szCs w:val="16"/>
              </w:rPr>
            </w:pPr>
            <w:r w:rsidRPr="00794933">
              <w:rPr>
                <w:b/>
                <w:sz w:val="16"/>
                <w:szCs w:val="16"/>
              </w:rPr>
              <w:t xml:space="preserve">          Un Peuple – Un But – Une Foi</w:t>
            </w:r>
          </w:p>
          <w:p w:rsidR="00857CDA" w:rsidRPr="00794933" w:rsidRDefault="00857CDA" w:rsidP="00857CDA">
            <w:pPr>
              <w:rPr>
                <w:b/>
                <w:sz w:val="22"/>
                <w:szCs w:val="22"/>
              </w:rPr>
            </w:pPr>
            <w:r w:rsidRPr="00794933">
              <w:rPr>
                <w:b/>
                <w:sz w:val="22"/>
                <w:szCs w:val="22"/>
              </w:rPr>
              <w:t xml:space="preserve">               ------------</w:t>
            </w:r>
          </w:p>
          <w:p w:rsidR="00857CDA" w:rsidRPr="00794933" w:rsidRDefault="00217B27" w:rsidP="00857CD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eastAsia="en-US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margin-left:27.2pt;margin-top:.55pt;width:86.25pt;height:83.8pt;z-index:251658240" wrapcoords="-159 0 -159 21450 21600 21450 21600 0 -159 0">
                  <v:imagedata r:id="rId8" o:title=""/>
                </v:shape>
                <o:OLEObject Type="Embed" ProgID="MSPhotoEd.3" ShapeID="_x0000_s1027" DrawAspect="Content" ObjectID="_1549953568" r:id="rId9"/>
              </w:object>
            </w:r>
            <w:r w:rsidR="00857CDA" w:rsidRPr="00794933">
              <w:rPr>
                <w:b/>
                <w:bCs/>
                <w:sz w:val="22"/>
                <w:szCs w:val="22"/>
              </w:rPr>
              <w:t xml:space="preserve">         </w:t>
            </w:r>
          </w:p>
          <w:p w:rsidR="00857CDA" w:rsidRPr="00794933" w:rsidRDefault="00857CDA" w:rsidP="00857CDA">
            <w:pPr>
              <w:jc w:val="center"/>
              <w:rPr>
                <w:b/>
                <w:sz w:val="22"/>
                <w:szCs w:val="22"/>
              </w:rPr>
            </w:pPr>
          </w:p>
          <w:p w:rsidR="00857CDA" w:rsidRPr="00794933" w:rsidRDefault="00857CDA" w:rsidP="00857CDA">
            <w:pPr>
              <w:jc w:val="center"/>
              <w:rPr>
                <w:b/>
                <w:sz w:val="22"/>
                <w:szCs w:val="22"/>
              </w:rPr>
            </w:pPr>
          </w:p>
          <w:p w:rsidR="00857CDA" w:rsidRPr="00794933" w:rsidRDefault="00857CDA" w:rsidP="00857CDA">
            <w:pPr>
              <w:jc w:val="center"/>
              <w:rPr>
                <w:b/>
                <w:sz w:val="22"/>
                <w:szCs w:val="22"/>
              </w:rPr>
            </w:pPr>
          </w:p>
          <w:p w:rsidR="00857CDA" w:rsidRPr="00794933" w:rsidRDefault="00857CDA" w:rsidP="00857CDA">
            <w:pPr>
              <w:spacing w:after="120"/>
              <w:ind w:right="1"/>
              <w:rPr>
                <w:b/>
                <w:sz w:val="22"/>
                <w:szCs w:val="22"/>
              </w:rPr>
            </w:pPr>
          </w:p>
          <w:p w:rsidR="00857CDA" w:rsidRPr="00794933" w:rsidRDefault="00857CDA" w:rsidP="00857CDA">
            <w:pPr>
              <w:spacing w:after="120"/>
              <w:ind w:right="1"/>
              <w:rPr>
                <w:b/>
                <w:sz w:val="22"/>
                <w:szCs w:val="22"/>
              </w:rPr>
            </w:pPr>
          </w:p>
        </w:tc>
      </w:tr>
    </w:tbl>
    <w:p w:rsidR="00857CDA" w:rsidRPr="00794933" w:rsidRDefault="00857CDA" w:rsidP="00857CDA">
      <w:pPr>
        <w:rPr>
          <w:rFonts w:ascii="Arial" w:hAnsi="Arial" w:cs="Arial"/>
          <w:b/>
          <w:bCs/>
          <w:sz w:val="22"/>
          <w:szCs w:val="22"/>
        </w:rPr>
      </w:pPr>
    </w:p>
    <w:p w:rsidR="00857CDA" w:rsidRPr="00794933" w:rsidRDefault="00857CDA" w:rsidP="00857CDA">
      <w:pPr>
        <w:rPr>
          <w:rFonts w:ascii="Arial" w:hAnsi="Arial" w:cs="Arial"/>
          <w:b/>
          <w:bCs/>
          <w:sz w:val="22"/>
          <w:szCs w:val="22"/>
        </w:rPr>
      </w:pPr>
    </w:p>
    <w:p w:rsidR="00857CDA" w:rsidRDefault="00857CDA" w:rsidP="00857CDA">
      <w:pPr>
        <w:rPr>
          <w:rFonts w:ascii="Arial" w:hAnsi="Arial" w:cs="Arial"/>
          <w:b/>
          <w:bCs/>
        </w:rPr>
      </w:pPr>
    </w:p>
    <w:p w:rsidR="00857CDA" w:rsidRDefault="00857CDA" w:rsidP="00857CDA">
      <w:pPr>
        <w:rPr>
          <w:rFonts w:ascii="Arial" w:hAnsi="Arial" w:cs="Arial"/>
          <w:b/>
          <w:bCs/>
        </w:rPr>
      </w:pPr>
    </w:p>
    <w:p w:rsidR="00857CDA" w:rsidRDefault="00857CDA" w:rsidP="00857CDA">
      <w:pPr>
        <w:rPr>
          <w:rFonts w:ascii="Arial" w:hAnsi="Arial" w:cs="Arial"/>
          <w:b/>
          <w:bCs/>
        </w:rPr>
      </w:pPr>
    </w:p>
    <w:p w:rsidR="00857CDA" w:rsidRDefault="00857CDA" w:rsidP="00857CDA">
      <w:pPr>
        <w:rPr>
          <w:rFonts w:ascii="Arial" w:hAnsi="Arial" w:cs="Arial"/>
          <w:b/>
          <w:bCs/>
        </w:rPr>
      </w:pPr>
    </w:p>
    <w:p w:rsidR="00857CDA" w:rsidRDefault="00857CDA" w:rsidP="00857CDA">
      <w:pPr>
        <w:rPr>
          <w:rFonts w:ascii="Arial" w:hAnsi="Arial" w:cs="Arial"/>
          <w:b/>
          <w:bCs/>
        </w:rPr>
      </w:pPr>
    </w:p>
    <w:p w:rsidR="00857CDA" w:rsidRPr="008F1FC7" w:rsidRDefault="00857CDA" w:rsidP="00857CDA">
      <w:pPr>
        <w:pBdr>
          <w:top w:val="thickThinSmallGap" w:sz="24" w:space="1" w:color="auto" w:shadow="1"/>
          <w:left w:val="thickThinSmallGap" w:sz="24" w:space="31" w:color="auto" w:shadow="1"/>
          <w:bottom w:val="thickThinSmallGap" w:sz="24" w:space="1" w:color="auto" w:shadow="1"/>
          <w:right w:val="thickThinSmallGap" w:sz="24" w:space="4" w:color="auto" w:shadow="1"/>
        </w:pBdr>
        <w:ind w:left="567" w:right="425"/>
        <w:jc w:val="center"/>
        <w:rPr>
          <w:b/>
          <w:sz w:val="36"/>
          <w:szCs w:val="36"/>
        </w:rPr>
      </w:pPr>
      <w:r w:rsidRPr="008F1FC7">
        <w:rPr>
          <w:b/>
          <w:sz w:val="36"/>
          <w:szCs w:val="36"/>
        </w:rPr>
        <w:t xml:space="preserve">Note méthodologique </w:t>
      </w:r>
      <w:r w:rsidR="00C46805" w:rsidRPr="008F1FC7">
        <w:rPr>
          <w:b/>
          <w:sz w:val="36"/>
          <w:szCs w:val="36"/>
        </w:rPr>
        <w:t>d</w:t>
      </w:r>
      <w:r w:rsidR="00681EC9" w:rsidRPr="008F1FC7">
        <w:rPr>
          <w:b/>
          <w:sz w:val="36"/>
          <w:szCs w:val="36"/>
        </w:rPr>
        <w:t xml:space="preserve">e </w:t>
      </w:r>
      <w:r w:rsidR="007A5B95">
        <w:rPr>
          <w:b/>
          <w:sz w:val="36"/>
          <w:szCs w:val="36"/>
        </w:rPr>
        <w:t>l’Indice des Prix de Production des S</w:t>
      </w:r>
      <w:bookmarkStart w:id="0" w:name="_GoBack"/>
      <w:bookmarkEnd w:id="0"/>
      <w:r w:rsidR="007A5B95" w:rsidRPr="007A5B95">
        <w:rPr>
          <w:b/>
          <w:sz w:val="36"/>
          <w:szCs w:val="36"/>
        </w:rPr>
        <w:t>ervices (IPPS)</w:t>
      </w:r>
    </w:p>
    <w:p w:rsidR="008F1FC7" w:rsidRDefault="008F1FC7" w:rsidP="008F1FC7"/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noProof/>
          <w:color w:val="3366FF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4" o:spid="_x0000_s1028" type="#_x0000_t202" style="position:absolute;margin-left:-29.3pt;margin-top:-12.15pt;width:491.6pt;height:503.2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">
            <v:textbox style="mso-next-textbox:#Text Box 14">
              <w:txbxContent>
                <w:p w:rsidR="007A5B95" w:rsidRDefault="007A5B95" w:rsidP="007A5B95">
                  <w:pPr>
                    <w:jc w:val="both"/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</w:pPr>
                  <w:r w:rsidRPr="00C06A56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Champ couvert</w:t>
                  </w:r>
                </w:p>
                <w:p w:rsidR="007A5B95" w:rsidRPr="00D027F8" w:rsidRDefault="007A5B95" w:rsidP="007A5B95">
                  <w:pPr>
                    <w:jc w:val="both"/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</w:pPr>
                </w:p>
                <w:p w:rsidR="007A5B95" w:rsidRDefault="007A5B95" w:rsidP="007A5B95">
                  <w:pPr>
                    <w:pStyle w:val="Textebrut1"/>
                    <w:jc w:val="both"/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</w:pP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 xml:space="preserve">L’indice des prix de production des services </w:t>
                  </w:r>
                  <w:r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>(IPPS)</w:t>
                  </w: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 xml:space="preserve"> couvre les services destinés à toutes les utilisations : consommations intermédiaires, con</w:t>
                  </w:r>
                  <w:r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 xml:space="preserve">sommation finale et exportation. </w:t>
                  </w: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>L’IPPS est un indice calculé au niveau national. Pour ce faire,</w:t>
                  </w:r>
                  <w:r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 xml:space="preserve"> la collecte des prix est </w:t>
                  </w: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>effectuée auprès d’un échantillon représentatif d’entreprises.</w:t>
                  </w:r>
                </w:p>
                <w:p w:rsidR="007A5B95" w:rsidRPr="003F2717" w:rsidRDefault="007A5B95" w:rsidP="007A5B95">
                  <w:pPr>
                    <w:pStyle w:val="Textebrut1"/>
                    <w:jc w:val="both"/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</w:pPr>
                </w:p>
                <w:p w:rsidR="007A5B95" w:rsidRDefault="007A5B95" w:rsidP="007A5B95">
                  <w:pPr>
                    <w:jc w:val="both"/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</w:pPr>
                  <w:r w:rsidRPr="00C06A56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Echantillon</w:t>
                  </w:r>
                </w:p>
                <w:p w:rsidR="007A5B95" w:rsidRPr="00C06A56" w:rsidRDefault="007A5B95" w:rsidP="007A5B95">
                  <w:pPr>
                    <w:jc w:val="both"/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</w:pPr>
                </w:p>
                <w:p w:rsidR="007A5B95" w:rsidRPr="00E01680" w:rsidRDefault="007A5B95" w:rsidP="007A5B95">
                  <w:pPr>
                    <w:pStyle w:val="Textebrut1"/>
                    <w:jc w:val="both"/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</w:pP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>La sélection des entreprises et des services néce</w:t>
                  </w:r>
                  <w:r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 xml:space="preserve">ssaires au calcul de l’IPPS s’est </w:t>
                  </w: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>fait</w:t>
                  </w:r>
                  <w:r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>e</w:t>
                  </w: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 xml:space="preserve"> en deux étapes. La première vise à sélectionner les e</w:t>
                  </w:r>
                  <w:r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>ntreprise</w:t>
                  </w: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 xml:space="preserve">s et la seconde </w:t>
                  </w:r>
                  <w:r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>à choisir les services retenus</w:t>
                  </w: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 xml:space="preserve"> pour chaque entreprise. </w:t>
                  </w:r>
                </w:p>
                <w:p w:rsidR="007A5B95" w:rsidRDefault="007A5B95" w:rsidP="007A5B95">
                  <w:pPr>
                    <w:pStyle w:val="Textebrut1"/>
                    <w:jc w:val="both"/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</w:pP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>La sélectio</w:t>
                  </w:r>
                  <w:r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>n des entreprises est réalisée</w:t>
                  </w: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 xml:space="preserve"> avec précauti</w:t>
                  </w:r>
                  <w:r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>on, en raison de celles qui ne f</w:t>
                  </w: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>ont pas totalement de service et qui n’exercent l’activité de</w:t>
                  </w:r>
                  <w:r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 xml:space="preserve"> service qu’à titre secondaire. </w:t>
                  </w: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>Lors de l’échantillonnage des entreprises, c’est le chiffre d’affaires de l’établissement exerçan</w:t>
                  </w:r>
                  <w:r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>t l’activité de service qui est</w:t>
                  </w: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 xml:space="preserve"> utilisé et non le chiffre d’</w:t>
                  </w:r>
                  <w:r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 xml:space="preserve">affaires total de l’entreprise. </w:t>
                  </w:r>
                </w:p>
                <w:p w:rsidR="007A5B95" w:rsidRPr="00E01680" w:rsidRDefault="007A5B95" w:rsidP="007A5B95">
                  <w:pPr>
                    <w:pStyle w:val="Textebrut1"/>
                    <w:jc w:val="both"/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</w:pPr>
                </w:p>
                <w:p w:rsidR="007A5B95" w:rsidRDefault="007A5B95" w:rsidP="007A5B95">
                  <w:pPr>
                    <w:spacing w:before="120" w:after="120"/>
                    <w:jc w:val="both"/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</w:pPr>
                  <w:r w:rsidRPr="00DB6F3E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Modalité de tirage de l’échantillon</w:t>
                  </w:r>
                </w:p>
                <w:p w:rsidR="007A5B95" w:rsidRPr="00E01680" w:rsidRDefault="007A5B95" w:rsidP="007A5B95">
                  <w:pPr>
                    <w:pStyle w:val="Textebrut1"/>
                    <w:jc w:val="both"/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</w:pP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 xml:space="preserve">Dans une branche donnée, les services ne sont pas tous suivis. Seuls les services les plus représentatifs de la branche sont retenus. </w:t>
                  </w:r>
                </w:p>
                <w:p w:rsidR="007A5B95" w:rsidRPr="00E01680" w:rsidRDefault="007A5B95" w:rsidP="007A5B95">
                  <w:pPr>
                    <w:pStyle w:val="Textebrut1"/>
                    <w:jc w:val="both"/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</w:pP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 xml:space="preserve">Les entreprises sélectionnées sont classées selon les différentes sous-branches. </w:t>
                  </w:r>
                  <w:r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>Pour chacune d’elles le</w:t>
                  </w: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>s services caractéristiques au regard de leur sous-branche d’app</w:t>
                  </w:r>
                  <w:r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 xml:space="preserve">artenance sont choisis. Ces services </w:t>
                  </w: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 xml:space="preserve">: </w:t>
                  </w:r>
                </w:p>
                <w:p w:rsidR="007A5B95" w:rsidRPr="00E01680" w:rsidRDefault="007A5B95" w:rsidP="007A5B95">
                  <w:pPr>
                    <w:pStyle w:val="Textebrut1"/>
                    <w:jc w:val="both"/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>- constituent</w:t>
                  </w: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 xml:space="preserve"> une part importante du chiffre d’affaires de l’entreprise considérée ;</w:t>
                  </w:r>
                </w:p>
                <w:p w:rsidR="007A5B95" w:rsidRPr="00E01680" w:rsidRDefault="007A5B95" w:rsidP="007A5B95">
                  <w:pPr>
                    <w:pStyle w:val="Textebrut1"/>
                    <w:jc w:val="both"/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>- présentent</w:t>
                  </w: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 xml:space="preserve"> une certaine stabilité dans le temps pour limiter les besoins de mise à jour de la liste de services ou bien l’impact des effets</w:t>
                  </w:r>
                  <w:r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 xml:space="preserve"> de</w:t>
                  </w: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 xml:space="preserve"> qualité liés à l’évolution technologique des services ;</w:t>
                  </w:r>
                </w:p>
                <w:p w:rsidR="007A5B95" w:rsidRPr="00E01680" w:rsidRDefault="007A5B95" w:rsidP="007A5B95">
                  <w:pPr>
                    <w:pStyle w:val="Textebrut1"/>
                    <w:jc w:val="both"/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</w:pP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>-</w:t>
                  </w:r>
                  <w:r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 xml:space="preserve"> sont </w:t>
                  </w: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>facilement mesurables</w:t>
                  </w:r>
                  <w:r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> ;</w:t>
                  </w:r>
                </w:p>
                <w:p w:rsidR="007A5B95" w:rsidRPr="00E01680" w:rsidRDefault="007A5B95" w:rsidP="007A5B95">
                  <w:pPr>
                    <w:pStyle w:val="Textebrut1"/>
                    <w:jc w:val="both"/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>- présentent</w:t>
                  </w: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 xml:space="preserve"> un intérêt économique et social.</w:t>
                  </w:r>
                </w:p>
                <w:p w:rsidR="007A5B95" w:rsidRPr="00E01680" w:rsidRDefault="007A5B95" w:rsidP="007A5B95">
                  <w:pPr>
                    <w:pStyle w:val="Textebrut1"/>
                    <w:jc w:val="both"/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</w:pP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>Pour chaque sous-branche, l’ensemble des services est classé par ordre décroissant selon le chiffre d’affaires et la sélection des s</w:t>
                  </w:r>
                  <w:r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>ervices</w:t>
                  </w: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 xml:space="preserve"> dont la somme cumulée des poids au regard de la sous-branche atteint 90% est effect</w:t>
                  </w:r>
                  <w:r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>uée. L</w:t>
                  </w: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>es services qui n’ont qu’un faible poids dans le chiffre d’affaires des entreprises de l’échantillon</w:t>
                  </w:r>
                  <w:r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 xml:space="preserve"> sont exclus</w:t>
                  </w:r>
                  <w:r w:rsidRPr="00E01680">
                    <w:rPr>
                      <w:rFonts w:ascii="Times New Roman" w:hAnsi="Times New Roman" w:cs="Times New Roman"/>
                      <w:i/>
                      <w:iCs/>
                      <w:lang w:val="fr-BE"/>
                    </w:rPr>
                    <w:t xml:space="preserve">. </w:t>
                  </w:r>
                </w:p>
                <w:p w:rsidR="007A5B95" w:rsidRPr="00C06A56" w:rsidRDefault="007A5B95" w:rsidP="007A5B95">
                  <w:pPr>
                    <w:spacing w:before="120" w:after="120"/>
                    <w:jc w:val="both"/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</w:pPr>
                  <w:r w:rsidRPr="00C06A56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Modalité de calcul des indices</w:t>
                  </w:r>
                </w:p>
                <w:p w:rsidR="007A5B95" w:rsidRPr="00E573DA" w:rsidRDefault="007A5B95" w:rsidP="007A5B95">
                  <w:pPr>
                    <w:spacing w:before="120" w:after="40"/>
                    <w:jc w:val="both"/>
                    <w:rPr>
                      <w:i/>
                      <w:iCs/>
                      <w:sz w:val="20"/>
                      <w:szCs w:val="20"/>
                      <w:lang w:val="fr-BE"/>
                    </w:rPr>
                  </w:pPr>
                  <w:r>
                    <w:rPr>
                      <w:i/>
                      <w:iCs/>
                      <w:sz w:val="20"/>
                      <w:szCs w:val="20"/>
                      <w:lang w:val="fr-BE"/>
                    </w:rPr>
                    <w:t xml:space="preserve">Le calcul des indices est effectué </w:t>
                  </w:r>
                  <w:r w:rsidRPr="00C06A56">
                    <w:rPr>
                      <w:i/>
                      <w:iCs/>
                      <w:sz w:val="20"/>
                      <w:szCs w:val="20"/>
                      <w:lang w:val="fr-BE"/>
                    </w:rPr>
                    <w:t xml:space="preserve">de manière hiérarchisée </w:t>
                  </w:r>
                  <w:r>
                    <w:rPr>
                      <w:i/>
                      <w:iCs/>
                      <w:sz w:val="20"/>
                      <w:szCs w:val="20"/>
                      <w:lang w:val="fr-BE"/>
                    </w:rPr>
                    <w:t>en partant d</w:t>
                  </w:r>
                  <w:r w:rsidRPr="00C06A56">
                    <w:rPr>
                      <w:i/>
                      <w:iCs/>
                      <w:sz w:val="20"/>
                      <w:szCs w:val="20"/>
                      <w:lang w:val="fr-BE"/>
                    </w:rPr>
                    <w:t xml:space="preserve">es indices élémentaires </w:t>
                  </w:r>
                  <w:r>
                    <w:rPr>
                      <w:i/>
                      <w:iCs/>
                      <w:sz w:val="20"/>
                      <w:szCs w:val="20"/>
                      <w:lang w:val="fr-BE"/>
                    </w:rPr>
                    <w:t xml:space="preserve">aux indices de </w:t>
                  </w:r>
                  <w:r w:rsidRPr="00C06A56">
                    <w:rPr>
                      <w:i/>
                      <w:iCs/>
                      <w:sz w:val="20"/>
                      <w:szCs w:val="20"/>
                      <w:lang w:val="fr-BE"/>
                    </w:rPr>
                    <w:t>sous-branche et à l’IP</w:t>
                  </w:r>
                  <w:r>
                    <w:rPr>
                      <w:i/>
                      <w:iCs/>
                      <w:sz w:val="20"/>
                      <w:szCs w:val="20"/>
                      <w:lang w:val="fr-BE"/>
                    </w:rPr>
                    <w:t>PS n</w:t>
                  </w:r>
                  <w:r w:rsidRPr="00C06A56">
                    <w:rPr>
                      <w:i/>
                      <w:iCs/>
                      <w:sz w:val="20"/>
                      <w:szCs w:val="20"/>
                      <w:lang w:val="fr-BE"/>
                    </w:rPr>
                    <w:t>ational.</w:t>
                  </w:r>
                </w:p>
                <w:p w:rsidR="007A5B95" w:rsidRDefault="007A5B95" w:rsidP="007A5B95">
                  <w:pPr>
                    <w:spacing w:before="120" w:after="120"/>
                    <w:jc w:val="both"/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</w:pPr>
                  <w:r w:rsidRPr="00C06A56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Diffusion</w:t>
                  </w:r>
                </w:p>
                <w:p w:rsidR="007A5B95" w:rsidRDefault="007A5B95" w:rsidP="007A5B95">
                  <w:pPr>
                    <w:jc w:val="both"/>
                    <w:rPr>
                      <w:i/>
                      <w:iCs/>
                      <w:sz w:val="20"/>
                      <w:szCs w:val="20"/>
                      <w:lang w:val="fr-BE"/>
                    </w:rPr>
                  </w:pPr>
                  <w:r w:rsidRPr="00F27102">
                    <w:rPr>
                      <w:i/>
                      <w:iCs/>
                      <w:sz w:val="20"/>
                      <w:szCs w:val="20"/>
                      <w:lang w:val="fr-BE"/>
                    </w:rPr>
                    <w:t xml:space="preserve">Les indices sont présentés </w:t>
                  </w:r>
                  <w:r>
                    <w:rPr>
                      <w:i/>
                      <w:iCs/>
                      <w:sz w:val="20"/>
                      <w:szCs w:val="20"/>
                      <w:lang w:val="fr-BE"/>
                    </w:rPr>
                    <w:t xml:space="preserve">dans un tableau au niveau branche et sous-branche </w:t>
                  </w:r>
                  <w:r w:rsidRPr="00F27102">
                    <w:rPr>
                      <w:i/>
                      <w:iCs/>
                      <w:sz w:val="20"/>
                      <w:szCs w:val="20"/>
                      <w:lang w:val="fr-BE"/>
                    </w:rPr>
                    <w:t xml:space="preserve">selon la nomenclature des activités et produits </w:t>
                  </w:r>
                  <w:r>
                    <w:rPr>
                      <w:i/>
                      <w:iCs/>
                      <w:sz w:val="20"/>
                      <w:szCs w:val="20"/>
                      <w:lang w:val="fr-BE"/>
                    </w:rPr>
                    <w:t xml:space="preserve">des Etats membres d’AFRISTAT (NAEMA, rev1). </w:t>
                  </w:r>
                  <w:r w:rsidRPr="00F27102">
                    <w:rPr>
                      <w:i/>
                      <w:iCs/>
                      <w:sz w:val="20"/>
                      <w:szCs w:val="20"/>
                      <w:lang w:val="fr-BE"/>
                    </w:rPr>
                    <w:t xml:space="preserve">Les indices sont disponibles au plus tard </w:t>
                  </w:r>
                  <w:r>
                    <w:rPr>
                      <w:i/>
                      <w:iCs/>
                      <w:sz w:val="20"/>
                      <w:szCs w:val="20"/>
                      <w:lang w:val="fr-BE"/>
                    </w:rPr>
                    <w:t xml:space="preserve">60 </w:t>
                  </w:r>
                  <w:r w:rsidRPr="00F27102">
                    <w:rPr>
                      <w:i/>
                      <w:iCs/>
                      <w:sz w:val="20"/>
                      <w:szCs w:val="20"/>
                      <w:lang w:val="fr-BE"/>
                    </w:rPr>
                    <w:t xml:space="preserve">jours après la fin du </w:t>
                  </w:r>
                  <w:r>
                    <w:rPr>
                      <w:i/>
                      <w:iCs/>
                      <w:sz w:val="20"/>
                      <w:szCs w:val="20"/>
                      <w:lang w:val="fr-BE"/>
                    </w:rPr>
                    <w:t>trimestre</w:t>
                  </w:r>
                  <w:r w:rsidRPr="00F27102">
                    <w:rPr>
                      <w:i/>
                      <w:iCs/>
                      <w:sz w:val="20"/>
                      <w:szCs w:val="20"/>
                      <w:lang w:val="fr-BE"/>
                    </w:rPr>
                    <w:t xml:space="preserve"> sous revue. </w:t>
                  </w:r>
                  <w:r>
                    <w:rPr>
                      <w:i/>
                      <w:iCs/>
                      <w:sz w:val="20"/>
                      <w:szCs w:val="20"/>
                      <w:lang w:val="fr-BE"/>
                    </w:rPr>
                    <w:t xml:space="preserve">Ils sont </w:t>
                  </w:r>
                  <w:r w:rsidRPr="00F27102">
                    <w:rPr>
                      <w:i/>
                      <w:iCs/>
                      <w:sz w:val="20"/>
                      <w:szCs w:val="20"/>
                      <w:lang w:val="fr-BE"/>
                    </w:rPr>
                    <w:t>accessible</w:t>
                  </w:r>
                  <w:r>
                    <w:rPr>
                      <w:i/>
                      <w:iCs/>
                      <w:sz w:val="20"/>
                      <w:szCs w:val="20"/>
                      <w:lang w:val="fr-BE"/>
                    </w:rPr>
                    <w:t>s</w:t>
                  </w:r>
                  <w:r w:rsidRPr="00F27102">
                    <w:rPr>
                      <w:i/>
                      <w:iCs/>
                      <w:sz w:val="20"/>
                      <w:szCs w:val="20"/>
                      <w:lang w:val="fr-BE"/>
                    </w:rPr>
                    <w:t xml:space="preserve"> sur le site internet de l’A</w:t>
                  </w:r>
                  <w:r>
                    <w:rPr>
                      <w:i/>
                      <w:iCs/>
                      <w:sz w:val="20"/>
                      <w:szCs w:val="20"/>
                      <w:lang w:val="fr-BE"/>
                    </w:rPr>
                    <w:t>gence</w:t>
                  </w:r>
                  <w:r w:rsidRPr="00F27102">
                    <w:rPr>
                      <w:i/>
                      <w:iCs/>
                      <w:sz w:val="20"/>
                      <w:szCs w:val="20"/>
                      <w:lang w:val="fr-BE"/>
                    </w:rPr>
                    <w:t> </w:t>
                  </w:r>
                  <w:r w:rsidRPr="00A749BE">
                    <w:rPr>
                      <w:i/>
                      <w:iCs/>
                      <w:sz w:val="20"/>
                      <w:szCs w:val="20"/>
                      <w:lang w:val="fr-BE"/>
                    </w:rPr>
                    <w:t xml:space="preserve">: </w:t>
                  </w:r>
                  <w:hyperlink r:id="rId10" w:history="1">
                    <w:r w:rsidRPr="00A749BE">
                      <w:rPr>
                        <w:i/>
                        <w:iCs/>
                        <w:sz w:val="20"/>
                        <w:szCs w:val="20"/>
                      </w:rPr>
                      <w:t>www.ansd.sn</w:t>
                    </w:r>
                  </w:hyperlink>
                  <w:r w:rsidRPr="00AB2BCB">
                    <w:rPr>
                      <w:i/>
                      <w:iCs/>
                      <w:sz w:val="20"/>
                      <w:szCs w:val="20"/>
                      <w:lang w:val="fr-BE"/>
                    </w:rPr>
                    <w:t>.</w:t>
                  </w:r>
                  <w:r w:rsidRPr="00F27102">
                    <w:rPr>
                      <w:i/>
                      <w:iCs/>
                      <w:sz w:val="20"/>
                      <w:szCs w:val="20"/>
                      <w:lang w:val="fr-BE"/>
                    </w:rPr>
                    <w:t xml:space="preserve"> La diffusion de la publication est faite largement en direction des utilisateurs (administrations nationales, médias nationaux et organismes internationaux</w:t>
                  </w:r>
                  <w:r>
                    <w:rPr>
                      <w:i/>
                      <w:iCs/>
                      <w:sz w:val="20"/>
                      <w:szCs w:val="20"/>
                      <w:lang w:val="fr-BE"/>
                    </w:rPr>
                    <w:t xml:space="preserve"> etc.)</w:t>
                  </w:r>
                </w:p>
                <w:p w:rsidR="007A5B95" w:rsidRPr="00F27102" w:rsidRDefault="007A5B95" w:rsidP="007A5B95">
                  <w:pPr>
                    <w:jc w:val="both"/>
                    <w:rPr>
                      <w:i/>
                      <w:iCs/>
                      <w:sz w:val="20"/>
                      <w:szCs w:val="20"/>
                      <w:lang w:val="fr-BE"/>
                    </w:rPr>
                  </w:pPr>
                </w:p>
                <w:p w:rsidR="007A5B95" w:rsidRPr="00D81305" w:rsidRDefault="007A5B95" w:rsidP="007A5B95">
                  <w:pPr>
                    <w:rPr>
                      <w:lang w:val="fr-BE"/>
                    </w:rPr>
                  </w:pPr>
                </w:p>
              </w:txbxContent>
            </v:textbox>
          </v:shape>
        </w:pict>
      </w: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7A5B95" w:rsidRDefault="007A5B95" w:rsidP="007A5B95">
      <w:pPr>
        <w:rPr>
          <w:rFonts w:ascii="Arial" w:hAnsi="Arial" w:cs="Arial"/>
          <w:b/>
          <w:bCs/>
          <w:sz w:val="18"/>
          <w:szCs w:val="18"/>
        </w:rPr>
      </w:pPr>
    </w:p>
    <w:p w:rsidR="00E94A28" w:rsidRPr="005A038D" w:rsidRDefault="00E94A28" w:rsidP="008F1FC7">
      <w:pPr>
        <w:rPr>
          <w:i/>
          <w:sz w:val="22"/>
          <w:szCs w:val="22"/>
        </w:rPr>
      </w:pPr>
    </w:p>
    <w:sectPr w:rsidR="00E94A28" w:rsidRPr="005A038D" w:rsidSect="00E94A28">
      <w:pgSz w:w="11906" w:h="16838"/>
      <w:pgMar w:top="141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7B27" w:rsidRDefault="00217B27" w:rsidP="00E03D38">
      <w:r>
        <w:separator/>
      </w:r>
    </w:p>
  </w:endnote>
  <w:endnote w:type="continuationSeparator" w:id="0">
    <w:p w:rsidR="00217B27" w:rsidRDefault="00217B27" w:rsidP="00E03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">
    <w:altName w:val="Candara"/>
    <w:charset w:val="00"/>
    <w:family w:val="swiss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7B27" w:rsidRDefault="00217B27" w:rsidP="00E03D38">
      <w:r>
        <w:separator/>
      </w:r>
    </w:p>
  </w:footnote>
  <w:footnote w:type="continuationSeparator" w:id="0">
    <w:p w:rsidR="00217B27" w:rsidRDefault="00217B27" w:rsidP="00E03D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356FD0"/>
    <w:multiLevelType w:val="hybridMultilevel"/>
    <w:tmpl w:val="672C7882"/>
    <w:lvl w:ilvl="0" w:tplc="A4FE17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2F43258"/>
    <w:multiLevelType w:val="hybridMultilevel"/>
    <w:tmpl w:val="9B0CBD90"/>
    <w:lvl w:ilvl="0" w:tplc="545224A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2E0305"/>
    <w:multiLevelType w:val="hybridMultilevel"/>
    <w:tmpl w:val="15D639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1430969"/>
    <w:multiLevelType w:val="hybridMultilevel"/>
    <w:tmpl w:val="487635F0"/>
    <w:lvl w:ilvl="0" w:tplc="040C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57CDA"/>
    <w:rsid w:val="000712D6"/>
    <w:rsid w:val="00135AEE"/>
    <w:rsid w:val="00144BF7"/>
    <w:rsid w:val="001F5355"/>
    <w:rsid w:val="00217B27"/>
    <w:rsid w:val="00240C60"/>
    <w:rsid w:val="00281CA8"/>
    <w:rsid w:val="002838F2"/>
    <w:rsid w:val="002A0EAC"/>
    <w:rsid w:val="002D2118"/>
    <w:rsid w:val="002E49BD"/>
    <w:rsid w:val="00304D58"/>
    <w:rsid w:val="00382785"/>
    <w:rsid w:val="003866AC"/>
    <w:rsid w:val="003B6508"/>
    <w:rsid w:val="003B731C"/>
    <w:rsid w:val="003C1A1E"/>
    <w:rsid w:val="00470996"/>
    <w:rsid w:val="004F2661"/>
    <w:rsid w:val="00523695"/>
    <w:rsid w:val="005A038D"/>
    <w:rsid w:val="005A13B6"/>
    <w:rsid w:val="00600606"/>
    <w:rsid w:val="00657AA6"/>
    <w:rsid w:val="00681EC9"/>
    <w:rsid w:val="006B37BE"/>
    <w:rsid w:val="006D2F03"/>
    <w:rsid w:val="006F0A92"/>
    <w:rsid w:val="007A5B95"/>
    <w:rsid w:val="00807AAB"/>
    <w:rsid w:val="00857CDA"/>
    <w:rsid w:val="00866145"/>
    <w:rsid w:val="00891AEB"/>
    <w:rsid w:val="008B0414"/>
    <w:rsid w:val="008F1FC7"/>
    <w:rsid w:val="008F7B66"/>
    <w:rsid w:val="009271C0"/>
    <w:rsid w:val="00947012"/>
    <w:rsid w:val="00962B5F"/>
    <w:rsid w:val="009F6CEB"/>
    <w:rsid w:val="00A054AA"/>
    <w:rsid w:val="00B53BB3"/>
    <w:rsid w:val="00B8167D"/>
    <w:rsid w:val="00BB6A60"/>
    <w:rsid w:val="00C46805"/>
    <w:rsid w:val="00CD6DC9"/>
    <w:rsid w:val="00D36F64"/>
    <w:rsid w:val="00DE633D"/>
    <w:rsid w:val="00DF6566"/>
    <w:rsid w:val="00E03D38"/>
    <w:rsid w:val="00E27C2C"/>
    <w:rsid w:val="00E55154"/>
    <w:rsid w:val="00E94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docId w15:val="{549C6468-4C9C-4857-B039-E8067DB14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eastAsiaTheme="minorHAnsi" w:hAnsi="Tahoma" w:cs="Tahoma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7C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6B37B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rsid w:val="00857CDA"/>
    <w:rPr>
      <w:color w:val="0000FF"/>
      <w:u w:val="single"/>
    </w:rPr>
  </w:style>
  <w:style w:type="paragraph" w:styleId="Notedebasdepage">
    <w:name w:val="footnote text"/>
    <w:basedOn w:val="Normal"/>
    <w:link w:val="NotedebasdepageCar"/>
    <w:rsid w:val="00E03D38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E03D38"/>
    <w:rPr>
      <w:rFonts w:ascii="Times New Roman" w:eastAsia="Times New Roman" w:hAnsi="Times New Roman" w:cs="Times New Roman"/>
      <w:lang w:eastAsia="fr-FR"/>
    </w:rPr>
  </w:style>
  <w:style w:type="character" w:styleId="Appelnotedebasdep">
    <w:name w:val="footnote reference"/>
    <w:basedOn w:val="Policepardfaut"/>
    <w:rsid w:val="00E03D38"/>
    <w:rPr>
      <w:vertAlign w:val="superscript"/>
    </w:rPr>
  </w:style>
  <w:style w:type="table" w:styleId="Grilledutableau">
    <w:name w:val="Table Grid"/>
    <w:basedOn w:val="TableauNormal"/>
    <w:rsid w:val="00E94A28"/>
    <w:pPr>
      <w:spacing w:after="0" w:line="240" w:lineRule="auto"/>
    </w:pPr>
    <w:rPr>
      <w:rFonts w:ascii="Times New Roman" w:eastAsia="Times New Roman" w:hAnsi="Times New Roman" w:cs="Times New Roman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94A2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4A28"/>
    <w:rPr>
      <w:rFonts w:eastAsia="Times New Roman"/>
      <w:sz w:val="16"/>
      <w:szCs w:val="16"/>
      <w:lang w:eastAsia="fr-FR"/>
    </w:rPr>
  </w:style>
  <w:style w:type="paragraph" w:styleId="Titre">
    <w:name w:val="Title"/>
    <w:basedOn w:val="Normal"/>
    <w:link w:val="TitreCar"/>
    <w:qFormat/>
    <w:rsid w:val="00C46805"/>
    <w:pPr>
      <w:autoSpaceDE w:val="0"/>
      <w:autoSpaceDN w:val="0"/>
      <w:adjustRightInd w:val="0"/>
      <w:jc w:val="center"/>
    </w:pPr>
    <w:rPr>
      <w:rFonts w:ascii="Albertus" w:hAnsi="Albertus" w:cs="Albertus"/>
      <w:b/>
      <w:bCs/>
      <w:sz w:val="28"/>
      <w:szCs w:val="28"/>
    </w:rPr>
  </w:style>
  <w:style w:type="character" w:customStyle="1" w:styleId="TitreCar">
    <w:name w:val="Titre Car"/>
    <w:basedOn w:val="Policepardfaut"/>
    <w:link w:val="Titre"/>
    <w:rsid w:val="00C46805"/>
    <w:rPr>
      <w:rFonts w:ascii="Albertus" w:eastAsia="Times New Roman" w:hAnsi="Albertus" w:cs="Albertus"/>
      <w:b/>
      <w:bCs/>
      <w:sz w:val="28"/>
      <w:szCs w:val="28"/>
      <w:lang w:eastAsia="fr-FR"/>
    </w:rPr>
  </w:style>
  <w:style w:type="paragraph" w:styleId="Paragraphedeliste">
    <w:name w:val="List Paragraph"/>
    <w:basedOn w:val="Normal"/>
    <w:uiPriority w:val="34"/>
    <w:qFormat/>
    <w:rsid w:val="005A038D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6B37BE"/>
    <w:rPr>
      <w:rFonts w:ascii="Arial" w:eastAsia="Times New Roman" w:hAnsi="Arial" w:cs="Arial"/>
      <w:b/>
      <w:bCs/>
      <w:kern w:val="32"/>
      <w:sz w:val="32"/>
      <w:szCs w:val="32"/>
      <w:lang w:eastAsia="fr-FR"/>
    </w:rPr>
  </w:style>
  <w:style w:type="paragraph" w:customStyle="1" w:styleId="Textebrut1">
    <w:name w:val="Texte brut1"/>
    <w:basedOn w:val="Normal"/>
    <w:rsid w:val="007A5B95"/>
    <w:pPr>
      <w:overflowPunct w:val="0"/>
      <w:autoSpaceDE w:val="0"/>
      <w:autoSpaceDN w:val="0"/>
      <w:adjustRightInd w:val="0"/>
      <w:jc w:val="center"/>
      <w:textAlignment w:val="baseline"/>
    </w:pPr>
    <w:rPr>
      <w:rFonts w:ascii="Courier New" w:hAnsi="Courier New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2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ansd.sn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4FCAD7B8-EF8D-4487-BB25-D4DE76A4D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199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emgueye</dc:creator>
  <cp:lastModifiedBy>El Hadji Malick GUEYE</cp:lastModifiedBy>
  <cp:revision>3</cp:revision>
  <dcterms:created xsi:type="dcterms:W3CDTF">2014-07-18T17:52:00Z</dcterms:created>
  <dcterms:modified xsi:type="dcterms:W3CDTF">2017-03-02T09:53:00Z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Harvard Reference format 1 (author-date)</vt:lpwstr>
  </property>
</Properties>
</file>