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XSpec="center" w:tblpY="653"/>
        <w:tblW w:w="3940" w:type="dxa"/>
        <w:tblBorders>
          <w:insideH w:val="single" w:sz="4" w:space="0" w:color="auto"/>
          <w:insideV w:val="single" w:sz="4" w:space="0" w:color="auto"/>
        </w:tblBorders>
        <w:tblLayout w:type="fixed"/>
        <w:tblCellMar>
          <w:left w:w="70" w:type="dxa"/>
          <w:right w:w="70" w:type="dxa"/>
        </w:tblCellMar>
        <w:tblLook w:val="0000"/>
      </w:tblPr>
      <w:tblGrid>
        <w:gridCol w:w="3940"/>
      </w:tblGrid>
      <w:tr w:rsidR="00857CDA" w:rsidRPr="00794933" w:rsidTr="005A13B6">
        <w:trPr>
          <w:trHeight w:val="2520"/>
        </w:trPr>
        <w:tc>
          <w:tcPr>
            <w:tcW w:w="3940" w:type="dxa"/>
            <w:tcBorders>
              <w:top w:val="nil"/>
              <w:bottom w:val="nil"/>
              <w:right w:val="nil"/>
            </w:tcBorders>
          </w:tcPr>
          <w:p w:rsidR="00857CDA" w:rsidRPr="00794933" w:rsidRDefault="00857CDA" w:rsidP="00857CDA">
            <w:pPr>
              <w:rPr>
                <w:b/>
                <w:bCs/>
                <w:sz w:val="26"/>
                <w:szCs w:val="26"/>
              </w:rPr>
            </w:pPr>
            <w:r w:rsidRPr="00794933">
              <w:rPr>
                <w:b/>
                <w:bCs/>
                <w:sz w:val="22"/>
                <w:szCs w:val="22"/>
              </w:rPr>
              <w:t xml:space="preserve">     </w:t>
            </w:r>
            <w:r w:rsidRPr="00794933">
              <w:rPr>
                <w:b/>
                <w:bCs/>
                <w:sz w:val="26"/>
                <w:szCs w:val="26"/>
              </w:rPr>
              <w:t>République du Sénégal</w:t>
            </w:r>
          </w:p>
          <w:p w:rsidR="00857CDA" w:rsidRPr="00794933" w:rsidRDefault="00857CDA" w:rsidP="00857CDA">
            <w:pPr>
              <w:rPr>
                <w:b/>
                <w:bCs/>
                <w:sz w:val="16"/>
                <w:szCs w:val="16"/>
              </w:rPr>
            </w:pPr>
            <w:r w:rsidRPr="00794933">
              <w:rPr>
                <w:b/>
                <w:sz w:val="16"/>
                <w:szCs w:val="16"/>
              </w:rPr>
              <w:t xml:space="preserve">          Un Peuple – Un But – Une Foi</w:t>
            </w:r>
          </w:p>
          <w:p w:rsidR="00857CDA" w:rsidRPr="00794933" w:rsidRDefault="00857CDA" w:rsidP="00857CDA">
            <w:pPr>
              <w:rPr>
                <w:b/>
                <w:sz w:val="22"/>
                <w:szCs w:val="22"/>
              </w:rPr>
            </w:pPr>
            <w:r w:rsidRPr="00794933">
              <w:rPr>
                <w:b/>
                <w:sz w:val="22"/>
                <w:szCs w:val="22"/>
              </w:rPr>
              <w:t xml:space="preserve">               ------------</w:t>
            </w:r>
          </w:p>
          <w:p w:rsidR="00857CDA" w:rsidRPr="00794933" w:rsidRDefault="001F5355" w:rsidP="00857CDA">
            <w:pPr>
              <w:rPr>
                <w:b/>
                <w:sz w:val="22"/>
                <w:szCs w:val="22"/>
              </w:rPr>
            </w:pPr>
            <w:r>
              <w:rPr>
                <w:b/>
                <w:sz w:val="22"/>
                <w:szCs w:val="22"/>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7.2pt;margin-top:.55pt;width:86.25pt;height:83.8pt;z-index:251658240" wrapcoords="-159 0 -159 21450 21600 21450 21600 0 -159 0">
                  <v:imagedata r:id="rId8" o:title=""/>
                </v:shape>
                <o:OLEObject Type="Embed" ProgID="MSPhotoEd.3" ShapeID="_x0000_s1027" DrawAspect="Content" ObjectID="_1467211197" r:id="rId9"/>
              </w:pict>
            </w:r>
            <w:r w:rsidR="00857CDA" w:rsidRPr="00794933">
              <w:rPr>
                <w:b/>
                <w:bCs/>
                <w:sz w:val="22"/>
                <w:szCs w:val="22"/>
              </w:rPr>
              <w:t xml:space="preserve">         </w:t>
            </w:r>
          </w:p>
          <w:p w:rsidR="00857CDA" w:rsidRPr="00794933" w:rsidRDefault="00857CDA" w:rsidP="00857CDA">
            <w:pPr>
              <w:jc w:val="center"/>
              <w:rPr>
                <w:b/>
                <w:sz w:val="22"/>
                <w:szCs w:val="22"/>
              </w:rPr>
            </w:pPr>
          </w:p>
          <w:p w:rsidR="00857CDA" w:rsidRPr="00794933" w:rsidRDefault="00857CDA" w:rsidP="00857CDA">
            <w:pPr>
              <w:jc w:val="center"/>
              <w:rPr>
                <w:b/>
                <w:sz w:val="22"/>
                <w:szCs w:val="22"/>
              </w:rPr>
            </w:pPr>
          </w:p>
          <w:p w:rsidR="00857CDA" w:rsidRPr="00794933" w:rsidRDefault="00857CDA" w:rsidP="00857CDA">
            <w:pPr>
              <w:jc w:val="center"/>
              <w:rPr>
                <w:b/>
                <w:sz w:val="22"/>
                <w:szCs w:val="22"/>
              </w:rPr>
            </w:pPr>
          </w:p>
          <w:p w:rsidR="00857CDA" w:rsidRPr="00794933" w:rsidRDefault="00857CDA" w:rsidP="00857CDA">
            <w:pPr>
              <w:spacing w:after="120"/>
              <w:ind w:right="1"/>
              <w:rPr>
                <w:b/>
                <w:sz w:val="22"/>
                <w:szCs w:val="22"/>
              </w:rPr>
            </w:pPr>
          </w:p>
          <w:p w:rsidR="00857CDA" w:rsidRPr="00794933" w:rsidRDefault="00857CDA" w:rsidP="00857CDA">
            <w:pPr>
              <w:spacing w:after="120"/>
              <w:ind w:right="1"/>
              <w:rPr>
                <w:b/>
                <w:sz w:val="22"/>
                <w:szCs w:val="22"/>
              </w:rPr>
            </w:pPr>
          </w:p>
        </w:tc>
      </w:tr>
    </w:tbl>
    <w:p w:rsidR="00857CDA" w:rsidRPr="00794933" w:rsidRDefault="00857CDA" w:rsidP="00857CDA">
      <w:pPr>
        <w:rPr>
          <w:rFonts w:ascii="Arial" w:hAnsi="Arial" w:cs="Arial"/>
          <w:b/>
          <w:bCs/>
          <w:sz w:val="22"/>
          <w:szCs w:val="22"/>
        </w:rPr>
      </w:pPr>
    </w:p>
    <w:p w:rsidR="00857CDA" w:rsidRPr="00794933" w:rsidRDefault="00857CDA" w:rsidP="00857CDA">
      <w:pPr>
        <w:rPr>
          <w:rFonts w:ascii="Arial" w:hAnsi="Arial" w:cs="Arial"/>
          <w:b/>
          <w:bCs/>
          <w:sz w:val="22"/>
          <w:szCs w:val="22"/>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Pr="008F1FC7" w:rsidRDefault="00857CDA" w:rsidP="00857CDA">
      <w:pPr>
        <w:pBdr>
          <w:top w:val="thickThinSmallGap" w:sz="24" w:space="1" w:color="auto" w:shadow="1"/>
          <w:left w:val="thickThinSmallGap" w:sz="24" w:space="31" w:color="auto" w:shadow="1"/>
          <w:bottom w:val="thickThinSmallGap" w:sz="24" w:space="1" w:color="auto" w:shadow="1"/>
          <w:right w:val="thickThinSmallGap" w:sz="24" w:space="4" w:color="auto" w:shadow="1"/>
        </w:pBdr>
        <w:ind w:left="567" w:right="425"/>
        <w:jc w:val="center"/>
        <w:rPr>
          <w:b/>
          <w:sz w:val="36"/>
          <w:szCs w:val="36"/>
        </w:rPr>
      </w:pPr>
      <w:r w:rsidRPr="008F1FC7">
        <w:rPr>
          <w:b/>
          <w:sz w:val="36"/>
          <w:szCs w:val="36"/>
        </w:rPr>
        <w:t xml:space="preserve">Note méthodologique </w:t>
      </w:r>
      <w:r w:rsidR="00C46805" w:rsidRPr="008F1FC7">
        <w:rPr>
          <w:b/>
          <w:sz w:val="36"/>
          <w:szCs w:val="36"/>
        </w:rPr>
        <w:t>d</w:t>
      </w:r>
      <w:r w:rsidR="00681EC9" w:rsidRPr="008F1FC7">
        <w:rPr>
          <w:b/>
          <w:sz w:val="36"/>
          <w:szCs w:val="36"/>
        </w:rPr>
        <w:t xml:space="preserve">e </w:t>
      </w:r>
      <w:r w:rsidR="008F1FC7" w:rsidRPr="008F1FC7">
        <w:rPr>
          <w:b/>
          <w:sz w:val="36"/>
          <w:szCs w:val="36"/>
        </w:rPr>
        <w:t>Note d'Analyse du Commerce Extérieur</w:t>
      </w:r>
    </w:p>
    <w:p w:rsidR="008F1FC7" w:rsidRDefault="008F1FC7" w:rsidP="008F1FC7"/>
    <w:p w:rsidR="008F1FC7" w:rsidRPr="00AD164E" w:rsidRDefault="008F1FC7" w:rsidP="008F1FC7">
      <w:pPr>
        <w:jc w:val="both"/>
        <w:rPr>
          <w:rFonts w:ascii="Arial" w:hAnsi="Arial" w:cs="Arial"/>
          <w:color w:val="000000"/>
        </w:rPr>
      </w:pPr>
      <w:r w:rsidRPr="00AD164E">
        <w:rPr>
          <w:rFonts w:ascii="Arial" w:hAnsi="Arial" w:cs="Arial"/>
          <w:color w:val="000000"/>
        </w:rPr>
        <w:t>Les données sont relatives aux statistiques du commerce spécial qui ne prend pas en compte les mouvements d’entrepôt à l’opposé du commerce général. Les exportations sont exprimées en valeur FAB (Franco À Bord, coût de la marchandise à son point de sortie du pays), les importations en valeur CAF (Coût</w:t>
      </w:r>
      <w:r>
        <w:rPr>
          <w:rFonts w:ascii="Arial" w:hAnsi="Arial" w:cs="Arial"/>
          <w:color w:val="000000"/>
        </w:rPr>
        <w:t xml:space="preserve">, </w:t>
      </w:r>
      <w:r w:rsidRPr="00AD164E">
        <w:rPr>
          <w:rFonts w:ascii="Arial" w:hAnsi="Arial" w:cs="Arial"/>
          <w:color w:val="000000"/>
        </w:rPr>
        <w:t>Assurance et Fret, coût de la marchandise à son point d’entrée au Sénégal, y compris assurance et fret). La valeur en douane</w:t>
      </w:r>
      <w:r>
        <w:rPr>
          <w:rFonts w:ascii="Arial" w:hAnsi="Arial" w:cs="Arial"/>
          <w:color w:val="000000"/>
        </w:rPr>
        <w:t xml:space="preserve"> est la valeur transactionnelle </w:t>
      </w:r>
      <w:r w:rsidRPr="00AD164E">
        <w:rPr>
          <w:rFonts w:ascii="Arial" w:hAnsi="Arial" w:cs="Arial"/>
          <w:color w:val="000000"/>
        </w:rPr>
        <w:t xml:space="preserve">dont la mise en œuvre est entrée en vigueur depuis 2001, dans le cadre de </w:t>
      </w:r>
      <w:r>
        <w:rPr>
          <w:rFonts w:ascii="Arial" w:hAnsi="Arial" w:cs="Arial"/>
          <w:color w:val="000000"/>
        </w:rPr>
        <w:t xml:space="preserve">l’application </w:t>
      </w:r>
      <w:r w:rsidRPr="00AD164E">
        <w:rPr>
          <w:rFonts w:ascii="Arial" w:hAnsi="Arial" w:cs="Arial"/>
          <w:color w:val="000000"/>
        </w:rPr>
        <w:t xml:space="preserve">de l’accord de l’Organisation Mondiale du Commerce </w:t>
      </w:r>
      <w:r>
        <w:rPr>
          <w:rFonts w:ascii="Arial" w:hAnsi="Arial" w:cs="Arial"/>
          <w:color w:val="000000"/>
        </w:rPr>
        <w:t xml:space="preserve">(OMC) </w:t>
      </w:r>
      <w:r w:rsidRPr="00AD164E">
        <w:rPr>
          <w:rFonts w:ascii="Arial" w:hAnsi="Arial" w:cs="Arial"/>
          <w:color w:val="000000"/>
        </w:rPr>
        <w:t xml:space="preserve">sur l’évaluation en douane. </w:t>
      </w:r>
      <w:r>
        <w:rPr>
          <w:rFonts w:ascii="Arial" w:hAnsi="Arial" w:cs="Arial"/>
          <w:color w:val="000000"/>
        </w:rPr>
        <w:t>Les pays partenaires sont le pays d’origine de la marchandise à l’importation et celui de sa destination finale à l’exportation. L</w:t>
      </w:r>
      <w:r w:rsidRPr="00AD164E">
        <w:rPr>
          <w:rFonts w:ascii="Arial" w:hAnsi="Arial" w:cs="Arial"/>
          <w:color w:val="000000"/>
        </w:rPr>
        <w:t xml:space="preserve">es statistiques </w:t>
      </w:r>
      <w:r>
        <w:rPr>
          <w:rFonts w:ascii="Arial" w:hAnsi="Arial" w:cs="Arial"/>
          <w:color w:val="000000"/>
        </w:rPr>
        <w:t xml:space="preserve">portant sur les échanges avec </w:t>
      </w:r>
      <w:r w:rsidRPr="00AD164E">
        <w:rPr>
          <w:rFonts w:ascii="Arial" w:hAnsi="Arial" w:cs="Arial"/>
          <w:color w:val="000000"/>
        </w:rPr>
        <w:t>l’Union Européenne se rapportent aux 2</w:t>
      </w:r>
      <w:r>
        <w:rPr>
          <w:rFonts w:ascii="Arial" w:hAnsi="Arial" w:cs="Arial"/>
          <w:color w:val="000000"/>
        </w:rPr>
        <w:t>7</w:t>
      </w:r>
      <w:r w:rsidRPr="00AD164E">
        <w:rPr>
          <w:rFonts w:ascii="Arial" w:hAnsi="Arial" w:cs="Arial"/>
          <w:color w:val="000000"/>
        </w:rPr>
        <w:t xml:space="preserve"> pays membres de ladite Union.</w:t>
      </w:r>
    </w:p>
    <w:p w:rsidR="008F1FC7" w:rsidRPr="00AD164E" w:rsidRDefault="008F1FC7" w:rsidP="008F1FC7">
      <w:pPr>
        <w:jc w:val="both"/>
        <w:rPr>
          <w:rFonts w:ascii="Arial" w:hAnsi="Arial" w:cs="Arial"/>
          <w:color w:val="000000"/>
        </w:rPr>
      </w:pPr>
    </w:p>
    <w:p w:rsidR="008F1FC7" w:rsidRDefault="008F1FC7" w:rsidP="008F1FC7">
      <w:pPr>
        <w:jc w:val="both"/>
        <w:rPr>
          <w:rFonts w:ascii="Arial" w:hAnsi="Arial" w:cs="Arial"/>
          <w:color w:val="000000"/>
        </w:rPr>
      </w:pPr>
      <w:r w:rsidRPr="00AD164E">
        <w:rPr>
          <w:rFonts w:ascii="Arial" w:hAnsi="Arial" w:cs="Arial"/>
          <w:color w:val="000000"/>
        </w:rPr>
        <w:t>Les</w:t>
      </w:r>
      <w:r>
        <w:rPr>
          <w:rFonts w:ascii="Arial" w:hAnsi="Arial" w:cs="Arial"/>
          <w:color w:val="000000"/>
        </w:rPr>
        <w:t xml:space="preserve"> </w:t>
      </w:r>
      <w:r w:rsidRPr="00AD164E">
        <w:rPr>
          <w:rFonts w:ascii="Arial" w:hAnsi="Arial" w:cs="Arial"/>
          <w:color w:val="000000"/>
        </w:rPr>
        <w:t xml:space="preserve">informations proviennent essentiellement des statistiques collectées par le système informatique douanier. Elles sont complétées par les statistiques recueillies sur certains produits de base, auprès des entreprises qui les produisent. L’extension du réseau informatique douanier a efficacement contribué à réduire les délais de dédouanement améliorant la collecte de l'information sur le commerce extérieur, particulièrement au niveau de la couverture des statistiques sur les exportations. </w:t>
      </w:r>
    </w:p>
    <w:p w:rsidR="008F1FC7" w:rsidRDefault="008F1FC7" w:rsidP="008F1FC7">
      <w:pPr>
        <w:jc w:val="both"/>
        <w:rPr>
          <w:rFonts w:ascii="Arial" w:hAnsi="Arial" w:cs="Arial"/>
          <w:color w:val="000000"/>
        </w:rPr>
      </w:pPr>
    </w:p>
    <w:p w:rsidR="008F1FC7" w:rsidRPr="0075209F" w:rsidRDefault="008F1FC7" w:rsidP="008F1FC7">
      <w:pPr>
        <w:jc w:val="both"/>
        <w:rPr>
          <w:rFonts w:ascii="Arial" w:hAnsi="Arial" w:cs="Arial"/>
        </w:rPr>
      </w:pPr>
      <w:r>
        <w:rPr>
          <w:rFonts w:ascii="Arial" w:hAnsi="Arial" w:cs="Arial"/>
        </w:rPr>
        <w:t>Dans certains cas, l</w:t>
      </w:r>
      <w:r w:rsidRPr="000F3209">
        <w:rPr>
          <w:rFonts w:ascii="Arial" w:hAnsi="Arial" w:cs="Arial"/>
        </w:rPr>
        <w:t>es opérations d’exportations des produits pétroliers ne font</w:t>
      </w:r>
      <w:r>
        <w:rPr>
          <w:rFonts w:ascii="Arial" w:hAnsi="Arial" w:cs="Arial"/>
        </w:rPr>
        <w:t xml:space="preserve"> pas </w:t>
      </w:r>
      <w:r w:rsidRPr="000F3209">
        <w:rPr>
          <w:rFonts w:ascii="Arial" w:hAnsi="Arial" w:cs="Arial"/>
        </w:rPr>
        <w:t>l’obje</w:t>
      </w:r>
      <w:r>
        <w:rPr>
          <w:rFonts w:ascii="Arial" w:hAnsi="Arial" w:cs="Arial"/>
        </w:rPr>
        <w:t>t</w:t>
      </w:r>
      <w:r w:rsidRPr="000F3209">
        <w:rPr>
          <w:rFonts w:ascii="Arial" w:hAnsi="Arial" w:cs="Arial"/>
        </w:rPr>
        <w:t xml:space="preserve"> d’un enregistrement à temps réel. </w:t>
      </w:r>
      <w:r>
        <w:rPr>
          <w:rFonts w:ascii="Arial" w:hAnsi="Arial" w:cs="Arial"/>
        </w:rPr>
        <w:t>Cette situation donne lieu à des régularisations susceptibles, de faire décaler les transactions de leur année d’exercice. Cette situation appelle des opérations statistiques majeures qui exigent en particulier une nouvelle implémentation du système d’enregistrement des données douanières. Cependant, dans la mesure où les données sont enregistrées à échantillon constant, les effets induits par le décalage temporel des données sont considérablement réduits.</w:t>
      </w:r>
    </w:p>
    <w:p w:rsidR="008F1FC7" w:rsidRDefault="008F1FC7" w:rsidP="008F1FC7">
      <w:pPr>
        <w:jc w:val="both"/>
      </w:pPr>
    </w:p>
    <w:p w:rsidR="008F1FC7" w:rsidRDefault="008F1FC7" w:rsidP="008F1FC7">
      <w:pPr>
        <w:jc w:val="both"/>
        <w:rPr>
          <w:rFonts w:ascii="Arial" w:hAnsi="Arial" w:cs="Arial"/>
          <w:color w:val="000000"/>
        </w:rPr>
      </w:pPr>
      <w:r w:rsidRPr="005F58FD">
        <w:rPr>
          <w:rFonts w:ascii="Arial" w:hAnsi="Arial" w:cs="Arial"/>
          <w:color w:val="000000"/>
        </w:rPr>
        <w:t>La base des indices des prix à l’importation et à l’exportation, a été renouvelée et alignée sur  l’année 2005. Les indices annuels résultent des moyennes arithmétiques des indices mensuels régulièrement calculés par l’ANSD.</w:t>
      </w:r>
      <w:r>
        <w:rPr>
          <w:rFonts w:ascii="Arial" w:hAnsi="Arial" w:cs="Arial"/>
          <w:color w:val="000000"/>
        </w:rPr>
        <w:t xml:space="preserve"> Par ailleurs, concernant les agrégats du commerce extérieur, le calcul du degré d’ouverture, aujourd’hui largement plus usité a été préféré au degré de dépendance. Le degré d’ouverture rapporte la moyenne des flux annuels (importation et exportation) au PIB de l’année considérée. Il traduit la place du reste du monde dans une économie.</w:t>
      </w:r>
    </w:p>
    <w:p w:rsidR="00E94A28" w:rsidRPr="005A038D" w:rsidRDefault="00E94A28" w:rsidP="008F1FC7">
      <w:pPr>
        <w:rPr>
          <w:i/>
          <w:sz w:val="22"/>
          <w:szCs w:val="22"/>
        </w:rPr>
      </w:pPr>
    </w:p>
    <w:sectPr w:rsidR="00E94A28" w:rsidRPr="005A038D" w:rsidSect="00E94A28">
      <w:pgSz w:w="11906" w:h="16838"/>
      <w:pgMar w:top="1417" w:right="1417" w:bottom="709"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0C60" w:rsidRDefault="00240C60" w:rsidP="00E03D38">
      <w:r>
        <w:separator/>
      </w:r>
    </w:p>
  </w:endnote>
  <w:endnote w:type="continuationSeparator" w:id="1">
    <w:p w:rsidR="00240C60" w:rsidRDefault="00240C60" w:rsidP="00E03D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lbertus">
    <w:altName w:val="Candara"/>
    <w:charset w:val="00"/>
    <w:family w:val="swiss"/>
    <w:pitch w:val="variable"/>
    <w:sig w:usb0="00000001"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0C60" w:rsidRDefault="00240C60" w:rsidP="00E03D38">
      <w:r>
        <w:separator/>
      </w:r>
    </w:p>
  </w:footnote>
  <w:footnote w:type="continuationSeparator" w:id="1">
    <w:p w:rsidR="00240C60" w:rsidRDefault="00240C60" w:rsidP="00E03D3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56FD0"/>
    <w:multiLevelType w:val="hybridMultilevel"/>
    <w:tmpl w:val="672C7882"/>
    <w:lvl w:ilvl="0" w:tplc="A4FE176E">
      <w:start w:val="1"/>
      <w:numFmt w:val="decimal"/>
      <w:lvlText w:val="%1."/>
      <w:lvlJc w:val="left"/>
      <w:pPr>
        <w:tabs>
          <w:tab w:val="num" w:pos="720"/>
        </w:tabs>
        <w:ind w:left="720" w:hanging="360"/>
      </w:pPr>
      <w:rPr>
        <w:rFonts w:hint="default"/>
        <w:b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nsid w:val="22F43258"/>
    <w:multiLevelType w:val="hybridMultilevel"/>
    <w:tmpl w:val="9B0CBD90"/>
    <w:lvl w:ilvl="0" w:tplc="545224A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92E0305"/>
    <w:multiLevelType w:val="hybridMultilevel"/>
    <w:tmpl w:val="15D639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1430969"/>
    <w:multiLevelType w:val="hybridMultilevel"/>
    <w:tmpl w:val="487635F0"/>
    <w:lvl w:ilvl="0" w:tplc="040C000D">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rsids>
    <w:rsidRoot w:val="00857CDA"/>
    <w:rsid w:val="000712D6"/>
    <w:rsid w:val="00135AEE"/>
    <w:rsid w:val="00144BF7"/>
    <w:rsid w:val="001F5355"/>
    <w:rsid w:val="00240C60"/>
    <w:rsid w:val="00281CA8"/>
    <w:rsid w:val="002838F2"/>
    <w:rsid w:val="002A0EAC"/>
    <w:rsid w:val="002D2118"/>
    <w:rsid w:val="002E49BD"/>
    <w:rsid w:val="00304D58"/>
    <w:rsid w:val="00382785"/>
    <w:rsid w:val="003866AC"/>
    <w:rsid w:val="003B6508"/>
    <w:rsid w:val="003B731C"/>
    <w:rsid w:val="003C1A1E"/>
    <w:rsid w:val="00470996"/>
    <w:rsid w:val="004F2661"/>
    <w:rsid w:val="00523695"/>
    <w:rsid w:val="005A038D"/>
    <w:rsid w:val="005A13B6"/>
    <w:rsid w:val="00600606"/>
    <w:rsid w:val="00657AA6"/>
    <w:rsid w:val="00681EC9"/>
    <w:rsid w:val="006B37BE"/>
    <w:rsid w:val="006D2F03"/>
    <w:rsid w:val="006F0A92"/>
    <w:rsid w:val="00807AAB"/>
    <w:rsid w:val="00857CDA"/>
    <w:rsid w:val="00866145"/>
    <w:rsid w:val="00891AEB"/>
    <w:rsid w:val="008B0414"/>
    <w:rsid w:val="008F1FC7"/>
    <w:rsid w:val="008F7B66"/>
    <w:rsid w:val="009271C0"/>
    <w:rsid w:val="00947012"/>
    <w:rsid w:val="00962B5F"/>
    <w:rsid w:val="009F6CEB"/>
    <w:rsid w:val="00A054AA"/>
    <w:rsid w:val="00B53BB3"/>
    <w:rsid w:val="00B8167D"/>
    <w:rsid w:val="00BB6A60"/>
    <w:rsid w:val="00C46805"/>
    <w:rsid w:val="00CD6DC9"/>
    <w:rsid w:val="00D36F64"/>
    <w:rsid w:val="00DE633D"/>
    <w:rsid w:val="00DF6566"/>
    <w:rsid w:val="00E03D38"/>
    <w:rsid w:val="00E27C2C"/>
    <w:rsid w:val="00E55154"/>
    <w:rsid w:val="00E94A2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ahoma" w:eastAsiaTheme="minorHAnsi" w:hAnsi="Tahoma" w:cs="Tahoma"/>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CDA"/>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6B37BE"/>
    <w:pPr>
      <w:keepNext/>
      <w:spacing w:before="240" w:after="60"/>
      <w:outlineLvl w:val="0"/>
    </w:pPr>
    <w:rPr>
      <w:rFonts w:ascii="Arial" w:hAnsi="Arial" w:cs="Arial"/>
      <w:b/>
      <w:bCs/>
      <w:kern w:val="32"/>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rsid w:val="00857CDA"/>
    <w:rPr>
      <w:color w:val="0000FF"/>
      <w:u w:val="single"/>
    </w:rPr>
  </w:style>
  <w:style w:type="paragraph" w:styleId="Notedebasdepage">
    <w:name w:val="footnote text"/>
    <w:basedOn w:val="Normal"/>
    <w:link w:val="NotedebasdepageCar"/>
    <w:rsid w:val="00E03D38"/>
    <w:rPr>
      <w:sz w:val="20"/>
      <w:szCs w:val="20"/>
    </w:rPr>
  </w:style>
  <w:style w:type="character" w:customStyle="1" w:styleId="NotedebasdepageCar">
    <w:name w:val="Note de bas de page Car"/>
    <w:basedOn w:val="Policepardfaut"/>
    <w:link w:val="Notedebasdepage"/>
    <w:rsid w:val="00E03D38"/>
    <w:rPr>
      <w:rFonts w:ascii="Times New Roman" w:eastAsia="Times New Roman" w:hAnsi="Times New Roman" w:cs="Times New Roman"/>
      <w:lang w:eastAsia="fr-FR"/>
    </w:rPr>
  </w:style>
  <w:style w:type="character" w:styleId="Appelnotedebasdep">
    <w:name w:val="footnote reference"/>
    <w:basedOn w:val="Policepardfaut"/>
    <w:rsid w:val="00E03D38"/>
    <w:rPr>
      <w:vertAlign w:val="superscript"/>
    </w:rPr>
  </w:style>
  <w:style w:type="table" w:styleId="Grilledutableau">
    <w:name w:val="Table Grid"/>
    <w:basedOn w:val="TableauNormal"/>
    <w:rsid w:val="00E94A28"/>
    <w:pPr>
      <w:spacing w:after="0" w:line="240" w:lineRule="auto"/>
    </w:pPr>
    <w:rPr>
      <w:rFonts w:ascii="Times New Roman" w:eastAsia="Times New Roman" w:hAnsi="Times New Roman" w:cs="Times New Roman"/>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E94A28"/>
    <w:rPr>
      <w:rFonts w:ascii="Tahoma" w:hAnsi="Tahoma" w:cs="Tahoma"/>
      <w:sz w:val="16"/>
      <w:szCs w:val="16"/>
    </w:rPr>
  </w:style>
  <w:style w:type="character" w:customStyle="1" w:styleId="TextedebullesCar">
    <w:name w:val="Texte de bulles Car"/>
    <w:basedOn w:val="Policepardfaut"/>
    <w:link w:val="Textedebulles"/>
    <w:uiPriority w:val="99"/>
    <w:semiHidden/>
    <w:rsid w:val="00E94A28"/>
    <w:rPr>
      <w:rFonts w:eastAsia="Times New Roman"/>
      <w:sz w:val="16"/>
      <w:szCs w:val="16"/>
      <w:lang w:eastAsia="fr-FR"/>
    </w:rPr>
  </w:style>
  <w:style w:type="paragraph" w:styleId="Titre">
    <w:name w:val="Title"/>
    <w:basedOn w:val="Normal"/>
    <w:link w:val="TitreCar"/>
    <w:qFormat/>
    <w:rsid w:val="00C46805"/>
    <w:pPr>
      <w:autoSpaceDE w:val="0"/>
      <w:autoSpaceDN w:val="0"/>
      <w:adjustRightInd w:val="0"/>
      <w:jc w:val="center"/>
    </w:pPr>
    <w:rPr>
      <w:rFonts w:ascii="Albertus" w:hAnsi="Albertus" w:cs="Albertus"/>
      <w:b/>
      <w:bCs/>
      <w:sz w:val="28"/>
      <w:szCs w:val="28"/>
    </w:rPr>
  </w:style>
  <w:style w:type="character" w:customStyle="1" w:styleId="TitreCar">
    <w:name w:val="Titre Car"/>
    <w:basedOn w:val="Policepardfaut"/>
    <w:link w:val="Titre"/>
    <w:rsid w:val="00C46805"/>
    <w:rPr>
      <w:rFonts w:ascii="Albertus" w:eastAsia="Times New Roman" w:hAnsi="Albertus" w:cs="Albertus"/>
      <w:b/>
      <w:bCs/>
      <w:sz w:val="28"/>
      <w:szCs w:val="28"/>
      <w:lang w:eastAsia="fr-FR"/>
    </w:rPr>
  </w:style>
  <w:style w:type="paragraph" w:styleId="Paragraphedeliste">
    <w:name w:val="List Paragraph"/>
    <w:basedOn w:val="Normal"/>
    <w:uiPriority w:val="34"/>
    <w:qFormat/>
    <w:rsid w:val="005A038D"/>
    <w:pPr>
      <w:ind w:left="720"/>
      <w:contextualSpacing/>
    </w:pPr>
  </w:style>
  <w:style w:type="character" w:customStyle="1" w:styleId="Titre1Car">
    <w:name w:val="Titre 1 Car"/>
    <w:basedOn w:val="Policepardfaut"/>
    <w:link w:val="Titre1"/>
    <w:rsid w:val="006B37BE"/>
    <w:rPr>
      <w:rFonts w:ascii="Arial" w:eastAsia="Times New Roman" w:hAnsi="Arial" w:cs="Arial"/>
      <w:b/>
      <w:bCs/>
      <w:kern w:val="32"/>
      <w:sz w:val="32"/>
      <w:szCs w:val="32"/>
      <w:lang w:eastAsia="fr-FR"/>
    </w:rPr>
  </w:style>
</w:styles>
</file>

<file path=word/webSettings.xml><?xml version="1.0" encoding="utf-8"?>
<w:webSettings xmlns:r="http://schemas.openxmlformats.org/officeDocument/2006/relationships" xmlns:w="http://schemas.openxmlformats.org/wordprocessingml/2006/main">
  <w:divs>
    <w:div w:id="1398288271">
      <w:bodyDiv w:val="1"/>
      <w:marLeft w:val="0"/>
      <w:marRight w:val="0"/>
      <w:marTop w:val="0"/>
      <w:marBottom w:val="0"/>
      <w:divBdr>
        <w:top w:val="none" w:sz="0" w:space="0" w:color="auto"/>
        <w:left w:val="none" w:sz="0" w:space="0" w:color="auto"/>
        <w:bottom w:val="none" w:sz="0" w:space="0" w:color="auto"/>
        <w:right w:val="none" w:sz="0" w:space="0" w:color="auto"/>
      </w:divBdr>
    </w:div>
    <w:div w:id="1630042641">
      <w:bodyDiv w:val="1"/>
      <w:marLeft w:val="0"/>
      <w:marRight w:val="0"/>
      <w:marTop w:val="0"/>
      <w:marBottom w:val="0"/>
      <w:divBdr>
        <w:top w:val="none" w:sz="0" w:space="0" w:color="auto"/>
        <w:left w:val="none" w:sz="0" w:space="0" w:color="auto"/>
        <w:bottom w:val="none" w:sz="0" w:space="0" w:color="auto"/>
        <w:right w:val="none" w:sz="0" w:space="0" w:color="auto"/>
      </w:divBdr>
    </w:div>
    <w:div w:id="175003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3F30CD6E-FD0E-4598-8324-6D4347469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416</Words>
  <Characters>2294</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emgueye</dc:creator>
  <cp:lastModifiedBy>emgueye</cp:lastModifiedBy>
  <cp:revision>2</cp:revision>
  <dcterms:created xsi:type="dcterms:W3CDTF">2014-07-18T17:52:00Z</dcterms:created>
  <dcterms:modified xsi:type="dcterms:W3CDTF">2014-07-18T17:52:00Z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Harvard Reference format 1 (author-date)</vt:lpwstr>
  </property>
</Properties>
</file>