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653"/>
        <w:tblW w:w="3940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40"/>
      </w:tblGrid>
      <w:tr w:rsidR="00857CDA" w:rsidRPr="00794933" w:rsidTr="00857CDA">
        <w:trPr>
          <w:trHeight w:val="2520"/>
        </w:trPr>
        <w:tc>
          <w:tcPr>
            <w:tcW w:w="3940" w:type="dxa"/>
            <w:tcBorders>
              <w:top w:val="nil"/>
              <w:bottom w:val="nil"/>
              <w:right w:val="nil"/>
            </w:tcBorders>
          </w:tcPr>
          <w:p w:rsidR="00857CDA" w:rsidRPr="00794933" w:rsidRDefault="00857CDA" w:rsidP="00857CDA">
            <w:pPr>
              <w:rPr>
                <w:b/>
                <w:bCs/>
                <w:sz w:val="26"/>
                <w:szCs w:val="26"/>
              </w:rPr>
            </w:pPr>
            <w:r w:rsidRPr="00794933">
              <w:rPr>
                <w:b/>
                <w:bCs/>
                <w:sz w:val="22"/>
                <w:szCs w:val="22"/>
              </w:rPr>
              <w:t xml:space="preserve">     </w:t>
            </w:r>
            <w:r w:rsidRPr="00794933">
              <w:rPr>
                <w:b/>
                <w:bCs/>
                <w:sz w:val="26"/>
                <w:szCs w:val="26"/>
              </w:rPr>
              <w:t>République du Sénégal</w:t>
            </w:r>
          </w:p>
          <w:p w:rsidR="00857CDA" w:rsidRPr="00794933" w:rsidRDefault="00857CDA" w:rsidP="00857CDA">
            <w:pPr>
              <w:rPr>
                <w:b/>
                <w:bCs/>
                <w:sz w:val="16"/>
                <w:szCs w:val="16"/>
              </w:rPr>
            </w:pPr>
            <w:r w:rsidRPr="00794933">
              <w:rPr>
                <w:b/>
                <w:sz w:val="16"/>
                <w:szCs w:val="16"/>
              </w:rPr>
              <w:t xml:space="preserve">          Un Peuple – Un But – Une Foi</w:t>
            </w:r>
          </w:p>
          <w:p w:rsidR="00857CDA" w:rsidRPr="00794933" w:rsidRDefault="00EE5EA3" w:rsidP="00857CD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eastAsia="en-US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28.6pt;margin-top:11.8pt;width:86.25pt;height:83.8pt;z-index:251658240" wrapcoords="-159 0 -159 21450 21600 21450 21600 0 -159 0">
                  <v:imagedata r:id="rId7" o:title=""/>
                </v:shape>
                <o:OLEObject Type="Embed" ProgID="MSPhotoEd.3" ShapeID="_x0000_s1027" DrawAspect="Content" ObjectID="_1732353321" r:id="rId8"/>
              </w:object>
            </w:r>
            <w:r w:rsidR="00857CDA" w:rsidRPr="00794933">
              <w:rPr>
                <w:b/>
                <w:sz w:val="22"/>
                <w:szCs w:val="22"/>
              </w:rPr>
              <w:t xml:space="preserve">               ------------</w:t>
            </w:r>
          </w:p>
          <w:p w:rsidR="00857CDA" w:rsidRPr="00794933" w:rsidRDefault="00857CDA" w:rsidP="00857CDA">
            <w:pPr>
              <w:rPr>
                <w:b/>
                <w:sz w:val="22"/>
                <w:szCs w:val="22"/>
              </w:rPr>
            </w:pPr>
            <w:r w:rsidRPr="00794933">
              <w:rPr>
                <w:b/>
                <w:bCs/>
                <w:sz w:val="22"/>
                <w:szCs w:val="22"/>
              </w:rPr>
              <w:t xml:space="preserve">         </w:t>
            </w:r>
          </w:p>
          <w:p w:rsidR="00857CDA" w:rsidRPr="00794933" w:rsidRDefault="00857CDA" w:rsidP="00857CDA">
            <w:pPr>
              <w:jc w:val="center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jc w:val="center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jc w:val="center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spacing w:after="120"/>
              <w:ind w:right="1"/>
              <w:rPr>
                <w:b/>
                <w:sz w:val="22"/>
                <w:szCs w:val="22"/>
              </w:rPr>
            </w:pPr>
          </w:p>
          <w:p w:rsidR="00857CDA" w:rsidRPr="00794933" w:rsidRDefault="00857CDA" w:rsidP="00857CDA">
            <w:pPr>
              <w:spacing w:after="120"/>
              <w:ind w:right="1"/>
              <w:rPr>
                <w:b/>
                <w:sz w:val="22"/>
                <w:szCs w:val="22"/>
              </w:rPr>
            </w:pPr>
          </w:p>
        </w:tc>
      </w:tr>
    </w:tbl>
    <w:p w:rsidR="00857CDA" w:rsidRPr="00794933" w:rsidRDefault="00857CDA" w:rsidP="00857CDA">
      <w:pPr>
        <w:rPr>
          <w:rFonts w:ascii="Arial" w:hAnsi="Arial" w:cs="Arial"/>
          <w:b/>
          <w:bCs/>
          <w:sz w:val="22"/>
          <w:szCs w:val="22"/>
        </w:rPr>
      </w:pPr>
    </w:p>
    <w:p w:rsidR="00857CDA" w:rsidRPr="00794933" w:rsidRDefault="00857CDA" w:rsidP="00857CDA">
      <w:pPr>
        <w:rPr>
          <w:rFonts w:ascii="Arial" w:hAnsi="Arial" w:cs="Arial"/>
          <w:b/>
          <w:bCs/>
          <w:sz w:val="22"/>
          <w:szCs w:val="22"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857CDA" w:rsidRPr="00857CDA" w:rsidRDefault="004D3EF0" w:rsidP="00857CDA">
      <w:pPr>
        <w:pBdr>
          <w:top w:val="thickThinSmallGap" w:sz="24" w:space="1" w:color="auto" w:shadow="1"/>
          <w:left w:val="thickThinSmallGap" w:sz="24" w:space="31" w:color="auto" w:shadow="1"/>
          <w:bottom w:val="thickThinSmallGap" w:sz="24" w:space="1" w:color="auto" w:shadow="1"/>
          <w:right w:val="thickThinSmallGap" w:sz="24" w:space="4" w:color="auto" w:shadow="1"/>
        </w:pBdr>
        <w:ind w:left="567" w:right="425"/>
        <w:jc w:val="center"/>
        <w:rPr>
          <w:b/>
          <w:sz w:val="32"/>
          <w:szCs w:val="32"/>
        </w:rPr>
      </w:pPr>
      <w:r w:rsidRPr="004D3EF0">
        <w:rPr>
          <w:b/>
          <w:sz w:val="32"/>
          <w:szCs w:val="32"/>
        </w:rPr>
        <w:t>Formule de calcul des contributions des fonctions de consommation dans la variation de l’indice global</w:t>
      </w:r>
      <w:r w:rsidR="00681EC9" w:rsidRPr="00681EC9">
        <w:rPr>
          <w:b/>
          <w:sz w:val="32"/>
          <w:szCs w:val="32"/>
        </w:rPr>
        <w:t xml:space="preserve"> </w:t>
      </w:r>
    </w:p>
    <w:p w:rsidR="00857CDA" w:rsidRDefault="00857CDA" w:rsidP="00857CDA">
      <w:pPr>
        <w:rPr>
          <w:rFonts w:ascii="Arial" w:hAnsi="Arial" w:cs="Arial"/>
          <w:b/>
          <w:bCs/>
        </w:rPr>
      </w:pPr>
    </w:p>
    <w:p w:rsidR="00681EC9" w:rsidRDefault="00681EC9" w:rsidP="00681EC9">
      <w:pPr>
        <w:autoSpaceDE w:val="0"/>
        <w:autoSpaceDN w:val="0"/>
        <w:adjustRightInd w:val="0"/>
        <w:jc w:val="center"/>
        <w:rPr>
          <w:rFonts w:ascii="Calibri,Bold" w:eastAsiaTheme="minorHAnsi" w:hAnsi="Calibri,Bold" w:cs="Calibri,Bold"/>
          <w:b/>
          <w:bCs/>
          <w:sz w:val="22"/>
          <w:szCs w:val="22"/>
          <w:lang w:eastAsia="en-US"/>
        </w:rPr>
      </w:pPr>
    </w:p>
    <w:p w:rsidR="0025035E" w:rsidRPr="00FB5170" w:rsidRDefault="0025035E" w:rsidP="0025035E"/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Layout w:type="fixed"/>
        <w:tblLook w:val="01E0" w:firstRow="1" w:lastRow="1" w:firstColumn="1" w:lastColumn="1" w:noHBand="0" w:noVBand="0"/>
      </w:tblPr>
      <w:tblGrid>
        <w:gridCol w:w="10031"/>
      </w:tblGrid>
      <w:tr w:rsidR="0025035E" w:rsidRPr="003B20A5" w:rsidTr="000A0CD6">
        <w:trPr>
          <w:trHeight w:val="9497"/>
          <w:jc w:val="center"/>
        </w:trPr>
        <w:tc>
          <w:tcPr>
            <w:tcW w:w="1003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5035E" w:rsidRPr="0025035E" w:rsidRDefault="0025035E" w:rsidP="00F00B5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035E">
              <w:rPr>
                <w:rFonts w:ascii="Arial" w:hAnsi="Arial" w:cs="Arial"/>
                <w:sz w:val="20"/>
                <w:szCs w:val="20"/>
              </w:rPr>
              <w:t>Dans le texte qui suit la notion de contribution à la variation de l’indice global est souvent utilisée. Nous donnons ci-après une définition de cette notion ainsi qu’un exemple pour son calcul.</w:t>
            </w:r>
          </w:p>
          <w:p w:rsidR="0025035E" w:rsidRPr="0025035E" w:rsidRDefault="0025035E" w:rsidP="00F00B5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035E">
              <w:rPr>
                <w:rFonts w:ascii="Arial" w:hAnsi="Arial" w:cs="Arial"/>
                <w:sz w:val="20"/>
                <w:szCs w:val="20"/>
              </w:rPr>
              <w:t>Définition et calcul</w:t>
            </w:r>
          </w:p>
          <w:p w:rsidR="0025035E" w:rsidRPr="0025035E" w:rsidRDefault="0025035E" w:rsidP="00F00B5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25035E" w:rsidRPr="0025035E" w:rsidRDefault="0025035E" w:rsidP="00F00B55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5035E">
              <w:rPr>
                <w:rFonts w:ascii="Arial" w:hAnsi="Arial" w:cs="Arial"/>
                <w:b/>
                <w:sz w:val="20"/>
                <w:szCs w:val="20"/>
              </w:rPr>
              <w:t>1-définition</w:t>
            </w:r>
          </w:p>
          <w:p w:rsidR="0025035E" w:rsidRPr="0025035E" w:rsidRDefault="0025035E" w:rsidP="00F00B5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035E">
              <w:rPr>
                <w:rFonts w:ascii="Arial" w:hAnsi="Arial" w:cs="Arial"/>
                <w:sz w:val="20"/>
                <w:szCs w:val="20"/>
              </w:rPr>
              <w:t>La contribution d’une fonction ou d’un regroupement est sa part relative dans la variation de l’indice global.</w:t>
            </w:r>
          </w:p>
          <w:p w:rsidR="0025035E" w:rsidRPr="0025035E" w:rsidRDefault="0025035E" w:rsidP="00F00B55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5035E" w:rsidRPr="0025035E" w:rsidRDefault="0025035E" w:rsidP="00F00B55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25035E">
              <w:rPr>
                <w:rFonts w:ascii="Arial" w:hAnsi="Arial" w:cs="Arial"/>
                <w:b/>
                <w:sz w:val="20"/>
                <w:szCs w:val="20"/>
              </w:rPr>
              <w:t>2- calcul</w:t>
            </w:r>
          </w:p>
          <w:p w:rsidR="0025035E" w:rsidRPr="0025035E" w:rsidRDefault="0025035E" w:rsidP="00F00B55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035E">
              <w:rPr>
                <w:rFonts w:ascii="Arial" w:hAnsi="Arial" w:cs="Arial"/>
                <w:sz w:val="20"/>
                <w:szCs w:val="20"/>
              </w:rPr>
              <w:t>Soit i une fonction de consommation :</w:t>
            </w:r>
          </w:p>
          <w:p w:rsidR="0025035E" w:rsidRPr="0025035E" w:rsidRDefault="0025035E" w:rsidP="0025035E">
            <w:pPr>
              <w:numPr>
                <w:ilvl w:val="0"/>
                <w:numId w:val="2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035E">
              <w:rPr>
                <w:rFonts w:ascii="Arial" w:hAnsi="Arial" w:cs="Arial"/>
                <w:sz w:val="20"/>
                <w:szCs w:val="20"/>
              </w:rPr>
              <w:t>P</w:t>
            </w:r>
            <w:r w:rsidRPr="0025035E">
              <w:rPr>
                <w:rFonts w:ascii="Arial" w:hAnsi="Arial" w:cs="Arial"/>
                <w:sz w:val="20"/>
                <w:szCs w:val="20"/>
                <w:vertAlign w:val="subscript"/>
              </w:rPr>
              <w:t>i</w:t>
            </w:r>
            <w:r w:rsidRPr="0025035E">
              <w:rPr>
                <w:rFonts w:ascii="Arial" w:hAnsi="Arial" w:cs="Arial"/>
                <w:sz w:val="20"/>
                <w:szCs w:val="20"/>
              </w:rPr>
              <w:t> : pondération de la fonction i dans l’indice global ;</w:t>
            </w:r>
          </w:p>
          <w:p w:rsidR="0025035E" w:rsidRPr="0025035E" w:rsidRDefault="0025035E" w:rsidP="0025035E">
            <w:pPr>
              <w:numPr>
                <w:ilvl w:val="0"/>
                <w:numId w:val="2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035E">
              <w:rPr>
                <w:rFonts w:ascii="Arial" w:hAnsi="Arial" w:cs="Arial"/>
                <w:sz w:val="20"/>
                <w:szCs w:val="20"/>
              </w:rPr>
              <w:t>V</w:t>
            </w:r>
            <w:r w:rsidRPr="0025035E">
              <w:rPr>
                <w:rFonts w:ascii="Arial" w:hAnsi="Arial" w:cs="Arial"/>
                <w:sz w:val="20"/>
                <w:szCs w:val="20"/>
                <w:vertAlign w:val="subscript"/>
              </w:rPr>
              <w:t>i</w:t>
            </w:r>
            <w:r w:rsidRPr="0025035E">
              <w:rPr>
                <w:rFonts w:ascii="Arial" w:hAnsi="Arial" w:cs="Arial"/>
                <w:sz w:val="20"/>
                <w:szCs w:val="20"/>
              </w:rPr>
              <w:t> : variation de la fonction i ;</w:t>
            </w:r>
          </w:p>
          <w:p w:rsidR="0025035E" w:rsidRPr="0025035E" w:rsidRDefault="0025035E" w:rsidP="0025035E">
            <w:pPr>
              <w:numPr>
                <w:ilvl w:val="0"/>
                <w:numId w:val="2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035E">
              <w:rPr>
                <w:rFonts w:ascii="Arial" w:hAnsi="Arial" w:cs="Arial"/>
                <w:sz w:val="20"/>
                <w:szCs w:val="20"/>
              </w:rPr>
              <w:t>I</w:t>
            </w:r>
            <w:r w:rsidRPr="0025035E">
              <w:rPr>
                <w:rFonts w:ascii="Arial" w:hAnsi="Arial" w:cs="Arial"/>
                <w:sz w:val="20"/>
                <w:szCs w:val="20"/>
                <w:vertAlign w:val="subscript"/>
              </w:rPr>
              <w:t>i</w:t>
            </w:r>
            <w:r w:rsidRPr="0025035E">
              <w:rPr>
                <w:rFonts w:ascii="Arial" w:hAnsi="Arial" w:cs="Arial"/>
                <w:sz w:val="20"/>
                <w:szCs w:val="20"/>
              </w:rPr>
              <w:t> : niveau de l’indice de la fonction à la période t-1;</w:t>
            </w:r>
          </w:p>
          <w:p w:rsidR="0025035E" w:rsidRPr="0025035E" w:rsidRDefault="0025035E" w:rsidP="0025035E">
            <w:pPr>
              <w:numPr>
                <w:ilvl w:val="0"/>
                <w:numId w:val="2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035E">
              <w:rPr>
                <w:rFonts w:ascii="Arial" w:hAnsi="Arial" w:cs="Arial"/>
                <w:sz w:val="20"/>
                <w:szCs w:val="20"/>
              </w:rPr>
              <w:t>C</w:t>
            </w:r>
            <w:r w:rsidRPr="0025035E">
              <w:rPr>
                <w:rFonts w:ascii="Arial" w:hAnsi="Arial" w:cs="Arial"/>
                <w:sz w:val="20"/>
                <w:szCs w:val="20"/>
                <w:vertAlign w:val="subscript"/>
              </w:rPr>
              <w:t>i</w:t>
            </w:r>
            <w:r w:rsidRPr="0025035E">
              <w:rPr>
                <w:rFonts w:ascii="Arial" w:hAnsi="Arial" w:cs="Arial"/>
                <w:sz w:val="20"/>
                <w:szCs w:val="20"/>
              </w:rPr>
              <w:t> : contribution de la fonction i à la variation de l’indice global ;</w:t>
            </w:r>
          </w:p>
          <w:p w:rsidR="0025035E" w:rsidRPr="0025035E" w:rsidRDefault="0025035E" w:rsidP="0025035E">
            <w:pPr>
              <w:numPr>
                <w:ilvl w:val="0"/>
                <w:numId w:val="2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035E">
              <w:rPr>
                <w:rFonts w:ascii="Arial" w:hAnsi="Arial" w:cs="Arial"/>
                <w:sz w:val="20"/>
                <w:szCs w:val="20"/>
              </w:rPr>
              <w:t>P : somme totale des pondérations des fonctions ;</w:t>
            </w:r>
          </w:p>
          <w:p w:rsidR="0025035E" w:rsidRPr="0025035E" w:rsidRDefault="0025035E" w:rsidP="0025035E">
            <w:pPr>
              <w:numPr>
                <w:ilvl w:val="0"/>
                <w:numId w:val="2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035E">
              <w:rPr>
                <w:rFonts w:ascii="Arial" w:hAnsi="Arial" w:cs="Arial"/>
                <w:sz w:val="20"/>
                <w:szCs w:val="20"/>
              </w:rPr>
              <w:t>V : variation de l’indice global ;</w:t>
            </w:r>
          </w:p>
          <w:p w:rsidR="0025035E" w:rsidRPr="0025035E" w:rsidRDefault="0025035E" w:rsidP="00F00B55">
            <w:pPr>
              <w:numPr>
                <w:ilvl w:val="0"/>
                <w:numId w:val="2"/>
              </w:numPr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5035E">
              <w:rPr>
                <w:rFonts w:ascii="Arial" w:hAnsi="Arial" w:cs="Arial"/>
                <w:sz w:val="20"/>
                <w:szCs w:val="20"/>
              </w:rPr>
              <w:t>I : niveau de l’indice global à la période t-1.</w:t>
            </w:r>
          </w:p>
          <w:p w:rsidR="0025035E" w:rsidRPr="003B20A5" w:rsidRDefault="0025035E" w:rsidP="00F00B5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5035E" w:rsidRPr="003B20A5" w:rsidRDefault="0025035E" w:rsidP="00F00B5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B20A5">
              <w:rPr>
                <w:rFonts w:ascii="Arial" w:hAnsi="Arial" w:cs="Arial"/>
                <w:position w:val="-24"/>
                <w:sz w:val="22"/>
                <w:szCs w:val="22"/>
              </w:rPr>
              <w:object w:dxaOrig="2079" w:dyaOrig="620">
                <v:shape id="_x0000_i1025" type="#_x0000_t75" style="width:213pt;height:41.25pt" o:ole="" o:bordertopcolor="this" o:borderleftcolor="this" o:borderbottomcolor="this" o:borderrightcolor="this">
                  <v:imagedata r:id="rId9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Equation.3" ShapeID="_x0000_i1025" DrawAspect="Content" ObjectID="_1732353320" r:id="rId10"/>
              </w:object>
            </w:r>
          </w:p>
          <w:p w:rsidR="0025035E" w:rsidRPr="003B20A5" w:rsidRDefault="0025035E" w:rsidP="00F00B5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5035E" w:rsidRDefault="000A0CD6" w:rsidP="00F00B5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A0CD6">
              <w:rPr>
                <w:rFonts w:ascii="Arial" w:hAnsi="Arial" w:cs="Arial"/>
                <w:b/>
                <w:sz w:val="22"/>
                <w:szCs w:val="22"/>
                <w:u w:val="single"/>
              </w:rPr>
              <w:t>EXEMPLE</w:t>
            </w:r>
            <w:r w:rsidRPr="000A0CD6">
              <w:rPr>
                <w:rFonts w:ascii="Arial" w:hAnsi="Arial" w:cs="Arial"/>
                <w:b/>
                <w:sz w:val="22"/>
                <w:szCs w:val="22"/>
              </w:rPr>
              <w:t xml:space="preserve"> : Contribution de la fonction « Communication » à la variation de l’indice global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210"/>
              <w:gridCol w:w="1418"/>
              <w:gridCol w:w="708"/>
              <w:gridCol w:w="851"/>
              <w:gridCol w:w="850"/>
              <w:gridCol w:w="1276"/>
              <w:gridCol w:w="992"/>
              <w:gridCol w:w="1447"/>
            </w:tblGrid>
            <w:tr w:rsidR="000A0CD6" w:rsidRPr="000A0CD6" w:rsidTr="000A0CD6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0"/>
              </w:trPr>
              <w:tc>
                <w:tcPr>
                  <w:tcW w:w="2210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Libellé </w:t>
                  </w:r>
                </w:p>
              </w:tc>
              <w:tc>
                <w:tcPr>
                  <w:tcW w:w="1418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Pondération </w:t>
                  </w:r>
                </w:p>
              </w:tc>
              <w:tc>
                <w:tcPr>
                  <w:tcW w:w="708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T1_21 </w:t>
                  </w:r>
                </w:p>
              </w:tc>
              <w:tc>
                <w:tcPr>
                  <w:tcW w:w="851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T4_21 </w:t>
                  </w:r>
                </w:p>
              </w:tc>
              <w:tc>
                <w:tcPr>
                  <w:tcW w:w="850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T1_22 </w:t>
                  </w:r>
                </w:p>
              </w:tc>
              <w:tc>
                <w:tcPr>
                  <w:tcW w:w="1276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sur un trim. </w:t>
                  </w:r>
                </w:p>
              </w:tc>
              <w:tc>
                <w:tcPr>
                  <w:tcW w:w="992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sur 12 mois </w:t>
                  </w:r>
                </w:p>
              </w:tc>
              <w:tc>
                <w:tcPr>
                  <w:tcW w:w="1447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Contribution </w:t>
                  </w:r>
                </w:p>
              </w:tc>
              <w:tc>
                <w:tcPr>
                  <w:gridSpan w:val="0"/>
                </w:tcPr>
                <w:p w:rsidR="000A0CD6" w:rsidRPr="000A0CD6" w:rsidRDefault="000A0CD6">
                  <w:pPr>
                    <w:spacing w:after="200" w:line="276" w:lineRule="auto"/>
                    <w:rPr>
                      <w:sz w:val="22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</w:p>
              </w:tc>
            </w:tr>
            <w:tr w:rsidR="000A0CD6" w:rsidRPr="000A0CD6" w:rsidTr="000A0CD6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0"/>
              </w:trPr>
              <w:tc>
                <w:tcPr>
                  <w:tcW w:w="2210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color w:val="auto"/>
                      <w:sz w:val="22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Communication </w:t>
                  </w:r>
                </w:p>
              </w:tc>
              <w:tc>
                <w:tcPr>
                  <w:tcW w:w="1418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329 </w:t>
                  </w:r>
                </w:p>
              </w:tc>
              <w:tc>
                <w:tcPr>
                  <w:tcW w:w="708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88,1 </w:t>
                  </w:r>
                </w:p>
              </w:tc>
              <w:tc>
                <w:tcPr>
                  <w:tcW w:w="851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85,5 </w:t>
                  </w:r>
                </w:p>
              </w:tc>
              <w:tc>
                <w:tcPr>
                  <w:tcW w:w="850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83,0 </w:t>
                  </w:r>
                </w:p>
              </w:tc>
              <w:tc>
                <w:tcPr>
                  <w:tcW w:w="1276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-2,9% </w:t>
                  </w:r>
                </w:p>
              </w:tc>
              <w:tc>
                <w:tcPr>
                  <w:tcW w:w="992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-5,8% </w:t>
                  </w:r>
                </w:p>
              </w:tc>
              <w:tc>
                <w:tcPr>
                  <w:tcW w:w="1447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-0,09 </w:t>
                  </w:r>
                </w:p>
              </w:tc>
              <w:tc>
                <w:tcPr>
                  <w:gridSpan w:val="0"/>
                </w:tcPr>
                <w:p w:rsidR="000A0CD6" w:rsidRPr="000A0CD6" w:rsidRDefault="000A0CD6">
                  <w:pPr>
                    <w:spacing w:after="200" w:line="276" w:lineRule="auto"/>
                    <w:rPr>
                      <w:sz w:val="22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</w:p>
              </w:tc>
            </w:tr>
            <w:tr w:rsidR="000A0CD6" w:rsidRPr="000A0CD6" w:rsidTr="000A0CD6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0"/>
              </w:trPr>
              <w:tc>
                <w:tcPr>
                  <w:tcW w:w="2210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color w:val="auto"/>
                      <w:sz w:val="22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INDICE GLOBAL </w:t>
                  </w:r>
                </w:p>
              </w:tc>
              <w:tc>
                <w:tcPr>
                  <w:tcW w:w="1418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10000 </w:t>
                  </w:r>
                </w:p>
              </w:tc>
              <w:tc>
                <w:tcPr>
                  <w:tcW w:w="708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107,1 </w:t>
                  </w:r>
                </w:p>
              </w:tc>
              <w:tc>
                <w:tcPr>
                  <w:tcW w:w="851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112,7 </w:t>
                  </w:r>
                </w:p>
              </w:tc>
              <w:tc>
                <w:tcPr>
                  <w:tcW w:w="850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113,6 </w:t>
                  </w:r>
                </w:p>
              </w:tc>
              <w:tc>
                <w:tcPr>
                  <w:tcW w:w="1276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0,8% </w:t>
                  </w:r>
                </w:p>
              </w:tc>
              <w:tc>
                <w:tcPr>
                  <w:tcW w:w="992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6,1% </w:t>
                  </w:r>
                </w:p>
              </w:tc>
              <w:tc>
                <w:tcPr>
                  <w:tcW w:w="1447" w:type="dxa"/>
                </w:tcPr>
                <w:p w:rsidR="000A0CD6" w:rsidRPr="000A0CD6" w:rsidRDefault="000A0CD6" w:rsidP="000A0CD6">
                  <w:pPr>
                    <w:pStyle w:val="Default"/>
                    <w:rPr>
                      <w:sz w:val="22"/>
                      <w:szCs w:val="18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  <w:r w:rsidRPr="000A0CD6">
                    <w:rPr>
                      <w:b/>
                      <w:bCs/>
                      <w:sz w:val="22"/>
                      <w:szCs w:val="18"/>
                    </w:rPr>
                    <w:t xml:space="preserve">1 </w:t>
                  </w:r>
                </w:p>
              </w:tc>
              <w:tc>
                <w:tcPr>
                  <w:gridSpan w:val="0"/>
                </w:tcPr>
                <w:p w:rsidR="000A0CD6" w:rsidRPr="000A0CD6" w:rsidRDefault="000A0CD6">
                  <w:pPr>
                    <w:spacing w:after="200" w:line="276" w:lineRule="auto"/>
                    <w:rPr>
                      <w:sz w:val="22"/>
                    </w:rPr>
                  </w:pPr>
                  <w:r w:rsidRPr="000A0CD6">
                    <w:rPr>
                      <w:sz w:val="22"/>
                      <w:szCs w:val="18"/>
                    </w:rPr>
                    <w:t xml:space="preserve"> </w:t>
                  </w:r>
                </w:p>
              </w:tc>
            </w:tr>
          </w:tbl>
          <w:p w:rsidR="000A0CD6" w:rsidRDefault="000A0CD6" w:rsidP="00F00B5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0A0CD6" w:rsidRPr="000A0CD6" w:rsidRDefault="000A0CD6" w:rsidP="00F00B5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5035E" w:rsidRPr="003B20A5" w:rsidRDefault="000A0CD6" w:rsidP="00F00B5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C57C539" wp14:editId="5747CB76">
                  <wp:extent cx="2002146" cy="4547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969" cy="47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5035E" w:rsidRPr="003B20A5" w:rsidRDefault="0025035E" w:rsidP="00F00B5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25035E" w:rsidRPr="003B20A5" w:rsidRDefault="0025035E" w:rsidP="00F00B5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E94A28" w:rsidRPr="00681EC9" w:rsidRDefault="00E94A28" w:rsidP="0025035E">
      <w:pPr>
        <w:spacing w:before="240" w:after="240" w:line="360" w:lineRule="auto"/>
        <w:jc w:val="both"/>
        <w:rPr>
          <w:i/>
        </w:rPr>
      </w:pPr>
      <w:bookmarkStart w:id="0" w:name="_GoBack"/>
      <w:bookmarkEnd w:id="0"/>
    </w:p>
    <w:sectPr w:rsidR="00E94A28" w:rsidRPr="00681EC9" w:rsidSect="00E94A28">
      <w:footerReference w:type="default" r:id="rId12"/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5EA3" w:rsidRDefault="00EE5EA3" w:rsidP="00E03D38">
      <w:r>
        <w:separator/>
      </w:r>
    </w:p>
  </w:endnote>
  <w:endnote w:type="continuationSeparator" w:id="0">
    <w:p w:rsidR="00EE5EA3" w:rsidRDefault="00EE5EA3" w:rsidP="00E03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">
    <w:altName w:val="Candara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035E" w:rsidRPr="004916C2" w:rsidRDefault="0025035E" w:rsidP="00130FAC">
    <w:pPr>
      <w:pStyle w:val="Pieddepage"/>
      <w:framePr w:wrap="around" w:vAnchor="text" w:hAnchor="margin" w:xAlign="right" w:y="1"/>
      <w:rPr>
        <w:rStyle w:val="Numrodepage"/>
        <w:sz w:val="19"/>
        <w:szCs w:val="19"/>
      </w:rPr>
    </w:pPr>
    <w:r>
      <w:rPr>
        <w:rStyle w:val="Numrodepage"/>
        <w:sz w:val="19"/>
        <w:szCs w:val="19"/>
      </w:rPr>
      <w:t>16</w:t>
    </w:r>
  </w:p>
  <w:p w:rsidR="0025035E" w:rsidRPr="004916C2" w:rsidRDefault="0025035E" w:rsidP="00130FAC">
    <w:pPr>
      <w:pStyle w:val="Pieddepage"/>
      <w:ind w:right="360"/>
      <w:rPr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5EA3" w:rsidRDefault="00EE5EA3" w:rsidP="00E03D38">
      <w:r>
        <w:separator/>
      </w:r>
    </w:p>
  </w:footnote>
  <w:footnote w:type="continuationSeparator" w:id="0">
    <w:p w:rsidR="00EE5EA3" w:rsidRDefault="00EE5EA3" w:rsidP="00E03D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56FD0"/>
    <w:multiLevelType w:val="hybridMultilevel"/>
    <w:tmpl w:val="672C7882"/>
    <w:lvl w:ilvl="0" w:tplc="A4FE17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1430969"/>
    <w:multiLevelType w:val="hybridMultilevel"/>
    <w:tmpl w:val="487635F0"/>
    <w:lvl w:ilvl="0" w:tplc="040C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7CDA"/>
    <w:rsid w:val="000712D6"/>
    <w:rsid w:val="000A0CD6"/>
    <w:rsid w:val="00135AEE"/>
    <w:rsid w:val="00144BF7"/>
    <w:rsid w:val="0025035E"/>
    <w:rsid w:val="00281CA8"/>
    <w:rsid w:val="002838F2"/>
    <w:rsid w:val="002A0EAC"/>
    <w:rsid w:val="002D2118"/>
    <w:rsid w:val="002E49BD"/>
    <w:rsid w:val="00304D58"/>
    <w:rsid w:val="00382785"/>
    <w:rsid w:val="003866AC"/>
    <w:rsid w:val="003B6508"/>
    <w:rsid w:val="003B731C"/>
    <w:rsid w:val="003C1A1E"/>
    <w:rsid w:val="00470996"/>
    <w:rsid w:val="004D3EF0"/>
    <w:rsid w:val="00523695"/>
    <w:rsid w:val="00600606"/>
    <w:rsid w:val="00657AA6"/>
    <w:rsid w:val="00681EC9"/>
    <w:rsid w:val="006D2F03"/>
    <w:rsid w:val="006F0A92"/>
    <w:rsid w:val="00807AAB"/>
    <w:rsid w:val="00857CDA"/>
    <w:rsid w:val="00866145"/>
    <w:rsid w:val="00891AEB"/>
    <w:rsid w:val="008B0414"/>
    <w:rsid w:val="008F7B66"/>
    <w:rsid w:val="009271C0"/>
    <w:rsid w:val="00947012"/>
    <w:rsid w:val="00962B5F"/>
    <w:rsid w:val="00A054AA"/>
    <w:rsid w:val="00A74A13"/>
    <w:rsid w:val="00B53BB3"/>
    <w:rsid w:val="00B8167D"/>
    <w:rsid w:val="00BB6A60"/>
    <w:rsid w:val="00C46805"/>
    <w:rsid w:val="00CD6DC9"/>
    <w:rsid w:val="00D36F64"/>
    <w:rsid w:val="00DE633D"/>
    <w:rsid w:val="00DF6566"/>
    <w:rsid w:val="00E03D38"/>
    <w:rsid w:val="00E55154"/>
    <w:rsid w:val="00E94A28"/>
    <w:rsid w:val="00EE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61FF0C1C-DC97-4DD8-9F39-D9095293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eastAsiaTheme="minorHAnsi" w:hAnsi="Tahoma" w:cs="Tahoma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C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1"/>
    <w:qFormat/>
    <w:rsid w:val="0025035E"/>
    <w:pPr>
      <w:keepNext/>
      <w:overflowPunct w:val="0"/>
      <w:autoSpaceDE w:val="0"/>
      <w:autoSpaceDN w:val="0"/>
      <w:adjustRightInd w:val="0"/>
      <w:textAlignment w:val="baseline"/>
      <w:outlineLvl w:val="1"/>
    </w:pPr>
    <w:rPr>
      <w:rFonts w:ascii="Arial" w:hAnsi="Arial"/>
      <w:b/>
      <w:sz w:val="1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rsid w:val="00857CDA"/>
    <w:rPr>
      <w:color w:val="0000FF"/>
      <w:u w:val="single"/>
    </w:rPr>
  </w:style>
  <w:style w:type="paragraph" w:styleId="Notedebasdepage">
    <w:name w:val="footnote text"/>
    <w:basedOn w:val="Normal"/>
    <w:link w:val="NotedebasdepageCar"/>
    <w:rsid w:val="00E03D3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E03D38"/>
    <w:rPr>
      <w:rFonts w:ascii="Times New Roman" w:eastAsia="Times New Roman" w:hAnsi="Times New Roman" w:cs="Times New Roman"/>
      <w:lang w:eastAsia="fr-FR"/>
    </w:rPr>
  </w:style>
  <w:style w:type="character" w:styleId="Appelnotedebasdep">
    <w:name w:val="footnote reference"/>
    <w:basedOn w:val="Policepardfaut"/>
    <w:rsid w:val="00E03D38"/>
    <w:rPr>
      <w:vertAlign w:val="superscript"/>
    </w:rPr>
  </w:style>
  <w:style w:type="table" w:styleId="Grilledutableau">
    <w:name w:val="Table Grid"/>
    <w:basedOn w:val="TableauNormal"/>
    <w:rsid w:val="00E94A28"/>
    <w:pPr>
      <w:spacing w:after="0" w:line="240" w:lineRule="auto"/>
    </w:pPr>
    <w:rPr>
      <w:rFonts w:ascii="Times New Roman" w:eastAsia="Times New Roman" w:hAnsi="Times New Roman" w:cs="Times New Roman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94A2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4A28"/>
    <w:rPr>
      <w:rFonts w:eastAsia="Times New Roman"/>
      <w:sz w:val="16"/>
      <w:szCs w:val="16"/>
      <w:lang w:eastAsia="fr-FR"/>
    </w:rPr>
  </w:style>
  <w:style w:type="paragraph" w:styleId="Titre">
    <w:name w:val="Title"/>
    <w:basedOn w:val="Normal"/>
    <w:link w:val="TitreCar"/>
    <w:qFormat/>
    <w:rsid w:val="00C46805"/>
    <w:pPr>
      <w:autoSpaceDE w:val="0"/>
      <w:autoSpaceDN w:val="0"/>
      <w:adjustRightInd w:val="0"/>
      <w:jc w:val="center"/>
    </w:pPr>
    <w:rPr>
      <w:rFonts w:ascii="Albertus" w:hAnsi="Albertus" w:cs="Albertus"/>
      <w:b/>
      <w:bCs/>
      <w:sz w:val="28"/>
      <w:szCs w:val="28"/>
    </w:rPr>
  </w:style>
  <w:style w:type="character" w:customStyle="1" w:styleId="TitreCar">
    <w:name w:val="Titre Car"/>
    <w:basedOn w:val="Policepardfaut"/>
    <w:link w:val="Titre"/>
    <w:rsid w:val="00C46805"/>
    <w:rPr>
      <w:rFonts w:ascii="Albertus" w:eastAsia="Times New Roman" w:hAnsi="Albertus" w:cs="Albertus"/>
      <w:b/>
      <w:bCs/>
      <w:sz w:val="28"/>
      <w:szCs w:val="28"/>
      <w:lang w:eastAsia="fr-FR"/>
    </w:rPr>
  </w:style>
  <w:style w:type="character" w:customStyle="1" w:styleId="Titre2Car">
    <w:name w:val="Titre 2 Car"/>
    <w:basedOn w:val="Policepardfaut"/>
    <w:uiPriority w:val="9"/>
    <w:semiHidden/>
    <w:rsid w:val="002503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character" w:customStyle="1" w:styleId="Titre2Car1">
    <w:name w:val="Titre 2 Car1"/>
    <w:basedOn w:val="Policepardfaut"/>
    <w:link w:val="Titre2"/>
    <w:rsid w:val="0025035E"/>
    <w:rPr>
      <w:rFonts w:ascii="Arial" w:eastAsia="Times New Roman" w:hAnsi="Arial" w:cs="Times New Roman"/>
      <w:b/>
      <w:sz w:val="18"/>
      <w:lang w:eastAsia="fr-FR"/>
    </w:rPr>
  </w:style>
  <w:style w:type="paragraph" w:customStyle="1" w:styleId="BlockText1">
    <w:name w:val="Block Text1"/>
    <w:basedOn w:val="Normal"/>
    <w:rsid w:val="0025035E"/>
    <w:pPr>
      <w:widowControl w:val="0"/>
      <w:overflowPunct w:val="0"/>
      <w:autoSpaceDE w:val="0"/>
      <w:autoSpaceDN w:val="0"/>
      <w:adjustRightInd w:val="0"/>
      <w:ind w:left="-284" w:right="1135"/>
      <w:jc w:val="both"/>
      <w:textAlignment w:val="baseline"/>
    </w:pPr>
    <w:rPr>
      <w:b/>
      <w:szCs w:val="20"/>
    </w:rPr>
  </w:style>
  <w:style w:type="paragraph" w:styleId="Pieddepage">
    <w:name w:val="footer"/>
    <w:basedOn w:val="Normal"/>
    <w:link w:val="PieddepageCar"/>
    <w:rsid w:val="0025035E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PieddepageCar">
    <w:name w:val="Pied de page Car"/>
    <w:basedOn w:val="Policepardfaut"/>
    <w:link w:val="Pieddepage"/>
    <w:rsid w:val="0025035E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rsid w:val="0025035E"/>
  </w:style>
  <w:style w:type="paragraph" w:styleId="Lgende">
    <w:name w:val="caption"/>
    <w:basedOn w:val="Normal"/>
    <w:next w:val="Normal"/>
    <w:qFormat/>
    <w:rsid w:val="0025035E"/>
    <w:pPr>
      <w:overflowPunct w:val="0"/>
      <w:autoSpaceDE w:val="0"/>
      <w:autoSpaceDN w:val="0"/>
      <w:adjustRightInd w:val="0"/>
      <w:textAlignment w:val="baseline"/>
    </w:pPr>
    <w:rPr>
      <w:b/>
      <w:bCs/>
      <w:sz w:val="20"/>
      <w:szCs w:val="20"/>
    </w:rPr>
  </w:style>
  <w:style w:type="paragraph" w:customStyle="1" w:styleId="Default">
    <w:name w:val="Default"/>
    <w:rsid w:val="000A0CD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0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203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emgueye</dc:creator>
  <cp:lastModifiedBy>Compte Microsoft</cp:lastModifiedBy>
  <cp:revision>4</cp:revision>
  <dcterms:created xsi:type="dcterms:W3CDTF">2014-07-18T13:02:00Z</dcterms:created>
  <dcterms:modified xsi:type="dcterms:W3CDTF">2022-12-12T12:29:00Z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Harvard Reference format 1 (author-date)</vt:lpwstr>
  </property>
</Properties>
</file>