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653"/>
        <w:tblW w:w="3940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40"/>
      </w:tblGrid>
      <w:tr w:rsidR="00C660D3" w:rsidRPr="000C0AA3" w14:paraId="5A4EFDE0" w14:textId="77777777" w:rsidTr="005A13B6">
        <w:trPr>
          <w:trHeight w:val="2520"/>
        </w:trPr>
        <w:tc>
          <w:tcPr>
            <w:tcW w:w="3940" w:type="dxa"/>
            <w:tcBorders>
              <w:top w:val="nil"/>
              <w:bottom w:val="nil"/>
              <w:right w:val="nil"/>
            </w:tcBorders>
          </w:tcPr>
          <w:p w14:paraId="12C2D011" w14:textId="77777777" w:rsidR="00C660D3" w:rsidRPr="000C0AA3" w:rsidRDefault="00C660D3" w:rsidP="00C660D3">
            <w:pPr>
              <w:jc w:val="center"/>
              <w:rPr>
                <w:rFonts w:ascii="Tahoma" w:hAnsi="Tahoma" w:cs="Tahoma"/>
                <w:b/>
                <w:noProof/>
                <w:sz w:val="22"/>
              </w:rPr>
            </w:pPr>
            <w:r w:rsidRPr="000C0AA3">
              <w:rPr>
                <w:rFonts w:ascii="Tahoma" w:hAnsi="Tahoma" w:cs="Tahoma"/>
                <w:b/>
                <w:noProof/>
                <w:sz w:val="22"/>
              </w:rPr>
              <w:drawing>
                <wp:inline distT="0" distB="0" distL="0" distR="0" wp14:anchorId="63C7344F" wp14:editId="6C2E97AF">
                  <wp:extent cx="2377440" cy="1424940"/>
                  <wp:effectExtent l="0" t="0" r="0" b="0"/>
                  <wp:docPr id="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42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B4DD70" w14:textId="77777777" w:rsidR="00C660D3" w:rsidRPr="000C0AA3" w:rsidRDefault="00C660D3" w:rsidP="00770A30">
            <w:pPr>
              <w:jc w:val="center"/>
              <w:rPr>
                <w:rFonts w:ascii="Tahoma" w:hAnsi="Tahoma" w:cs="Tahoma"/>
                <w:b/>
                <w:noProof/>
                <w:sz w:val="22"/>
              </w:rPr>
            </w:pPr>
            <w:r w:rsidRPr="000C0AA3">
              <w:rPr>
                <w:rFonts w:ascii="Tahoma" w:hAnsi="Tahoma" w:cs="Tahoma"/>
                <w:noProof/>
                <w:sz w:val="22"/>
              </w:rPr>
              <w:drawing>
                <wp:inline distT="0" distB="0" distL="0" distR="0" wp14:anchorId="527DFE5F" wp14:editId="52C336AD">
                  <wp:extent cx="1341120" cy="1287475"/>
                  <wp:effectExtent l="0" t="0" r="0" b="8255"/>
                  <wp:docPr id="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648" cy="1290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FF38B" w14:textId="77777777" w:rsidR="00C660D3" w:rsidRPr="000C0AA3" w:rsidRDefault="00C660D3" w:rsidP="00C660D3">
            <w:pPr>
              <w:rPr>
                <w:rFonts w:ascii="Tahoma" w:hAnsi="Tahoma" w:cs="Tahoma"/>
              </w:rPr>
            </w:pPr>
          </w:p>
        </w:tc>
      </w:tr>
    </w:tbl>
    <w:p w14:paraId="236E673F" w14:textId="77777777" w:rsidR="00857CDA" w:rsidRPr="000C0AA3" w:rsidRDefault="00857CDA" w:rsidP="00857CDA">
      <w:pPr>
        <w:rPr>
          <w:rFonts w:ascii="Tahoma" w:hAnsi="Tahoma" w:cs="Tahoma"/>
          <w:b/>
          <w:bCs/>
          <w:sz w:val="22"/>
          <w:szCs w:val="22"/>
        </w:rPr>
      </w:pPr>
    </w:p>
    <w:p w14:paraId="5D7BB2CD" w14:textId="77777777" w:rsidR="00857CDA" w:rsidRPr="000C0AA3" w:rsidRDefault="00857CDA" w:rsidP="00857CDA">
      <w:pPr>
        <w:rPr>
          <w:rFonts w:ascii="Tahoma" w:hAnsi="Tahoma" w:cs="Tahoma"/>
          <w:b/>
          <w:bCs/>
          <w:sz w:val="22"/>
          <w:szCs w:val="22"/>
        </w:rPr>
      </w:pPr>
    </w:p>
    <w:p w14:paraId="6D875749" w14:textId="77777777" w:rsidR="00857CDA" w:rsidRPr="000C0AA3" w:rsidRDefault="00857CDA" w:rsidP="00857CDA">
      <w:pPr>
        <w:rPr>
          <w:rFonts w:ascii="Tahoma" w:hAnsi="Tahoma" w:cs="Tahoma"/>
          <w:b/>
          <w:bCs/>
        </w:rPr>
      </w:pPr>
    </w:p>
    <w:p w14:paraId="7C2C6C2C" w14:textId="77777777" w:rsidR="00857CDA" w:rsidRPr="000C0AA3" w:rsidRDefault="00857CDA" w:rsidP="00857CDA">
      <w:pPr>
        <w:rPr>
          <w:rFonts w:ascii="Tahoma" w:hAnsi="Tahoma" w:cs="Tahoma"/>
          <w:b/>
          <w:bCs/>
        </w:rPr>
      </w:pPr>
    </w:p>
    <w:p w14:paraId="4F3EE079" w14:textId="77777777" w:rsidR="00857CDA" w:rsidRPr="000C0AA3" w:rsidRDefault="00857CDA" w:rsidP="00857CDA">
      <w:pPr>
        <w:rPr>
          <w:rFonts w:ascii="Tahoma" w:hAnsi="Tahoma" w:cs="Tahoma"/>
          <w:b/>
          <w:bCs/>
        </w:rPr>
      </w:pPr>
    </w:p>
    <w:p w14:paraId="3A3671FA" w14:textId="77777777" w:rsidR="00857CDA" w:rsidRPr="000C0AA3" w:rsidRDefault="00857CDA" w:rsidP="00857CDA">
      <w:pPr>
        <w:rPr>
          <w:rFonts w:ascii="Tahoma" w:hAnsi="Tahoma" w:cs="Tahoma"/>
          <w:b/>
          <w:bCs/>
        </w:rPr>
      </w:pPr>
    </w:p>
    <w:p w14:paraId="55BF4C80" w14:textId="77777777" w:rsidR="00857CDA" w:rsidRPr="000C0AA3" w:rsidRDefault="00857CDA" w:rsidP="00857CDA">
      <w:pPr>
        <w:rPr>
          <w:rFonts w:ascii="Tahoma" w:hAnsi="Tahoma" w:cs="Tahoma"/>
          <w:b/>
          <w:bCs/>
        </w:rPr>
      </w:pPr>
    </w:p>
    <w:p w14:paraId="26E6ABAF" w14:textId="77777777" w:rsidR="00C660D3" w:rsidRPr="000C0AA3" w:rsidRDefault="00C660D3" w:rsidP="00857CDA">
      <w:pPr>
        <w:rPr>
          <w:rFonts w:ascii="Tahoma" w:hAnsi="Tahoma" w:cs="Tahoma"/>
          <w:b/>
          <w:bCs/>
        </w:rPr>
      </w:pPr>
    </w:p>
    <w:p w14:paraId="7A55229A" w14:textId="77777777" w:rsidR="00C660D3" w:rsidRPr="000C0AA3" w:rsidRDefault="00C660D3" w:rsidP="00857CDA">
      <w:pPr>
        <w:rPr>
          <w:rFonts w:ascii="Tahoma" w:hAnsi="Tahoma" w:cs="Tahoma"/>
          <w:b/>
          <w:bCs/>
        </w:rPr>
      </w:pPr>
    </w:p>
    <w:p w14:paraId="2F1D5978" w14:textId="77777777" w:rsidR="00C660D3" w:rsidRPr="000C0AA3" w:rsidRDefault="00C660D3" w:rsidP="00857CDA">
      <w:pPr>
        <w:rPr>
          <w:rFonts w:ascii="Tahoma" w:hAnsi="Tahoma" w:cs="Tahoma"/>
          <w:b/>
          <w:bCs/>
        </w:rPr>
      </w:pPr>
    </w:p>
    <w:p w14:paraId="13FE1D40" w14:textId="77777777" w:rsidR="00C660D3" w:rsidRPr="000C0AA3" w:rsidRDefault="00C660D3" w:rsidP="00857CDA">
      <w:pPr>
        <w:rPr>
          <w:rFonts w:ascii="Tahoma" w:hAnsi="Tahoma" w:cs="Tahoma"/>
          <w:b/>
          <w:bCs/>
        </w:rPr>
      </w:pPr>
    </w:p>
    <w:p w14:paraId="16B4CCC3" w14:textId="77777777" w:rsidR="00C660D3" w:rsidRPr="000C0AA3" w:rsidRDefault="00C660D3" w:rsidP="00857CDA">
      <w:pPr>
        <w:rPr>
          <w:rFonts w:ascii="Tahoma" w:hAnsi="Tahoma" w:cs="Tahoma"/>
          <w:b/>
          <w:bCs/>
        </w:rPr>
      </w:pPr>
    </w:p>
    <w:p w14:paraId="31200445" w14:textId="77777777" w:rsidR="00C660D3" w:rsidRPr="000C0AA3" w:rsidRDefault="00C660D3" w:rsidP="00857CDA">
      <w:pPr>
        <w:rPr>
          <w:rFonts w:ascii="Tahoma" w:hAnsi="Tahoma" w:cs="Tahoma"/>
          <w:b/>
          <w:bCs/>
        </w:rPr>
      </w:pPr>
    </w:p>
    <w:p w14:paraId="3450A415" w14:textId="77777777" w:rsidR="00C660D3" w:rsidRPr="000C0AA3" w:rsidRDefault="00C660D3" w:rsidP="00857CDA">
      <w:pPr>
        <w:rPr>
          <w:rFonts w:ascii="Tahoma" w:hAnsi="Tahoma" w:cs="Tahoma"/>
          <w:b/>
          <w:bCs/>
        </w:rPr>
      </w:pPr>
      <w:bookmarkStart w:id="0" w:name="_GoBack"/>
      <w:bookmarkEnd w:id="0"/>
    </w:p>
    <w:p w14:paraId="14B38B61" w14:textId="77777777" w:rsidR="00C660D3" w:rsidRPr="000C0AA3" w:rsidRDefault="00C660D3" w:rsidP="00857CDA">
      <w:pPr>
        <w:rPr>
          <w:rFonts w:ascii="Tahoma" w:hAnsi="Tahoma" w:cs="Tahoma"/>
          <w:b/>
          <w:bCs/>
        </w:rPr>
      </w:pPr>
    </w:p>
    <w:p w14:paraId="46F6C23C" w14:textId="175C753C" w:rsidR="00857CDA" w:rsidRPr="000C0AA3" w:rsidRDefault="00416D19" w:rsidP="00857CDA">
      <w:pPr>
        <w:pBdr>
          <w:top w:val="thickThinSmallGap" w:sz="24" w:space="1" w:color="auto" w:shadow="1"/>
          <w:left w:val="thickThinSmallGap" w:sz="24" w:space="31" w:color="auto" w:shadow="1"/>
          <w:bottom w:val="thickThinSmallGap" w:sz="24" w:space="1" w:color="auto" w:shadow="1"/>
          <w:right w:val="thickThinSmallGap" w:sz="24" w:space="4" w:color="auto" w:shadow="1"/>
        </w:pBdr>
        <w:ind w:left="567" w:right="425"/>
        <w:jc w:val="center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  <w:t>Aperçu de la n</w:t>
      </w:r>
      <w:r w:rsidR="00857CDA" w:rsidRPr="000C0AA3">
        <w:rPr>
          <w:rFonts w:ascii="Tahoma" w:hAnsi="Tahoma" w:cs="Tahoma"/>
          <w:b/>
          <w:sz w:val="32"/>
          <w:szCs w:val="32"/>
        </w:rPr>
        <w:t xml:space="preserve">ote méthodologique </w:t>
      </w:r>
      <w:r>
        <w:rPr>
          <w:rFonts w:ascii="Tahoma" w:hAnsi="Tahoma" w:cs="Tahoma"/>
          <w:b/>
          <w:sz w:val="32"/>
          <w:szCs w:val="32"/>
        </w:rPr>
        <w:t>des Comptes nationaux</w:t>
      </w:r>
      <w:r w:rsidR="00F80387">
        <w:rPr>
          <w:rFonts w:ascii="Tahoma" w:hAnsi="Tahoma" w:cs="Tahoma"/>
          <w:b/>
          <w:sz w:val="32"/>
          <w:szCs w:val="32"/>
        </w:rPr>
        <w:t xml:space="preserve"> trimestriels (CNT)</w:t>
      </w:r>
      <w:r w:rsidR="000D7FAA">
        <w:rPr>
          <w:rFonts w:ascii="Tahoma" w:hAnsi="Tahoma" w:cs="Tahoma"/>
          <w:b/>
          <w:sz w:val="32"/>
          <w:szCs w:val="32"/>
        </w:rPr>
        <w:t xml:space="preserve"> du Sénégal</w:t>
      </w:r>
    </w:p>
    <w:p w14:paraId="038641E8" w14:textId="77777777" w:rsidR="00857CDA" w:rsidRPr="000C0AA3" w:rsidRDefault="00857CDA" w:rsidP="00857CDA">
      <w:pPr>
        <w:rPr>
          <w:rFonts w:ascii="Tahoma" w:hAnsi="Tahoma" w:cs="Tahoma"/>
          <w:b/>
          <w:bCs/>
        </w:rPr>
      </w:pPr>
    </w:p>
    <w:p w14:paraId="509B070B" w14:textId="77777777" w:rsidR="00681EC9" w:rsidRDefault="00681EC9" w:rsidP="00681EC9">
      <w:pPr>
        <w:autoSpaceDE w:val="0"/>
        <w:autoSpaceDN w:val="0"/>
        <w:adjustRightInd w:val="0"/>
        <w:jc w:val="center"/>
        <w:rPr>
          <w:rFonts w:ascii="Tahoma" w:eastAsiaTheme="minorHAnsi" w:hAnsi="Tahoma" w:cs="Tahoma"/>
          <w:b/>
          <w:bCs/>
          <w:sz w:val="22"/>
          <w:szCs w:val="22"/>
          <w:lang w:eastAsia="en-US"/>
        </w:rPr>
      </w:pPr>
    </w:p>
    <w:p w14:paraId="666A1FD0" w14:textId="77777777" w:rsidR="002F4233" w:rsidRDefault="002F4233" w:rsidP="00681EC9">
      <w:pPr>
        <w:autoSpaceDE w:val="0"/>
        <w:autoSpaceDN w:val="0"/>
        <w:adjustRightInd w:val="0"/>
        <w:jc w:val="center"/>
        <w:rPr>
          <w:rFonts w:ascii="Tahoma" w:eastAsiaTheme="minorHAnsi" w:hAnsi="Tahoma" w:cs="Tahoma"/>
          <w:b/>
          <w:bCs/>
          <w:i/>
          <w:iCs/>
          <w:lang w:eastAsia="en-US"/>
        </w:rPr>
      </w:pPr>
      <w:r w:rsidRPr="000C0AA3">
        <w:rPr>
          <w:rFonts w:ascii="Tahoma" w:eastAsiaTheme="minorHAnsi" w:hAnsi="Tahoma" w:cs="Tahoma"/>
          <w:b/>
          <w:bCs/>
          <w:i/>
          <w:iCs/>
          <w:lang w:eastAsia="en-US"/>
        </w:rPr>
        <w:t xml:space="preserve">AVANT </w:t>
      </w:r>
      <w:r>
        <w:rPr>
          <w:rFonts w:ascii="Tahoma" w:eastAsiaTheme="minorHAnsi" w:hAnsi="Tahoma" w:cs="Tahoma"/>
          <w:b/>
          <w:bCs/>
          <w:i/>
          <w:iCs/>
          <w:lang w:eastAsia="en-US"/>
        </w:rPr>
        <w:t>–</w:t>
      </w:r>
      <w:r w:rsidRPr="000C0AA3">
        <w:rPr>
          <w:rFonts w:ascii="Tahoma" w:eastAsiaTheme="minorHAnsi" w:hAnsi="Tahoma" w:cs="Tahoma"/>
          <w:b/>
          <w:bCs/>
          <w:i/>
          <w:iCs/>
          <w:lang w:eastAsia="en-US"/>
        </w:rPr>
        <w:t xml:space="preserve"> PROPOS</w:t>
      </w:r>
    </w:p>
    <w:p w14:paraId="10536135" w14:textId="77777777" w:rsidR="002F4233" w:rsidRPr="000C0AA3" w:rsidRDefault="002F4233" w:rsidP="00681EC9">
      <w:pPr>
        <w:autoSpaceDE w:val="0"/>
        <w:autoSpaceDN w:val="0"/>
        <w:adjustRightInd w:val="0"/>
        <w:jc w:val="center"/>
        <w:rPr>
          <w:rFonts w:ascii="Tahoma" w:eastAsiaTheme="minorHAnsi" w:hAnsi="Tahoma" w:cs="Tahoma"/>
          <w:b/>
          <w:bCs/>
          <w:sz w:val="22"/>
          <w:szCs w:val="22"/>
          <w:lang w:eastAsia="en-US"/>
        </w:rPr>
      </w:pPr>
    </w:p>
    <w:p w14:paraId="69C4DE48" w14:textId="2345E0DF" w:rsidR="00770A30" w:rsidRPr="00A36FA5" w:rsidRDefault="005A038D" w:rsidP="00652254">
      <w:pPr>
        <w:spacing w:line="276" w:lineRule="auto"/>
        <w:jc w:val="both"/>
        <w:rPr>
          <w:rFonts w:ascii="Tahoma" w:hAnsi="Tahoma" w:cs="Tahoma"/>
          <w:bCs/>
          <w:szCs w:val="28"/>
        </w:rPr>
      </w:pPr>
      <w:r w:rsidRPr="00A36FA5">
        <w:rPr>
          <w:rFonts w:ascii="Tahoma" w:hAnsi="Tahoma" w:cs="Tahoma"/>
        </w:rPr>
        <w:t xml:space="preserve">L’Agence </w:t>
      </w:r>
      <w:r w:rsidR="00F41228" w:rsidRPr="00A36FA5">
        <w:rPr>
          <w:rFonts w:ascii="Tahoma" w:hAnsi="Tahoma" w:cs="Tahoma"/>
        </w:rPr>
        <w:t>n</w:t>
      </w:r>
      <w:r w:rsidRPr="00A36FA5">
        <w:rPr>
          <w:rFonts w:ascii="Tahoma" w:hAnsi="Tahoma" w:cs="Tahoma"/>
        </w:rPr>
        <w:t>ationale de la Statistique et de la Démographie (ANSD) publie</w:t>
      </w:r>
      <w:r w:rsidR="00770A30" w:rsidRPr="00A36FA5">
        <w:rPr>
          <w:rFonts w:ascii="Tahoma" w:hAnsi="Tahoma" w:cs="Tahoma"/>
          <w:bCs/>
          <w:szCs w:val="28"/>
        </w:rPr>
        <w:t xml:space="preserve"> les comptes nationaux trimestriels (CNT), en volume, </w:t>
      </w:r>
      <w:r w:rsidR="006D14F9">
        <w:rPr>
          <w:rFonts w:ascii="Tahoma" w:hAnsi="Tahoma" w:cs="Tahoma"/>
          <w:bCs/>
          <w:szCs w:val="28"/>
        </w:rPr>
        <w:t>bruts et c</w:t>
      </w:r>
      <w:r w:rsidR="00770A30" w:rsidRPr="00A36FA5">
        <w:rPr>
          <w:rFonts w:ascii="Tahoma" w:hAnsi="Tahoma" w:cs="Tahoma"/>
          <w:bCs/>
          <w:szCs w:val="28"/>
        </w:rPr>
        <w:t xml:space="preserve">orrigés des </w:t>
      </w:r>
      <w:r w:rsidR="006D14F9">
        <w:rPr>
          <w:rFonts w:ascii="Tahoma" w:hAnsi="Tahoma" w:cs="Tahoma"/>
          <w:bCs/>
          <w:szCs w:val="28"/>
        </w:rPr>
        <w:t>v</w:t>
      </w:r>
      <w:r w:rsidR="00770A30" w:rsidRPr="00A36FA5">
        <w:rPr>
          <w:rFonts w:ascii="Tahoma" w:hAnsi="Tahoma" w:cs="Tahoma"/>
          <w:bCs/>
          <w:szCs w:val="28"/>
        </w:rPr>
        <w:t xml:space="preserve">ariations </w:t>
      </w:r>
      <w:r w:rsidR="006D14F9">
        <w:rPr>
          <w:rFonts w:ascii="Tahoma" w:hAnsi="Tahoma" w:cs="Tahoma"/>
          <w:bCs/>
          <w:szCs w:val="28"/>
        </w:rPr>
        <w:t>s</w:t>
      </w:r>
      <w:r w:rsidR="00770A30" w:rsidRPr="00A36FA5">
        <w:rPr>
          <w:rFonts w:ascii="Tahoma" w:hAnsi="Tahoma" w:cs="Tahoma"/>
          <w:bCs/>
          <w:szCs w:val="28"/>
        </w:rPr>
        <w:t xml:space="preserve">aisonnières (CVS) </w:t>
      </w:r>
      <w:r w:rsidR="006D14F9">
        <w:rPr>
          <w:rFonts w:ascii="Tahoma" w:hAnsi="Tahoma" w:cs="Tahoma"/>
          <w:bCs/>
          <w:szCs w:val="28"/>
        </w:rPr>
        <w:t>ainsi qu’</w:t>
      </w:r>
      <w:r w:rsidR="00770A30" w:rsidRPr="00A36FA5">
        <w:rPr>
          <w:rFonts w:ascii="Tahoma" w:hAnsi="Tahoma" w:cs="Tahoma"/>
          <w:bCs/>
          <w:szCs w:val="28"/>
        </w:rPr>
        <w:t>en valeur.</w:t>
      </w:r>
      <w:r w:rsidRPr="00A36FA5">
        <w:rPr>
          <w:rFonts w:ascii="Tahoma" w:hAnsi="Tahoma" w:cs="Tahoma"/>
        </w:rPr>
        <w:t xml:space="preserve"> </w:t>
      </w:r>
      <w:r w:rsidR="00770A30" w:rsidRPr="00A36FA5">
        <w:rPr>
          <w:rFonts w:ascii="Tahoma" w:hAnsi="Tahoma" w:cs="Tahoma"/>
          <w:bCs/>
          <w:szCs w:val="28"/>
        </w:rPr>
        <w:t xml:space="preserve">Le PIB trimestriel est calculé en partant </w:t>
      </w:r>
      <w:r w:rsidR="00770A30" w:rsidRPr="00A36FA5">
        <w:rPr>
          <w:rFonts w:ascii="Tahoma" w:hAnsi="Tahoma" w:cs="Tahoma"/>
        </w:rPr>
        <w:t xml:space="preserve">d’un regroupement des branches </w:t>
      </w:r>
      <w:r w:rsidR="00770A30" w:rsidRPr="00A36FA5">
        <w:rPr>
          <w:rFonts w:ascii="Tahoma" w:hAnsi="Tahoma" w:cs="Tahoma"/>
          <w:bCs/>
          <w:szCs w:val="28"/>
        </w:rPr>
        <w:t>de la Nomenclature d’Activités des États Membres d’AFRISTAT</w:t>
      </w:r>
      <w:r w:rsidR="006D14F9">
        <w:rPr>
          <w:rFonts w:ascii="Tahoma" w:hAnsi="Tahoma" w:cs="Tahoma"/>
          <w:bCs/>
          <w:szCs w:val="28"/>
        </w:rPr>
        <w:t xml:space="preserve"> adaptée au</w:t>
      </w:r>
      <w:r w:rsidR="00770A30" w:rsidRPr="00A36FA5">
        <w:rPr>
          <w:rFonts w:ascii="Tahoma" w:hAnsi="Tahoma" w:cs="Tahoma"/>
          <w:bCs/>
          <w:szCs w:val="28"/>
        </w:rPr>
        <w:t xml:space="preserve"> Sénégal (NAEMAS). </w:t>
      </w:r>
    </w:p>
    <w:p w14:paraId="40905A8E" w14:textId="77777777" w:rsidR="00770A30" w:rsidRPr="00A36FA5" w:rsidRDefault="00770A30" w:rsidP="00652254">
      <w:pPr>
        <w:spacing w:line="276" w:lineRule="auto"/>
        <w:jc w:val="both"/>
        <w:rPr>
          <w:rFonts w:ascii="Tahoma" w:hAnsi="Tahoma" w:cs="Tahoma"/>
          <w:bCs/>
          <w:szCs w:val="28"/>
        </w:rPr>
      </w:pPr>
    </w:p>
    <w:p w14:paraId="0FD591FE" w14:textId="647048DE" w:rsidR="000D7FAA" w:rsidRDefault="005A038D" w:rsidP="00652254">
      <w:pPr>
        <w:spacing w:line="276" w:lineRule="auto"/>
        <w:jc w:val="both"/>
        <w:rPr>
          <w:rFonts w:ascii="Tahoma" w:hAnsi="Tahoma" w:cs="Tahoma"/>
        </w:rPr>
      </w:pPr>
      <w:r w:rsidRPr="00A36FA5">
        <w:rPr>
          <w:rFonts w:ascii="Tahoma" w:hAnsi="Tahoma" w:cs="Tahoma"/>
        </w:rPr>
        <w:t>L</w:t>
      </w:r>
      <w:r w:rsidR="006D14F9">
        <w:rPr>
          <w:rFonts w:ascii="Tahoma" w:hAnsi="Tahoma" w:cs="Tahoma"/>
        </w:rPr>
        <w:t xml:space="preserve">es </w:t>
      </w:r>
      <w:r w:rsidRPr="00A36FA5">
        <w:rPr>
          <w:rFonts w:ascii="Tahoma" w:hAnsi="Tahoma" w:cs="Tahoma"/>
        </w:rPr>
        <w:t>approche</w:t>
      </w:r>
      <w:r w:rsidR="006D14F9">
        <w:rPr>
          <w:rFonts w:ascii="Tahoma" w:hAnsi="Tahoma" w:cs="Tahoma"/>
        </w:rPr>
        <w:t>s</w:t>
      </w:r>
      <w:r w:rsidRPr="00A36FA5">
        <w:rPr>
          <w:rFonts w:ascii="Tahoma" w:hAnsi="Tahoma" w:cs="Tahoma"/>
        </w:rPr>
        <w:t xml:space="preserve"> utilisée</w:t>
      </w:r>
      <w:r w:rsidR="006D14F9">
        <w:rPr>
          <w:rFonts w:ascii="Tahoma" w:hAnsi="Tahoma" w:cs="Tahoma"/>
        </w:rPr>
        <w:t>s</w:t>
      </w:r>
      <w:r w:rsidRPr="00A36FA5">
        <w:rPr>
          <w:rFonts w:ascii="Tahoma" w:hAnsi="Tahoma" w:cs="Tahoma"/>
        </w:rPr>
        <w:t xml:space="preserve"> </w:t>
      </w:r>
      <w:r w:rsidR="006D14F9">
        <w:rPr>
          <w:rFonts w:ascii="Tahoma" w:hAnsi="Tahoma" w:cs="Tahoma"/>
        </w:rPr>
        <w:t>sont</w:t>
      </w:r>
      <w:r w:rsidR="006D14F9" w:rsidRPr="00A36FA5">
        <w:rPr>
          <w:rFonts w:ascii="Tahoma" w:hAnsi="Tahoma" w:cs="Tahoma"/>
        </w:rPr>
        <w:t xml:space="preserve"> </w:t>
      </w:r>
      <w:r w:rsidRPr="00A36FA5">
        <w:rPr>
          <w:rFonts w:ascii="Tahoma" w:hAnsi="Tahoma" w:cs="Tahoma"/>
        </w:rPr>
        <w:t>celle</w:t>
      </w:r>
      <w:r w:rsidR="006D14F9">
        <w:rPr>
          <w:rFonts w:ascii="Tahoma" w:hAnsi="Tahoma" w:cs="Tahoma"/>
        </w:rPr>
        <w:t>s</w:t>
      </w:r>
      <w:r w:rsidRPr="00A36FA5">
        <w:rPr>
          <w:rFonts w:ascii="Tahoma" w:hAnsi="Tahoma" w:cs="Tahoma"/>
        </w:rPr>
        <w:t xml:space="preserve"> </w:t>
      </w:r>
      <w:r w:rsidR="00794EF1" w:rsidRPr="00A36FA5">
        <w:rPr>
          <w:rFonts w:ascii="Tahoma" w:hAnsi="Tahoma" w:cs="Tahoma"/>
        </w:rPr>
        <w:t>de</w:t>
      </w:r>
      <w:r w:rsidR="006D14F9">
        <w:rPr>
          <w:rFonts w:ascii="Tahoma" w:hAnsi="Tahoma" w:cs="Tahoma"/>
        </w:rPr>
        <w:t>s</w:t>
      </w:r>
      <w:r w:rsidR="00794EF1" w:rsidRPr="00A36FA5">
        <w:rPr>
          <w:rFonts w:ascii="Tahoma" w:hAnsi="Tahoma" w:cs="Tahoma"/>
        </w:rPr>
        <w:t xml:space="preserve"> optique</w:t>
      </w:r>
      <w:r w:rsidR="006D14F9">
        <w:rPr>
          <w:rFonts w:ascii="Tahoma" w:hAnsi="Tahoma" w:cs="Tahoma"/>
        </w:rPr>
        <w:t>s</w:t>
      </w:r>
      <w:r w:rsidR="00794EF1" w:rsidRPr="00A36FA5">
        <w:rPr>
          <w:rFonts w:ascii="Tahoma" w:hAnsi="Tahoma" w:cs="Tahoma"/>
        </w:rPr>
        <w:t xml:space="preserve"> offre et demande </w:t>
      </w:r>
      <w:r w:rsidRPr="00A36FA5">
        <w:rPr>
          <w:rFonts w:ascii="Tahoma" w:hAnsi="Tahoma" w:cs="Tahoma"/>
        </w:rPr>
        <w:t>et repose</w:t>
      </w:r>
      <w:r w:rsidR="006D14F9">
        <w:rPr>
          <w:rFonts w:ascii="Tahoma" w:hAnsi="Tahoma" w:cs="Tahoma"/>
        </w:rPr>
        <w:t>nt</w:t>
      </w:r>
      <w:r w:rsidRPr="00A36FA5">
        <w:rPr>
          <w:rFonts w:ascii="Tahoma" w:hAnsi="Tahoma" w:cs="Tahoma"/>
        </w:rPr>
        <w:t xml:space="preserve"> sur la disp</w:t>
      </w:r>
      <w:r w:rsidR="00652254" w:rsidRPr="00A36FA5">
        <w:rPr>
          <w:rFonts w:ascii="Tahoma" w:hAnsi="Tahoma" w:cs="Tahoma"/>
        </w:rPr>
        <w:t xml:space="preserve">onibilité d’un ensemble </w:t>
      </w:r>
      <w:r w:rsidRPr="00A36FA5">
        <w:rPr>
          <w:rFonts w:ascii="Tahoma" w:hAnsi="Tahoma" w:cs="Tahoma"/>
        </w:rPr>
        <w:t>de statistiques conjoncturelles sur les branches d’activités économiques</w:t>
      </w:r>
      <w:r w:rsidR="006D14F9">
        <w:rPr>
          <w:rFonts w:ascii="Tahoma" w:hAnsi="Tahoma" w:cs="Tahoma"/>
        </w:rPr>
        <w:t xml:space="preserve"> et l’utilisation finale des biens et services</w:t>
      </w:r>
      <w:r w:rsidRPr="00A36FA5">
        <w:rPr>
          <w:rFonts w:ascii="Tahoma" w:hAnsi="Tahoma" w:cs="Tahoma"/>
        </w:rPr>
        <w:t>.</w:t>
      </w:r>
      <w:r w:rsidR="002750E8" w:rsidRPr="00A36FA5">
        <w:rPr>
          <w:rFonts w:ascii="Tahoma" w:hAnsi="Tahoma" w:cs="Tahoma"/>
        </w:rPr>
        <w:t xml:space="preserve"> En outre,</w:t>
      </w:r>
      <w:r w:rsidRPr="00A36FA5">
        <w:rPr>
          <w:rFonts w:ascii="Tahoma" w:hAnsi="Tahoma" w:cs="Tahoma"/>
        </w:rPr>
        <w:t xml:space="preserve"> </w:t>
      </w:r>
      <w:r w:rsidR="002750E8" w:rsidRPr="00A36FA5">
        <w:rPr>
          <w:rFonts w:ascii="Tahoma" w:hAnsi="Tahoma" w:cs="Tahoma"/>
        </w:rPr>
        <w:t>l</w:t>
      </w:r>
      <w:r w:rsidRPr="00A36FA5">
        <w:rPr>
          <w:rFonts w:ascii="Tahoma" w:hAnsi="Tahoma" w:cs="Tahoma"/>
        </w:rPr>
        <w:t xml:space="preserve">a méthodologie de l’étalonnage-calage a été retenue. </w:t>
      </w:r>
    </w:p>
    <w:p w14:paraId="7CEED0B9" w14:textId="187A278D" w:rsidR="005A038D" w:rsidRPr="00A36FA5" w:rsidRDefault="006D14F9" w:rsidP="00652254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S’agissant</w:t>
      </w:r>
      <w:r w:rsidR="002750E8" w:rsidRPr="00A36FA5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du </w:t>
      </w:r>
      <w:r w:rsidR="002750E8" w:rsidRPr="00A36FA5">
        <w:rPr>
          <w:rFonts w:ascii="Tahoma" w:hAnsi="Tahoma" w:cs="Tahoma"/>
        </w:rPr>
        <w:t>rapport</w:t>
      </w:r>
      <w:r w:rsidR="00F80387" w:rsidRPr="00A36FA5">
        <w:rPr>
          <w:rFonts w:ascii="Tahoma" w:hAnsi="Tahoma" w:cs="Tahoma"/>
        </w:rPr>
        <w:t xml:space="preserve"> </w:t>
      </w:r>
      <w:r w:rsidR="005A038D" w:rsidRPr="00A36FA5">
        <w:rPr>
          <w:rFonts w:ascii="Tahoma" w:hAnsi="Tahoma" w:cs="Tahoma"/>
        </w:rPr>
        <w:t>sur le PIB trimestriel</w:t>
      </w:r>
      <w:r>
        <w:rPr>
          <w:rFonts w:ascii="Tahoma" w:hAnsi="Tahoma" w:cs="Tahoma"/>
        </w:rPr>
        <w:t>, il</w:t>
      </w:r>
      <w:r w:rsidR="005A038D" w:rsidRPr="00A36FA5">
        <w:rPr>
          <w:rFonts w:ascii="Tahoma" w:hAnsi="Tahoma" w:cs="Tahoma"/>
        </w:rPr>
        <w:t xml:space="preserve"> est publié</w:t>
      </w:r>
      <w:r>
        <w:rPr>
          <w:rFonts w:ascii="Tahoma" w:hAnsi="Tahoma" w:cs="Tahoma"/>
        </w:rPr>
        <w:t>,</w:t>
      </w:r>
      <w:r w:rsidR="005A038D" w:rsidRPr="00A36FA5">
        <w:rPr>
          <w:rFonts w:ascii="Tahoma" w:hAnsi="Tahoma" w:cs="Tahoma"/>
        </w:rPr>
        <w:t xml:space="preserve"> </w:t>
      </w:r>
      <w:r w:rsidR="00C660D3" w:rsidRPr="00A36FA5">
        <w:rPr>
          <w:rFonts w:ascii="Tahoma" w:hAnsi="Tahoma" w:cs="Tahoma"/>
        </w:rPr>
        <w:t>au plus tard</w:t>
      </w:r>
      <w:r>
        <w:rPr>
          <w:rFonts w:ascii="Tahoma" w:hAnsi="Tahoma" w:cs="Tahoma"/>
        </w:rPr>
        <w:t>,</w:t>
      </w:r>
      <w:r w:rsidR="00C660D3" w:rsidRPr="00A36FA5">
        <w:rPr>
          <w:rFonts w:ascii="Tahoma" w:hAnsi="Tahoma" w:cs="Tahoma"/>
        </w:rPr>
        <w:t xml:space="preserve"> quatre-vingt-dix (90</w:t>
      </w:r>
      <w:r w:rsidR="005A038D" w:rsidRPr="00A36FA5">
        <w:rPr>
          <w:rFonts w:ascii="Tahoma" w:hAnsi="Tahoma" w:cs="Tahoma"/>
        </w:rPr>
        <w:t xml:space="preserve">) jours après le trimestre sous revue. </w:t>
      </w:r>
    </w:p>
    <w:p w14:paraId="70CA52EC" w14:textId="77777777" w:rsidR="002F4233" w:rsidRPr="002F4233" w:rsidRDefault="002F4233" w:rsidP="005A038D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14:paraId="1CDC228B" w14:textId="77777777" w:rsidR="005A038D" w:rsidRPr="00F80387" w:rsidRDefault="00F80387" w:rsidP="00276D0C">
      <w:pPr>
        <w:spacing w:line="360" w:lineRule="auto"/>
        <w:jc w:val="center"/>
        <w:rPr>
          <w:rFonts w:ascii="Tahoma" w:hAnsi="Tahoma" w:cs="Tahoma"/>
          <w:b/>
        </w:rPr>
      </w:pPr>
      <w:r w:rsidRPr="00F80387">
        <w:rPr>
          <w:rFonts w:ascii="Tahoma" w:hAnsi="Tahoma" w:cs="Tahoma"/>
          <w:b/>
        </w:rPr>
        <w:t>APERÇU METHODOLOGIQUE</w:t>
      </w:r>
    </w:p>
    <w:p w14:paraId="4425FD3F" w14:textId="77777777" w:rsidR="005A038D" w:rsidRPr="00A36FA5" w:rsidRDefault="005A038D" w:rsidP="00276D0C">
      <w:pPr>
        <w:spacing w:before="240" w:after="240"/>
        <w:jc w:val="both"/>
        <w:rPr>
          <w:rFonts w:ascii="Tahoma" w:hAnsi="Tahoma" w:cs="Tahoma"/>
          <w:b/>
        </w:rPr>
      </w:pPr>
      <w:r w:rsidRPr="00A36FA5">
        <w:rPr>
          <w:rFonts w:ascii="Tahoma" w:hAnsi="Tahoma" w:cs="Tahoma"/>
          <w:b/>
        </w:rPr>
        <w:t>Approche de calcul</w:t>
      </w:r>
    </w:p>
    <w:p w14:paraId="0071300F" w14:textId="48E56EF2" w:rsidR="000C0AA3" w:rsidRPr="00A36FA5" w:rsidRDefault="009C5EB7" w:rsidP="00F80387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Cs/>
        </w:rPr>
        <w:t>Pour élaborer le PIB trimestriel, les activités sont réparties par groupe homogène. Ce classement est réalisé à l’aide de la nomenclature des activités des Etats membres d’AFRISTAT (NAEMA rev.1)</w:t>
      </w:r>
      <w:r w:rsidR="006D14F9">
        <w:rPr>
          <w:rFonts w:ascii="Tahoma" w:hAnsi="Tahoma" w:cs="Tahoma"/>
          <w:bCs/>
        </w:rPr>
        <w:t xml:space="preserve"> adaptée au Sénégal</w:t>
      </w:r>
      <w:r w:rsidR="000C0AA3" w:rsidRPr="00A36FA5">
        <w:rPr>
          <w:rFonts w:ascii="Tahoma" w:hAnsi="Tahoma" w:cs="Tahoma"/>
          <w:bCs/>
        </w:rPr>
        <w:t xml:space="preserve">. </w:t>
      </w:r>
      <w:r w:rsidR="0026627B" w:rsidRPr="00A36FA5">
        <w:rPr>
          <w:rFonts w:ascii="Tahoma" w:hAnsi="Tahoma" w:cs="Tahoma"/>
          <w:bCs/>
        </w:rPr>
        <w:t xml:space="preserve">Ainsi, </w:t>
      </w:r>
      <w:r w:rsidR="006D14F9">
        <w:rPr>
          <w:rFonts w:ascii="Tahoma" w:hAnsi="Tahoma" w:cs="Tahoma"/>
          <w:bCs/>
        </w:rPr>
        <w:t>le PIB trimestriel</w:t>
      </w:r>
      <w:r w:rsidR="006D14F9" w:rsidRPr="00A36FA5">
        <w:rPr>
          <w:rFonts w:ascii="Tahoma" w:hAnsi="Tahoma" w:cs="Tahoma"/>
          <w:bCs/>
        </w:rPr>
        <w:t xml:space="preserve"> </w:t>
      </w:r>
      <w:r w:rsidR="000C0AA3" w:rsidRPr="00A36FA5">
        <w:rPr>
          <w:rFonts w:ascii="Tahoma" w:hAnsi="Tahoma" w:cs="Tahoma"/>
          <w:bCs/>
        </w:rPr>
        <w:t>est évalué en valeur aux prix courants, en volumes chainés</w:t>
      </w:r>
      <w:r w:rsidR="0026627B" w:rsidRPr="00A36FA5">
        <w:rPr>
          <w:rStyle w:val="Appelnotedebasdep"/>
          <w:rFonts w:ascii="Tahoma" w:hAnsi="Tahoma" w:cs="Tahoma"/>
          <w:bCs/>
        </w:rPr>
        <w:footnoteReference w:id="1"/>
      </w:r>
      <w:r w:rsidR="000C0AA3" w:rsidRPr="00A36FA5">
        <w:rPr>
          <w:rFonts w:ascii="Tahoma" w:hAnsi="Tahoma" w:cs="Tahoma"/>
          <w:bCs/>
        </w:rPr>
        <w:t xml:space="preserve"> </w:t>
      </w:r>
      <w:r w:rsidR="006D14F9">
        <w:rPr>
          <w:rFonts w:ascii="Tahoma" w:hAnsi="Tahoma" w:cs="Tahoma"/>
          <w:bCs/>
        </w:rPr>
        <w:t>bruts</w:t>
      </w:r>
      <w:r w:rsidR="006D14F9" w:rsidRPr="00A36FA5">
        <w:rPr>
          <w:rFonts w:ascii="Tahoma" w:hAnsi="Tahoma" w:cs="Tahoma"/>
          <w:bCs/>
        </w:rPr>
        <w:t xml:space="preserve"> </w:t>
      </w:r>
      <w:r w:rsidR="006D14F9">
        <w:rPr>
          <w:rFonts w:ascii="Tahoma" w:hAnsi="Tahoma" w:cs="Tahoma"/>
          <w:bCs/>
        </w:rPr>
        <w:t>et</w:t>
      </w:r>
      <w:r w:rsidR="006D14F9" w:rsidRPr="00A36FA5">
        <w:rPr>
          <w:rFonts w:ascii="Tahoma" w:hAnsi="Tahoma" w:cs="Tahoma"/>
          <w:bCs/>
        </w:rPr>
        <w:t xml:space="preserve"> </w:t>
      </w:r>
      <w:r w:rsidR="000C0AA3" w:rsidRPr="00A36FA5">
        <w:rPr>
          <w:rFonts w:ascii="Tahoma" w:hAnsi="Tahoma" w:cs="Tahoma"/>
          <w:bCs/>
        </w:rPr>
        <w:t>corrigé</w:t>
      </w:r>
      <w:r w:rsidR="006D14F9">
        <w:rPr>
          <w:rFonts w:ascii="Tahoma" w:hAnsi="Tahoma" w:cs="Tahoma"/>
          <w:bCs/>
        </w:rPr>
        <w:t>s</w:t>
      </w:r>
      <w:r w:rsidR="000C0AA3" w:rsidRPr="00A36FA5">
        <w:rPr>
          <w:rFonts w:ascii="Tahoma" w:hAnsi="Tahoma" w:cs="Tahoma"/>
          <w:bCs/>
        </w:rPr>
        <w:t xml:space="preserve"> des variations saisonnières. La méthodologie de l’étalonnage-calage fondée sur l’approche numérique (Denton) et celle par modélisation (Cholette-</w:t>
      </w:r>
      <w:proofErr w:type="spellStart"/>
      <w:r w:rsidR="000C0AA3" w:rsidRPr="00A36FA5">
        <w:rPr>
          <w:rFonts w:ascii="Tahoma" w:hAnsi="Tahoma" w:cs="Tahoma"/>
          <w:bCs/>
        </w:rPr>
        <w:t>Dagum</w:t>
      </w:r>
      <w:proofErr w:type="spellEnd"/>
      <w:r w:rsidR="000C0AA3" w:rsidRPr="00A36FA5">
        <w:rPr>
          <w:rFonts w:ascii="Tahoma" w:hAnsi="Tahoma" w:cs="Tahoma"/>
          <w:bCs/>
        </w:rPr>
        <w:t xml:space="preserve">) a été retenue. </w:t>
      </w:r>
    </w:p>
    <w:p w14:paraId="114D5E95" w14:textId="77777777" w:rsidR="005A038D" w:rsidRPr="000C0AA3" w:rsidRDefault="005A038D" w:rsidP="00276D0C">
      <w:pPr>
        <w:spacing w:before="240" w:after="240"/>
        <w:jc w:val="both"/>
        <w:rPr>
          <w:rFonts w:ascii="Tahoma" w:hAnsi="Tahoma" w:cs="Tahoma"/>
          <w:b/>
          <w:sz w:val="22"/>
          <w:szCs w:val="22"/>
        </w:rPr>
      </w:pPr>
      <w:r w:rsidRPr="000C0AA3">
        <w:rPr>
          <w:rFonts w:ascii="Tahoma" w:hAnsi="Tahoma" w:cs="Tahoma"/>
          <w:b/>
          <w:sz w:val="22"/>
          <w:szCs w:val="22"/>
        </w:rPr>
        <w:lastRenderedPageBreak/>
        <w:t>Nomenclature des activités et indicateurs</w:t>
      </w:r>
    </w:p>
    <w:p w14:paraId="60323745" w14:textId="2D571CC3" w:rsidR="00276D0C" w:rsidRDefault="00276D0C" w:rsidP="00F80387">
      <w:pPr>
        <w:spacing w:line="276" w:lineRule="auto"/>
        <w:jc w:val="both"/>
        <w:rPr>
          <w:rFonts w:ascii="Tahoma" w:hAnsi="Tahoma" w:cs="Tahoma"/>
          <w:bCs/>
          <w:sz w:val="22"/>
        </w:rPr>
      </w:pPr>
      <w:r>
        <w:rPr>
          <w:rFonts w:ascii="Tahoma" w:hAnsi="Tahoma" w:cs="Tahoma"/>
          <w:bCs/>
          <w:sz w:val="22"/>
        </w:rPr>
        <w:t xml:space="preserve">Tout comme les comptes annuels, les comptes trimestriels évaluent </w:t>
      </w:r>
      <w:r w:rsidR="00155C90">
        <w:rPr>
          <w:rFonts w:ascii="Tahoma" w:hAnsi="Tahoma" w:cs="Tahoma"/>
          <w:bCs/>
          <w:sz w:val="22"/>
        </w:rPr>
        <w:t>la valeur ajoutée de chaque activité économique</w:t>
      </w:r>
      <w:r>
        <w:rPr>
          <w:rFonts w:ascii="Tahoma" w:hAnsi="Tahoma" w:cs="Tahoma"/>
          <w:bCs/>
          <w:sz w:val="22"/>
        </w:rPr>
        <w:t xml:space="preserve">. </w:t>
      </w:r>
      <w:r w:rsidR="00155C90">
        <w:rPr>
          <w:rFonts w:ascii="Tahoma" w:hAnsi="Tahoma" w:cs="Tahoma"/>
          <w:bCs/>
          <w:sz w:val="22"/>
        </w:rPr>
        <w:t>A cet effet</w:t>
      </w:r>
      <w:r>
        <w:rPr>
          <w:rFonts w:ascii="Tahoma" w:hAnsi="Tahoma" w:cs="Tahoma"/>
          <w:bCs/>
          <w:sz w:val="22"/>
        </w:rPr>
        <w:t xml:space="preserve">, chaque branche d’activité est étalonnée par un indicateur simple ou composite. </w:t>
      </w:r>
      <w:r w:rsidR="009C5EB7">
        <w:rPr>
          <w:rFonts w:ascii="Tahoma" w:hAnsi="Tahoma" w:cs="Tahoma"/>
          <w:bCs/>
          <w:sz w:val="22"/>
        </w:rPr>
        <w:t xml:space="preserve">Toutefois, la nomenclature des branches d’activités des comptes nationaux trimestriels est plus agrégée (25) du fait </w:t>
      </w:r>
      <w:r w:rsidR="00155C90">
        <w:rPr>
          <w:rFonts w:ascii="Tahoma" w:hAnsi="Tahoma" w:cs="Tahoma"/>
          <w:bCs/>
          <w:sz w:val="22"/>
        </w:rPr>
        <w:t>du niveau de</w:t>
      </w:r>
      <w:r w:rsidR="009C5EB7">
        <w:rPr>
          <w:rFonts w:ascii="Tahoma" w:hAnsi="Tahoma" w:cs="Tahoma"/>
          <w:bCs/>
          <w:sz w:val="22"/>
        </w:rPr>
        <w:t xml:space="preserve"> disponibilité des données servant d’indicateur</w:t>
      </w:r>
      <w:r w:rsidR="00155C90">
        <w:rPr>
          <w:rFonts w:ascii="Tahoma" w:hAnsi="Tahoma" w:cs="Tahoma"/>
          <w:bCs/>
          <w:sz w:val="22"/>
        </w:rPr>
        <w:t>s</w:t>
      </w:r>
      <w:r w:rsidR="009C5EB7">
        <w:rPr>
          <w:rFonts w:ascii="Tahoma" w:hAnsi="Tahoma" w:cs="Tahoma"/>
          <w:bCs/>
          <w:sz w:val="22"/>
        </w:rPr>
        <w:t>.</w:t>
      </w:r>
    </w:p>
    <w:p w14:paraId="017F3FCE" w14:textId="77777777" w:rsidR="005A038D" w:rsidRPr="000C0AA3" w:rsidRDefault="00276D0C" w:rsidP="00276D0C">
      <w:pPr>
        <w:spacing w:before="240" w:after="240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>Etalonnage et</w:t>
      </w:r>
      <w:r w:rsidR="005A038D" w:rsidRPr="000C0AA3">
        <w:rPr>
          <w:rFonts w:ascii="Tahoma" w:hAnsi="Tahoma" w:cs="Tahoma"/>
          <w:b/>
          <w:sz w:val="22"/>
          <w:szCs w:val="22"/>
        </w:rPr>
        <w:t xml:space="preserve"> calage</w:t>
      </w:r>
    </w:p>
    <w:p w14:paraId="09BF62A8" w14:textId="01F734F1" w:rsidR="00276D0C" w:rsidRDefault="00276D0C" w:rsidP="00F80387">
      <w:pPr>
        <w:spacing w:line="276" w:lineRule="auto"/>
        <w:jc w:val="both"/>
        <w:rPr>
          <w:rFonts w:ascii="Tahoma" w:hAnsi="Tahoma" w:cs="Tahoma"/>
          <w:bCs/>
          <w:sz w:val="22"/>
        </w:rPr>
      </w:pPr>
      <w:r w:rsidRPr="00163603">
        <w:rPr>
          <w:rFonts w:ascii="Tahoma" w:hAnsi="Tahoma" w:cs="Tahoma"/>
          <w:bCs/>
          <w:sz w:val="22"/>
        </w:rPr>
        <w:t xml:space="preserve">L’étalonnage consiste à relier les données </w:t>
      </w:r>
      <w:r>
        <w:rPr>
          <w:rFonts w:ascii="Tahoma" w:hAnsi="Tahoma" w:cs="Tahoma"/>
          <w:bCs/>
          <w:sz w:val="22"/>
        </w:rPr>
        <w:t>des agrégats macroéconomiques</w:t>
      </w:r>
      <w:r w:rsidRPr="00163603">
        <w:rPr>
          <w:rFonts w:ascii="Tahoma" w:hAnsi="Tahoma" w:cs="Tahoma"/>
          <w:bCs/>
          <w:sz w:val="22"/>
        </w:rPr>
        <w:t xml:space="preserve"> annuel</w:t>
      </w:r>
      <w:r>
        <w:rPr>
          <w:rFonts w:ascii="Tahoma" w:hAnsi="Tahoma" w:cs="Tahoma"/>
          <w:bCs/>
          <w:sz w:val="22"/>
        </w:rPr>
        <w:t>s</w:t>
      </w:r>
      <w:r w:rsidRPr="00163603">
        <w:rPr>
          <w:rFonts w:ascii="Tahoma" w:hAnsi="Tahoma" w:cs="Tahoma"/>
          <w:bCs/>
          <w:sz w:val="22"/>
        </w:rPr>
        <w:t xml:space="preserve"> aux statistiques conjoncturelles</w:t>
      </w:r>
      <w:r>
        <w:rPr>
          <w:rFonts w:ascii="Tahoma" w:hAnsi="Tahoma" w:cs="Tahoma"/>
          <w:bCs/>
          <w:sz w:val="22"/>
        </w:rPr>
        <w:t xml:space="preserve"> (indicateurs) dans le cadre de l’évaluation de</w:t>
      </w:r>
      <w:r w:rsidRPr="00163603">
        <w:rPr>
          <w:rFonts w:ascii="Tahoma" w:hAnsi="Tahoma" w:cs="Tahoma"/>
          <w:bCs/>
          <w:sz w:val="22"/>
        </w:rPr>
        <w:t xml:space="preserve"> l’état de l’économie par le biais d’une relation mathématique appelée équation d’étalonnage. Cette relation est </w:t>
      </w:r>
      <w:r w:rsidR="00155C90">
        <w:rPr>
          <w:rFonts w:ascii="Tahoma" w:hAnsi="Tahoma" w:cs="Tahoma"/>
          <w:bCs/>
          <w:sz w:val="22"/>
        </w:rPr>
        <w:t>établie</w:t>
      </w:r>
      <w:r w:rsidR="00155C90" w:rsidRPr="00163603">
        <w:rPr>
          <w:rFonts w:ascii="Tahoma" w:hAnsi="Tahoma" w:cs="Tahoma"/>
          <w:bCs/>
          <w:sz w:val="22"/>
        </w:rPr>
        <w:t xml:space="preserve"> </w:t>
      </w:r>
      <w:r w:rsidRPr="00163603">
        <w:rPr>
          <w:rFonts w:ascii="Tahoma" w:hAnsi="Tahoma" w:cs="Tahoma"/>
          <w:bCs/>
          <w:sz w:val="22"/>
        </w:rPr>
        <w:t>en utilisant une période passée</w:t>
      </w:r>
      <w:r>
        <w:rPr>
          <w:rFonts w:ascii="Tahoma" w:hAnsi="Tahoma" w:cs="Tahoma"/>
          <w:bCs/>
          <w:sz w:val="22"/>
        </w:rPr>
        <w:t>,</w:t>
      </w:r>
      <w:r w:rsidRPr="00163603">
        <w:rPr>
          <w:rFonts w:ascii="Tahoma" w:hAnsi="Tahoma" w:cs="Tahoma"/>
          <w:bCs/>
          <w:sz w:val="22"/>
        </w:rPr>
        <w:t xml:space="preserve"> suffisamment longue</w:t>
      </w:r>
      <w:r>
        <w:rPr>
          <w:rFonts w:ascii="Tahoma" w:hAnsi="Tahoma" w:cs="Tahoma"/>
          <w:bCs/>
          <w:sz w:val="22"/>
        </w:rPr>
        <w:t>, afin d’</w:t>
      </w:r>
      <w:r w:rsidRPr="00163603">
        <w:rPr>
          <w:rFonts w:ascii="Tahoma" w:hAnsi="Tahoma" w:cs="Tahoma"/>
          <w:bCs/>
          <w:sz w:val="22"/>
        </w:rPr>
        <w:t>assurer la solidité des estimations</w:t>
      </w:r>
      <w:r>
        <w:rPr>
          <w:rFonts w:ascii="Tahoma" w:hAnsi="Tahoma" w:cs="Tahoma"/>
          <w:bCs/>
          <w:sz w:val="22"/>
        </w:rPr>
        <w:t> ; autrement dit l’évolution annuelle de l’indicateur suit la tendance de celle de l’agrégat annuel associé</w:t>
      </w:r>
      <w:r w:rsidRPr="00163603">
        <w:rPr>
          <w:rFonts w:ascii="Tahoma" w:hAnsi="Tahoma" w:cs="Tahoma"/>
          <w:bCs/>
          <w:sz w:val="22"/>
        </w:rPr>
        <w:t xml:space="preserve">. Ceci permet le calcul du PIB </w:t>
      </w:r>
      <w:r>
        <w:rPr>
          <w:rFonts w:ascii="Tahoma" w:hAnsi="Tahoma" w:cs="Tahoma"/>
          <w:bCs/>
          <w:sz w:val="22"/>
        </w:rPr>
        <w:t xml:space="preserve">trimestriel en utilisant </w:t>
      </w:r>
      <w:r w:rsidRPr="00163603">
        <w:rPr>
          <w:rFonts w:ascii="Tahoma" w:hAnsi="Tahoma" w:cs="Tahoma"/>
          <w:bCs/>
          <w:sz w:val="22"/>
        </w:rPr>
        <w:t>les indicateurs</w:t>
      </w:r>
      <w:r>
        <w:rPr>
          <w:rFonts w:ascii="Tahoma" w:hAnsi="Tahoma" w:cs="Tahoma"/>
          <w:bCs/>
          <w:sz w:val="22"/>
        </w:rPr>
        <w:t>.</w:t>
      </w:r>
    </w:p>
    <w:p w14:paraId="513D6FD7" w14:textId="77777777" w:rsidR="00A36FA5" w:rsidRDefault="00A36FA5" w:rsidP="00F80387">
      <w:pPr>
        <w:spacing w:line="276" w:lineRule="auto"/>
        <w:jc w:val="both"/>
        <w:rPr>
          <w:rFonts w:ascii="Tahoma" w:hAnsi="Tahoma" w:cs="Tahoma"/>
          <w:bCs/>
          <w:sz w:val="22"/>
        </w:rPr>
      </w:pPr>
    </w:p>
    <w:p w14:paraId="0E388FF1" w14:textId="07E0A3E1" w:rsidR="00276D0C" w:rsidRDefault="00411B09" w:rsidP="00F80387">
      <w:pPr>
        <w:spacing w:line="276" w:lineRule="auto"/>
        <w:jc w:val="both"/>
        <w:rPr>
          <w:rFonts w:ascii="Tahoma" w:hAnsi="Tahoma" w:cs="Tahoma"/>
          <w:bCs/>
          <w:sz w:val="22"/>
        </w:rPr>
      </w:pPr>
      <w:r>
        <w:rPr>
          <w:rFonts w:ascii="Tahoma" w:hAnsi="Tahoma" w:cs="Tahoma"/>
          <w:bCs/>
          <w:sz w:val="22"/>
        </w:rPr>
        <w:t>Le cumul des</w:t>
      </w:r>
      <w:r w:rsidR="003A16C8">
        <w:rPr>
          <w:rFonts w:ascii="Tahoma" w:hAnsi="Tahoma" w:cs="Tahoma"/>
          <w:bCs/>
          <w:sz w:val="22"/>
        </w:rPr>
        <w:t xml:space="preserve"> quatre trimestres</w:t>
      </w:r>
      <w:r w:rsidR="00276D0C" w:rsidRPr="00163603">
        <w:rPr>
          <w:rFonts w:ascii="Tahoma" w:hAnsi="Tahoma" w:cs="Tahoma"/>
          <w:bCs/>
          <w:sz w:val="22"/>
        </w:rPr>
        <w:t xml:space="preserve"> </w:t>
      </w:r>
      <w:r w:rsidR="00276D0C">
        <w:rPr>
          <w:rFonts w:ascii="Tahoma" w:hAnsi="Tahoma" w:cs="Tahoma"/>
          <w:bCs/>
          <w:sz w:val="22"/>
        </w:rPr>
        <w:t>des agrégats</w:t>
      </w:r>
      <w:r w:rsidR="003A16C8">
        <w:rPr>
          <w:rFonts w:ascii="Tahoma" w:hAnsi="Tahoma" w:cs="Tahoma"/>
          <w:bCs/>
          <w:sz w:val="22"/>
        </w:rPr>
        <w:t xml:space="preserve"> des comptes trimestriels</w:t>
      </w:r>
      <w:r>
        <w:rPr>
          <w:rFonts w:ascii="Tahoma" w:hAnsi="Tahoma" w:cs="Tahoma"/>
          <w:bCs/>
          <w:sz w:val="22"/>
        </w:rPr>
        <w:t xml:space="preserve"> </w:t>
      </w:r>
      <w:r w:rsidR="00276D0C" w:rsidRPr="00163603">
        <w:rPr>
          <w:rFonts w:ascii="Tahoma" w:hAnsi="Tahoma" w:cs="Tahoma"/>
          <w:bCs/>
          <w:sz w:val="22"/>
        </w:rPr>
        <w:t>doi</w:t>
      </w:r>
      <w:r w:rsidR="00276D0C">
        <w:rPr>
          <w:rFonts w:ascii="Tahoma" w:hAnsi="Tahoma" w:cs="Tahoma"/>
          <w:bCs/>
          <w:sz w:val="22"/>
        </w:rPr>
        <w:t xml:space="preserve">t être cohérent avec </w:t>
      </w:r>
      <w:r w:rsidR="003A16C8">
        <w:rPr>
          <w:rFonts w:ascii="Tahoma" w:hAnsi="Tahoma" w:cs="Tahoma"/>
          <w:bCs/>
          <w:sz w:val="22"/>
        </w:rPr>
        <w:t>l</w:t>
      </w:r>
      <w:r w:rsidR="00276D0C">
        <w:rPr>
          <w:rFonts w:ascii="Tahoma" w:hAnsi="Tahoma" w:cs="Tahoma"/>
          <w:bCs/>
          <w:sz w:val="22"/>
        </w:rPr>
        <w:t>es agrégats</w:t>
      </w:r>
      <w:r w:rsidR="00276D0C" w:rsidRPr="00163603">
        <w:rPr>
          <w:rFonts w:ascii="Tahoma" w:hAnsi="Tahoma" w:cs="Tahoma"/>
          <w:bCs/>
          <w:sz w:val="22"/>
        </w:rPr>
        <w:t xml:space="preserve"> </w:t>
      </w:r>
      <w:r w:rsidR="003A16C8">
        <w:rPr>
          <w:rFonts w:ascii="Tahoma" w:hAnsi="Tahoma" w:cs="Tahoma"/>
          <w:bCs/>
          <w:sz w:val="22"/>
        </w:rPr>
        <w:t>des comptes</w:t>
      </w:r>
      <w:r w:rsidR="008E659D">
        <w:rPr>
          <w:rFonts w:ascii="Tahoma" w:hAnsi="Tahoma" w:cs="Tahoma"/>
          <w:bCs/>
          <w:sz w:val="22"/>
        </w:rPr>
        <w:t xml:space="preserve"> </w:t>
      </w:r>
      <w:r w:rsidR="00276D0C" w:rsidRPr="00163603">
        <w:rPr>
          <w:rFonts w:ascii="Tahoma" w:hAnsi="Tahoma" w:cs="Tahoma"/>
          <w:bCs/>
          <w:sz w:val="22"/>
        </w:rPr>
        <w:t>annuel</w:t>
      </w:r>
      <w:r w:rsidR="00276D0C">
        <w:rPr>
          <w:rFonts w:ascii="Tahoma" w:hAnsi="Tahoma" w:cs="Tahoma"/>
          <w:bCs/>
          <w:sz w:val="22"/>
        </w:rPr>
        <w:t>s</w:t>
      </w:r>
      <w:r w:rsidR="00276D0C" w:rsidRPr="00163603">
        <w:rPr>
          <w:rFonts w:ascii="Tahoma" w:hAnsi="Tahoma" w:cs="Tahoma"/>
          <w:bCs/>
          <w:sz w:val="22"/>
        </w:rPr>
        <w:t>. Ceci justifie la mise en œuvre d’un calage, qui consiste à répartir, à l’intérieur des trimestres,</w:t>
      </w:r>
      <w:r w:rsidR="00276D0C">
        <w:rPr>
          <w:rFonts w:ascii="Tahoma" w:hAnsi="Tahoma" w:cs="Tahoma"/>
          <w:bCs/>
          <w:sz w:val="22"/>
        </w:rPr>
        <w:t xml:space="preserve"> les écarts annuels entre l’agrégat étalonné et celui</w:t>
      </w:r>
      <w:r w:rsidR="00276D0C" w:rsidRPr="00163603">
        <w:rPr>
          <w:rFonts w:ascii="Tahoma" w:hAnsi="Tahoma" w:cs="Tahoma"/>
          <w:bCs/>
          <w:sz w:val="22"/>
        </w:rPr>
        <w:t xml:space="preserve"> annuel. </w:t>
      </w:r>
    </w:p>
    <w:p w14:paraId="71E7C5F8" w14:textId="77777777" w:rsidR="00A36FA5" w:rsidRDefault="00A36FA5" w:rsidP="00F80387">
      <w:pPr>
        <w:spacing w:line="276" w:lineRule="auto"/>
        <w:jc w:val="both"/>
        <w:rPr>
          <w:rFonts w:ascii="Tahoma" w:hAnsi="Tahoma" w:cs="Tahoma"/>
          <w:bCs/>
          <w:sz w:val="22"/>
        </w:rPr>
      </w:pPr>
    </w:p>
    <w:p w14:paraId="11916127" w14:textId="6E4433DD" w:rsidR="007E62DD" w:rsidRDefault="007E62DD" w:rsidP="00F80387">
      <w:pPr>
        <w:spacing w:line="276" w:lineRule="auto"/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>Désaisonnalisation</w:t>
      </w:r>
    </w:p>
    <w:p w14:paraId="63A2A364" w14:textId="77777777" w:rsidR="00A36FA5" w:rsidRDefault="00A36FA5" w:rsidP="00F80387">
      <w:pPr>
        <w:spacing w:line="276" w:lineRule="auto"/>
        <w:jc w:val="both"/>
        <w:rPr>
          <w:rFonts w:ascii="Tahoma" w:hAnsi="Tahoma" w:cs="Tahoma"/>
          <w:b/>
          <w:sz w:val="22"/>
          <w:szCs w:val="22"/>
        </w:rPr>
      </w:pPr>
    </w:p>
    <w:p w14:paraId="5BEF8C07" w14:textId="6D491294" w:rsidR="007E62DD" w:rsidRDefault="007E62DD" w:rsidP="007E62DD">
      <w:pPr>
        <w:jc w:val="both"/>
        <w:rPr>
          <w:rFonts w:ascii="Tahoma" w:hAnsi="Tahoma" w:cs="Tahoma"/>
          <w:sz w:val="22"/>
        </w:rPr>
      </w:pPr>
      <w:r w:rsidRPr="00163603">
        <w:rPr>
          <w:rFonts w:ascii="Tahoma" w:hAnsi="Tahoma" w:cs="Tahoma"/>
          <w:sz w:val="22"/>
        </w:rPr>
        <w:t xml:space="preserve">Les </w:t>
      </w:r>
      <w:r w:rsidR="00155C90">
        <w:rPr>
          <w:rFonts w:ascii="Tahoma" w:hAnsi="Tahoma" w:cs="Tahoma"/>
          <w:sz w:val="22"/>
        </w:rPr>
        <w:t xml:space="preserve">variations des </w:t>
      </w:r>
      <w:r w:rsidRPr="00163603">
        <w:rPr>
          <w:rFonts w:ascii="Tahoma" w:hAnsi="Tahoma" w:cs="Tahoma"/>
          <w:sz w:val="22"/>
        </w:rPr>
        <w:t>séries</w:t>
      </w:r>
      <w:r w:rsidR="007C7EC4">
        <w:rPr>
          <w:rFonts w:ascii="Tahoma" w:hAnsi="Tahoma" w:cs="Tahoma"/>
          <w:sz w:val="22"/>
        </w:rPr>
        <w:t xml:space="preserve"> constantes</w:t>
      </w:r>
      <w:r w:rsidR="001A68EB">
        <w:rPr>
          <w:rFonts w:ascii="Tahoma" w:hAnsi="Tahoma" w:cs="Tahoma"/>
          <w:sz w:val="22"/>
        </w:rPr>
        <w:t xml:space="preserve"> </w:t>
      </w:r>
      <w:r w:rsidRPr="00163603">
        <w:rPr>
          <w:rFonts w:ascii="Tahoma" w:hAnsi="Tahoma" w:cs="Tahoma"/>
          <w:sz w:val="22"/>
        </w:rPr>
        <w:t>brutes sont difficilement interprétables du fait de la présence</w:t>
      </w:r>
      <w:r>
        <w:rPr>
          <w:rFonts w:ascii="Tahoma" w:hAnsi="Tahoma" w:cs="Tahoma"/>
          <w:sz w:val="22"/>
        </w:rPr>
        <w:t xml:space="preserve"> </w:t>
      </w:r>
      <w:r w:rsidRPr="00163603">
        <w:rPr>
          <w:rFonts w:ascii="Tahoma" w:hAnsi="Tahoma" w:cs="Tahoma"/>
          <w:sz w:val="22"/>
        </w:rPr>
        <w:t>d’effets saisonniers.</w:t>
      </w:r>
      <w:r w:rsidR="001A68EB">
        <w:rPr>
          <w:rFonts w:ascii="Tahoma" w:hAnsi="Tahoma" w:cs="Tahoma"/>
          <w:sz w:val="22"/>
        </w:rPr>
        <w:t xml:space="preserve"> Ainsi, l</w:t>
      </w:r>
      <w:r w:rsidRPr="00163603">
        <w:rPr>
          <w:rFonts w:ascii="Tahoma" w:hAnsi="Tahoma" w:cs="Tahoma"/>
          <w:sz w:val="22"/>
        </w:rPr>
        <w:t xml:space="preserve">a correction des variations saisonnières ou la dessaisonnalisation consiste à débarrasser la série de ses mouvements saisonniers. Cela permet de mieux suivre l'évolution en variation trimestrielle. </w:t>
      </w:r>
    </w:p>
    <w:p w14:paraId="0326CC00" w14:textId="57EB3B1B" w:rsidR="007E62DD" w:rsidRPr="00840085" w:rsidRDefault="001A68EB" w:rsidP="00A36FA5">
      <w:pPr>
        <w:jc w:val="both"/>
        <w:rPr>
          <w:rFonts w:ascii="Tahoma" w:hAnsi="Tahoma" w:cs="Tahoma"/>
          <w:sz w:val="22"/>
        </w:rPr>
      </w:pPr>
      <w:r w:rsidRPr="00163603">
        <w:rPr>
          <w:rFonts w:ascii="Tahoma" w:hAnsi="Tahoma" w:cs="Tahoma"/>
          <w:sz w:val="22"/>
        </w:rPr>
        <w:t xml:space="preserve">Il existe principalement deux méthodes de </w:t>
      </w:r>
      <w:r w:rsidR="004734F6" w:rsidRPr="00163603">
        <w:rPr>
          <w:rFonts w:ascii="Tahoma" w:hAnsi="Tahoma" w:cs="Tahoma"/>
          <w:sz w:val="22"/>
        </w:rPr>
        <w:t>dessaisonalisation</w:t>
      </w:r>
      <w:r w:rsidRPr="00163603">
        <w:rPr>
          <w:rFonts w:ascii="Tahoma" w:hAnsi="Tahoma" w:cs="Tahoma"/>
          <w:sz w:val="22"/>
        </w:rPr>
        <w:t xml:space="preserve"> : </w:t>
      </w:r>
      <w:r>
        <w:rPr>
          <w:rFonts w:ascii="Tahoma" w:hAnsi="Tahoma" w:cs="Tahoma"/>
          <w:sz w:val="22"/>
        </w:rPr>
        <w:t>d</w:t>
      </w:r>
      <w:r w:rsidRPr="00163603">
        <w:rPr>
          <w:rFonts w:ascii="Tahoma" w:hAnsi="Tahoma" w:cs="Tahoma"/>
          <w:sz w:val="22"/>
        </w:rPr>
        <w:t>irecte et indirecte. Pour le cas du Sénégal, l’approche indirecte</w:t>
      </w:r>
      <w:r w:rsidR="00806757">
        <w:rPr>
          <w:rFonts w:ascii="Tahoma" w:hAnsi="Tahoma" w:cs="Tahoma"/>
          <w:sz w:val="22"/>
        </w:rPr>
        <w:t xml:space="preserve"> </w:t>
      </w:r>
      <w:r w:rsidRPr="00163603">
        <w:rPr>
          <w:rFonts w:ascii="Tahoma" w:hAnsi="Tahoma" w:cs="Tahoma"/>
          <w:sz w:val="22"/>
        </w:rPr>
        <w:t xml:space="preserve">est utilisée. </w:t>
      </w:r>
      <w:r w:rsidR="007C7EC4">
        <w:rPr>
          <w:rFonts w:ascii="Tahoma" w:hAnsi="Tahoma" w:cs="Tahoma"/>
          <w:sz w:val="22"/>
        </w:rPr>
        <w:t>Cette dernière consiste à</w:t>
      </w:r>
      <w:r w:rsidRPr="00163603">
        <w:rPr>
          <w:rFonts w:ascii="Tahoma" w:hAnsi="Tahoma" w:cs="Tahoma"/>
          <w:sz w:val="22"/>
        </w:rPr>
        <w:t xml:space="preserve"> dessaisonalis</w:t>
      </w:r>
      <w:r w:rsidR="007C7EC4">
        <w:rPr>
          <w:rFonts w:ascii="Tahoma" w:hAnsi="Tahoma" w:cs="Tahoma"/>
          <w:sz w:val="22"/>
        </w:rPr>
        <w:t xml:space="preserve">er les </w:t>
      </w:r>
      <w:r w:rsidR="004734F6">
        <w:rPr>
          <w:rFonts w:ascii="Tahoma" w:hAnsi="Tahoma" w:cs="Tahoma"/>
          <w:sz w:val="22"/>
        </w:rPr>
        <w:t xml:space="preserve">sous </w:t>
      </w:r>
      <w:r w:rsidR="007C7EC4">
        <w:rPr>
          <w:rFonts w:ascii="Tahoma" w:hAnsi="Tahoma" w:cs="Tahoma"/>
          <w:sz w:val="22"/>
        </w:rPr>
        <w:t>composantes</w:t>
      </w:r>
      <w:r w:rsidR="004734F6">
        <w:rPr>
          <w:rFonts w:ascii="Tahoma" w:hAnsi="Tahoma" w:cs="Tahoma"/>
          <w:sz w:val="22"/>
        </w:rPr>
        <w:t xml:space="preserve"> d’une série</w:t>
      </w:r>
      <w:r w:rsidRPr="00163603">
        <w:rPr>
          <w:rFonts w:ascii="Tahoma" w:hAnsi="Tahoma" w:cs="Tahoma"/>
          <w:sz w:val="22"/>
        </w:rPr>
        <w:t xml:space="preserve"> </w:t>
      </w:r>
      <w:r w:rsidR="004734F6">
        <w:rPr>
          <w:rFonts w:ascii="Tahoma" w:hAnsi="Tahoma" w:cs="Tahoma"/>
          <w:sz w:val="22"/>
        </w:rPr>
        <w:t>dont</w:t>
      </w:r>
      <w:r w:rsidRPr="00163603">
        <w:rPr>
          <w:rFonts w:ascii="Tahoma" w:hAnsi="Tahoma" w:cs="Tahoma"/>
          <w:sz w:val="22"/>
        </w:rPr>
        <w:t xml:space="preserve"> l</w:t>
      </w:r>
      <w:r w:rsidR="004734F6">
        <w:rPr>
          <w:rFonts w:ascii="Tahoma" w:hAnsi="Tahoma" w:cs="Tahoma"/>
          <w:sz w:val="22"/>
        </w:rPr>
        <w:t>a</w:t>
      </w:r>
      <w:r w:rsidRPr="00163603">
        <w:rPr>
          <w:rFonts w:ascii="Tahoma" w:hAnsi="Tahoma" w:cs="Tahoma"/>
          <w:sz w:val="22"/>
        </w:rPr>
        <w:t xml:space="preserve"> somme définit la série agrégée corrigée.</w:t>
      </w:r>
      <w:r>
        <w:rPr>
          <w:rFonts w:ascii="Tahoma" w:hAnsi="Tahoma" w:cs="Tahoma"/>
          <w:sz w:val="22"/>
        </w:rPr>
        <w:t xml:space="preserve"> </w:t>
      </w:r>
      <w:r w:rsidR="00155C90">
        <w:rPr>
          <w:rFonts w:ascii="Tahoma" w:hAnsi="Tahoma" w:cs="Tahoma"/>
          <w:sz w:val="22"/>
        </w:rPr>
        <w:t>Les</w:t>
      </w:r>
      <w:r w:rsidR="00155C90" w:rsidRPr="00163603">
        <w:rPr>
          <w:rFonts w:ascii="Tahoma" w:hAnsi="Tahoma" w:cs="Tahoma"/>
          <w:sz w:val="22"/>
        </w:rPr>
        <w:t xml:space="preserve"> </w:t>
      </w:r>
      <w:r w:rsidRPr="00163603">
        <w:rPr>
          <w:rFonts w:ascii="Tahoma" w:hAnsi="Tahoma" w:cs="Tahoma"/>
          <w:sz w:val="22"/>
        </w:rPr>
        <w:t>méthode</w:t>
      </w:r>
      <w:r w:rsidR="00155C90">
        <w:rPr>
          <w:rFonts w:ascii="Tahoma" w:hAnsi="Tahoma" w:cs="Tahoma"/>
          <w:sz w:val="22"/>
        </w:rPr>
        <w:t>s</w:t>
      </w:r>
      <w:r w:rsidRPr="00163603">
        <w:rPr>
          <w:rFonts w:ascii="Tahoma" w:hAnsi="Tahoma" w:cs="Tahoma"/>
          <w:sz w:val="22"/>
        </w:rPr>
        <w:t xml:space="preserve"> de </w:t>
      </w:r>
      <w:r w:rsidR="00155C90" w:rsidRPr="00163603">
        <w:rPr>
          <w:rFonts w:ascii="Tahoma" w:hAnsi="Tahoma" w:cs="Tahoma"/>
          <w:sz w:val="22"/>
        </w:rPr>
        <w:t>dessaisonalisation</w:t>
      </w:r>
      <w:r w:rsidRPr="00163603">
        <w:rPr>
          <w:rFonts w:ascii="Tahoma" w:hAnsi="Tahoma" w:cs="Tahoma"/>
          <w:sz w:val="22"/>
        </w:rPr>
        <w:t xml:space="preserve"> utilisée </w:t>
      </w:r>
      <w:r w:rsidR="00155C90">
        <w:rPr>
          <w:rFonts w:ascii="Tahoma" w:hAnsi="Tahoma" w:cs="Tahoma"/>
          <w:sz w:val="22"/>
        </w:rPr>
        <w:t>sont</w:t>
      </w:r>
      <w:r w:rsidR="00155C90" w:rsidRPr="00163603">
        <w:rPr>
          <w:rFonts w:ascii="Tahoma" w:hAnsi="Tahoma" w:cs="Tahoma"/>
          <w:sz w:val="22"/>
        </w:rPr>
        <w:t xml:space="preserve"> </w:t>
      </w:r>
      <w:r w:rsidRPr="00163603">
        <w:rPr>
          <w:rFonts w:ascii="Tahoma" w:hAnsi="Tahoma" w:cs="Tahoma"/>
          <w:sz w:val="22"/>
        </w:rPr>
        <w:t>celle</w:t>
      </w:r>
      <w:r w:rsidR="00155C90">
        <w:rPr>
          <w:rFonts w:ascii="Tahoma" w:hAnsi="Tahoma" w:cs="Tahoma"/>
          <w:sz w:val="22"/>
        </w:rPr>
        <w:t>s</w:t>
      </w:r>
      <w:r w:rsidRPr="00163603">
        <w:rPr>
          <w:rFonts w:ascii="Tahoma" w:hAnsi="Tahoma" w:cs="Tahoma"/>
          <w:sz w:val="22"/>
        </w:rPr>
        <w:t xml:space="preserve"> de « X13-</w:t>
      </w:r>
      <w:r w:rsidR="00155C90">
        <w:rPr>
          <w:rFonts w:ascii="Tahoma" w:hAnsi="Tahoma" w:cs="Tahoma"/>
          <w:sz w:val="22"/>
        </w:rPr>
        <w:t>A</w:t>
      </w:r>
      <w:r w:rsidRPr="00163603">
        <w:rPr>
          <w:rFonts w:ascii="Tahoma" w:hAnsi="Tahoma" w:cs="Tahoma"/>
          <w:sz w:val="22"/>
        </w:rPr>
        <w:t>rima » ou « </w:t>
      </w:r>
      <w:proofErr w:type="spellStart"/>
      <w:r w:rsidRPr="00163603">
        <w:rPr>
          <w:rFonts w:ascii="Tahoma" w:hAnsi="Tahoma" w:cs="Tahoma"/>
          <w:sz w:val="22"/>
        </w:rPr>
        <w:t>tramo-seats</w:t>
      </w:r>
      <w:proofErr w:type="spellEnd"/>
      <w:r w:rsidRPr="00163603">
        <w:rPr>
          <w:rFonts w:ascii="Tahoma" w:hAnsi="Tahoma" w:cs="Tahoma"/>
          <w:sz w:val="22"/>
        </w:rPr>
        <w:t> » pour quelques cas spécifiques</w:t>
      </w:r>
      <w:r>
        <w:rPr>
          <w:rFonts w:ascii="Tahoma" w:hAnsi="Tahoma" w:cs="Tahoma"/>
          <w:sz w:val="22"/>
        </w:rPr>
        <w:t xml:space="preserve"> avec le logiciel J-</w:t>
      </w:r>
      <w:proofErr w:type="spellStart"/>
      <w:r>
        <w:rPr>
          <w:rFonts w:ascii="Tahoma" w:hAnsi="Tahoma" w:cs="Tahoma"/>
          <w:sz w:val="22"/>
        </w:rPr>
        <w:t>démétra</w:t>
      </w:r>
      <w:proofErr w:type="spellEnd"/>
      <w:r>
        <w:rPr>
          <w:rFonts w:ascii="Tahoma" w:hAnsi="Tahoma" w:cs="Tahoma"/>
          <w:sz w:val="22"/>
        </w:rPr>
        <w:t>.</w:t>
      </w:r>
    </w:p>
    <w:p w14:paraId="2AF6C56A" w14:textId="77777777" w:rsidR="005A038D" w:rsidRPr="000C0AA3" w:rsidRDefault="005A038D" w:rsidP="00276D0C">
      <w:pPr>
        <w:spacing w:before="240" w:after="240"/>
        <w:jc w:val="both"/>
        <w:rPr>
          <w:rFonts w:ascii="Tahoma" w:hAnsi="Tahoma" w:cs="Tahoma"/>
          <w:sz w:val="22"/>
          <w:szCs w:val="22"/>
        </w:rPr>
      </w:pPr>
      <w:r w:rsidRPr="000C0AA3">
        <w:rPr>
          <w:rFonts w:ascii="Tahoma" w:hAnsi="Tahoma" w:cs="Tahoma"/>
          <w:b/>
          <w:sz w:val="22"/>
          <w:szCs w:val="22"/>
        </w:rPr>
        <w:t>Révision</w:t>
      </w:r>
    </w:p>
    <w:p w14:paraId="58003FD2" w14:textId="7647556E" w:rsidR="00276D0C" w:rsidRPr="00163603" w:rsidRDefault="00276D0C" w:rsidP="00F80387">
      <w:pPr>
        <w:spacing w:line="276" w:lineRule="auto"/>
        <w:jc w:val="both"/>
        <w:rPr>
          <w:rFonts w:ascii="Tahoma" w:hAnsi="Tahoma" w:cs="Tahoma"/>
          <w:bCs/>
          <w:sz w:val="22"/>
        </w:rPr>
      </w:pPr>
      <w:r w:rsidRPr="00163603">
        <w:rPr>
          <w:rFonts w:ascii="Tahoma" w:hAnsi="Tahoma" w:cs="Tahoma"/>
          <w:bCs/>
          <w:sz w:val="22"/>
        </w:rPr>
        <w:t xml:space="preserve">Les révisions sont </w:t>
      </w:r>
      <w:r w:rsidR="00F242E4">
        <w:rPr>
          <w:rFonts w:ascii="Tahoma" w:hAnsi="Tahoma" w:cs="Tahoma"/>
          <w:bCs/>
          <w:sz w:val="22"/>
        </w:rPr>
        <w:t>souvent effectuées</w:t>
      </w:r>
      <w:r w:rsidR="00A36FA5">
        <w:rPr>
          <w:rFonts w:ascii="Tahoma" w:hAnsi="Tahoma" w:cs="Tahoma"/>
          <w:bCs/>
          <w:sz w:val="22"/>
        </w:rPr>
        <w:t xml:space="preserve"> </w:t>
      </w:r>
      <w:r w:rsidRPr="00163603">
        <w:rPr>
          <w:rFonts w:ascii="Tahoma" w:hAnsi="Tahoma" w:cs="Tahoma"/>
          <w:bCs/>
          <w:sz w:val="22"/>
        </w:rPr>
        <w:t>dans le calcul du PIB trimestriel</w:t>
      </w:r>
      <w:r w:rsidR="00F242E4">
        <w:rPr>
          <w:rFonts w:ascii="Tahoma" w:hAnsi="Tahoma" w:cs="Tahoma"/>
          <w:bCs/>
          <w:sz w:val="22"/>
        </w:rPr>
        <w:t xml:space="preserve"> notamment au quatrième trimestre</w:t>
      </w:r>
      <w:r w:rsidRPr="00163603">
        <w:rPr>
          <w:rFonts w:ascii="Tahoma" w:hAnsi="Tahoma" w:cs="Tahoma"/>
          <w:bCs/>
          <w:sz w:val="22"/>
        </w:rPr>
        <w:t>, en raison des nombreuses mises à jour de l’information économique conjoncturelle et annuelle.</w:t>
      </w:r>
      <w:r w:rsidR="00F242E4">
        <w:rPr>
          <w:rFonts w:ascii="Tahoma" w:hAnsi="Tahoma" w:cs="Tahoma"/>
          <w:bCs/>
          <w:sz w:val="22"/>
        </w:rPr>
        <w:t xml:space="preserve"> </w:t>
      </w:r>
      <w:r w:rsidR="00155C90">
        <w:rPr>
          <w:rFonts w:ascii="Tahoma" w:hAnsi="Tahoma" w:cs="Tahoma"/>
          <w:bCs/>
          <w:sz w:val="22"/>
        </w:rPr>
        <w:t>Globalement</w:t>
      </w:r>
      <w:r w:rsidR="00F242E4">
        <w:rPr>
          <w:rFonts w:ascii="Tahoma" w:hAnsi="Tahoma" w:cs="Tahoma"/>
          <w:bCs/>
          <w:sz w:val="22"/>
        </w:rPr>
        <w:t>,</w:t>
      </w:r>
      <w:r w:rsidRPr="00163603">
        <w:rPr>
          <w:rFonts w:ascii="Tahoma" w:hAnsi="Tahoma" w:cs="Tahoma"/>
          <w:bCs/>
          <w:sz w:val="22"/>
        </w:rPr>
        <w:t xml:space="preserve"> </w:t>
      </w:r>
      <w:r w:rsidR="00F242E4">
        <w:rPr>
          <w:rFonts w:ascii="Tahoma" w:hAnsi="Tahoma" w:cs="Tahoma"/>
          <w:bCs/>
          <w:sz w:val="22"/>
        </w:rPr>
        <w:t>l</w:t>
      </w:r>
      <w:r w:rsidRPr="00163603">
        <w:rPr>
          <w:rFonts w:ascii="Tahoma" w:hAnsi="Tahoma" w:cs="Tahoma"/>
          <w:bCs/>
          <w:sz w:val="22"/>
        </w:rPr>
        <w:t>es cycles de révisions peuvent concerner le trimestre (évolution des indicateurs conjoncturels), l’année (calage des données de base annuelles) ou une période plus longue (nouve</w:t>
      </w:r>
      <w:r w:rsidR="00E84D21">
        <w:rPr>
          <w:rFonts w:ascii="Tahoma" w:hAnsi="Tahoma" w:cs="Tahoma"/>
          <w:bCs/>
          <w:sz w:val="22"/>
        </w:rPr>
        <w:t>au indicateur, nouve</w:t>
      </w:r>
      <w:r w:rsidRPr="00163603">
        <w:rPr>
          <w:rFonts w:ascii="Tahoma" w:hAnsi="Tahoma" w:cs="Tahoma"/>
          <w:bCs/>
          <w:sz w:val="22"/>
        </w:rPr>
        <w:t>lle enquête pour le calcul des coefficients techniques, etc.).</w:t>
      </w:r>
    </w:p>
    <w:p w14:paraId="1C9D485A" w14:textId="77777777" w:rsidR="005A038D" w:rsidRPr="000C0AA3" w:rsidRDefault="005A038D" w:rsidP="00276D0C">
      <w:pPr>
        <w:spacing w:before="240" w:after="240"/>
        <w:jc w:val="both"/>
        <w:rPr>
          <w:rFonts w:ascii="Tahoma" w:hAnsi="Tahoma" w:cs="Tahoma"/>
          <w:b/>
          <w:sz w:val="22"/>
          <w:szCs w:val="22"/>
        </w:rPr>
      </w:pPr>
      <w:r w:rsidRPr="000C0AA3">
        <w:rPr>
          <w:rFonts w:ascii="Tahoma" w:hAnsi="Tahoma" w:cs="Tahoma"/>
          <w:b/>
          <w:sz w:val="22"/>
          <w:szCs w:val="22"/>
        </w:rPr>
        <w:t>Diffusion</w:t>
      </w:r>
    </w:p>
    <w:p w14:paraId="58ED5373" w14:textId="65379B5C" w:rsidR="00276D0C" w:rsidRPr="00D55073" w:rsidRDefault="00276D0C" w:rsidP="00F80387">
      <w:pPr>
        <w:spacing w:line="276" w:lineRule="auto"/>
        <w:jc w:val="both"/>
        <w:rPr>
          <w:rFonts w:ascii="Tahoma" w:hAnsi="Tahoma" w:cs="Tahoma"/>
          <w:sz w:val="22"/>
        </w:rPr>
      </w:pPr>
      <w:r w:rsidRPr="00D55073">
        <w:rPr>
          <w:rFonts w:ascii="Tahoma" w:hAnsi="Tahoma" w:cs="Tahoma"/>
          <w:bCs/>
          <w:sz w:val="22"/>
        </w:rPr>
        <w:t>Le PIB trimestriel est publié au plus tard quatre-vingt-dix (90) jours après le trimestre sous revue</w:t>
      </w:r>
      <w:r w:rsidR="00E84D21">
        <w:rPr>
          <w:rFonts w:ascii="Tahoma" w:hAnsi="Tahoma" w:cs="Tahoma"/>
          <w:bCs/>
          <w:sz w:val="22"/>
        </w:rPr>
        <w:t xml:space="preserve"> sur le site de l’ANSD (www.ansd.sn)</w:t>
      </w:r>
      <w:r w:rsidRPr="00D55073">
        <w:rPr>
          <w:rFonts w:ascii="Tahoma" w:hAnsi="Tahoma" w:cs="Tahoma"/>
          <w:bCs/>
          <w:sz w:val="22"/>
        </w:rPr>
        <w:t xml:space="preserve">. </w:t>
      </w:r>
      <w:r w:rsidRPr="00D55073">
        <w:rPr>
          <w:rFonts w:ascii="Tahoma" w:hAnsi="Tahoma" w:cs="Tahoma"/>
          <w:sz w:val="22"/>
        </w:rPr>
        <w:t xml:space="preserve">Elle présente les évolutions du PIB ainsi que sa décomposition </w:t>
      </w:r>
      <w:r w:rsidR="00155C90">
        <w:rPr>
          <w:rFonts w:ascii="Tahoma" w:hAnsi="Tahoma" w:cs="Tahoma"/>
          <w:sz w:val="22"/>
        </w:rPr>
        <w:t>par activité</w:t>
      </w:r>
      <w:r w:rsidRPr="00D55073">
        <w:rPr>
          <w:rFonts w:ascii="Tahoma" w:hAnsi="Tahoma" w:cs="Tahoma"/>
          <w:sz w:val="22"/>
        </w:rPr>
        <w:t xml:space="preserve"> ainsi que les emplois (consommation finale, formation brute de capitale fixe, </w:t>
      </w:r>
      <w:r w:rsidR="00155C90">
        <w:rPr>
          <w:rFonts w:ascii="Tahoma" w:hAnsi="Tahoma" w:cs="Tahoma"/>
          <w:sz w:val="22"/>
        </w:rPr>
        <w:t>exportations nettes d’importations</w:t>
      </w:r>
      <w:r w:rsidR="001876D5">
        <w:rPr>
          <w:rFonts w:ascii="Tahoma" w:hAnsi="Tahoma" w:cs="Tahoma"/>
          <w:sz w:val="22"/>
        </w:rPr>
        <w:t>,</w:t>
      </w:r>
      <w:r w:rsidRPr="00D55073">
        <w:rPr>
          <w:rFonts w:ascii="Tahoma" w:hAnsi="Tahoma" w:cs="Tahoma"/>
          <w:sz w:val="22"/>
        </w:rPr>
        <w:t xml:space="preserve"> variations de stocks et acquisitions nettes d’objets de valeur).</w:t>
      </w:r>
      <w:r w:rsidRPr="00D55073">
        <w:rPr>
          <w:rFonts w:ascii="Tahoma" w:hAnsi="Tahoma" w:cs="Tahoma"/>
          <w:bCs/>
          <w:sz w:val="22"/>
        </w:rPr>
        <w:t xml:space="preserve"> </w:t>
      </w:r>
      <w:r w:rsidRPr="00D55073">
        <w:rPr>
          <w:rFonts w:ascii="Tahoma" w:hAnsi="Tahoma" w:cs="Tahoma"/>
          <w:sz w:val="22"/>
        </w:rPr>
        <w:t>En plus des données br</w:t>
      </w:r>
      <w:r>
        <w:rPr>
          <w:rFonts w:ascii="Tahoma" w:hAnsi="Tahoma" w:cs="Tahoma"/>
          <w:sz w:val="22"/>
        </w:rPr>
        <w:t>utes</w:t>
      </w:r>
      <w:r w:rsidR="001876D5">
        <w:rPr>
          <w:rFonts w:ascii="Tahoma" w:hAnsi="Tahoma" w:cs="Tahoma"/>
          <w:sz w:val="22"/>
        </w:rPr>
        <w:t xml:space="preserve"> aux prix courants</w:t>
      </w:r>
      <w:r>
        <w:rPr>
          <w:rFonts w:ascii="Tahoma" w:hAnsi="Tahoma" w:cs="Tahoma"/>
          <w:sz w:val="22"/>
        </w:rPr>
        <w:t>, le PIB et s</w:t>
      </w:r>
      <w:r w:rsidR="001876D5">
        <w:rPr>
          <w:rFonts w:ascii="Tahoma" w:hAnsi="Tahoma" w:cs="Tahoma"/>
          <w:sz w:val="22"/>
        </w:rPr>
        <w:t>es composantes</w:t>
      </w:r>
      <w:r>
        <w:rPr>
          <w:rFonts w:ascii="Tahoma" w:hAnsi="Tahoma" w:cs="Tahoma"/>
          <w:sz w:val="22"/>
        </w:rPr>
        <w:t xml:space="preserve"> </w:t>
      </w:r>
      <w:r w:rsidRPr="00D55073">
        <w:rPr>
          <w:rFonts w:ascii="Tahoma" w:hAnsi="Tahoma" w:cs="Tahoma"/>
          <w:sz w:val="22"/>
        </w:rPr>
        <w:t>corrigé</w:t>
      </w:r>
      <w:r w:rsidR="00E84D21">
        <w:rPr>
          <w:rFonts w:ascii="Tahoma" w:hAnsi="Tahoma" w:cs="Tahoma"/>
          <w:sz w:val="22"/>
        </w:rPr>
        <w:t>e</w:t>
      </w:r>
      <w:r w:rsidRPr="00D55073">
        <w:rPr>
          <w:rFonts w:ascii="Tahoma" w:hAnsi="Tahoma" w:cs="Tahoma"/>
          <w:sz w:val="22"/>
        </w:rPr>
        <w:t>s des variations saisonnières (CVS) sont publiés.</w:t>
      </w:r>
    </w:p>
    <w:p w14:paraId="23A749CE" w14:textId="77777777" w:rsidR="00E94A28" w:rsidRPr="000C0AA3" w:rsidRDefault="00E94A28" w:rsidP="00F80387">
      <w:pPr>
        <w:spacing w:line="276" w:lineRule="auto"/>
        <w:jc w:val="both"/>
        <w:rPr>
          <w:rFonts w:ascii="Tahoma" w:hAnsi="Tahoma" w:cs="Tahoma"/>
          <w:i/>
          <w:sz w:val="22"/>
          <w:szCs w:val="22"/>
        </w:rPr>
      </w:pPr>
    </w:p>
    <w:sectPr w:rsidR="00E94A28" w:rsidRPr="000C0AA3" w:rsidSect="004C7B5D">
      <w:pgSz w:w="11906" w:h="16838"/>
      <w:pgMar w:top="993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1FA1DC" w14:textId="77777777" w:rsidR="00ED2DFB" w:rsidRDefault="00ED2DFB" w:rsidP="00E03D38">
      <w:r>
        <w:separator/>
      </w:r>
    </w:p>
  </w:endnote>
  <w:endnote w:type="continuationSeparator" w:id="0">
    <w:p w14:paraId="3EB94EE0" w14:textId="77777777" w:rsidR="00ED2DFB" w:rsidRDefault="00ED2DFB" w:rsidP="00E03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bertus">
    <w:altName w:val="Candara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317B6E" w14:textId="77777777" w:rsidR="00ED2DFB" w:rsidRDefault="00ED2DFB" w:rsidP="00E03D38">
      <w:r>
        <w:separator/>
      </w:r>
    </w:p>
  </w:footnote>
  <w:footnote w:type="continuationSeparator" w:id="0">
    <w:p w14:paraId="7253500C" w14:textId="77777777" w:rsidR="00ED2DFB" w:rsidRDefault="00ED2DFB" w:rsidP="00E03D38">
      <w:r>
        <w:continuationSeparator/>
      </w:r>
    </w:p>
  </w:footnote>
  <w:footnote w:id="1">
    <w:p w14:paraId="2E2DFC88" w14:textId="52139BE3" w:rsidR="0026627B" w:rsidRDefault="0026627B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="004340A6" w:rsidRPr="004C7B5D">
        <w:rPr>
          <w:rFonts w:ascii="Tahoma" w:hAnsi="Tahoma" w:cs="Tahoma"/>
          <w:sz w:val="22"/>
          <w:szCs w:val="24"/>
        </w:rPr>
        <w:t xml:space="preserve">Volumes chainés aux prix de </w:t>
      </w:r>
      <w:r w:rsidR="006D14F9" w:rsidRPr="004C7B5D">
        <w:rPr>
          <w:rFonts w:ascii="Tahoma" w:hAnsi="Tahoma" w:cs="Tahoma"/>
          <w:sz w:val="22"/>
          <w:szCs w:val="24"/>
        </w:rPr>
        <w:t xml:space="preserve">référence de </w:t>
      </w:r>
      <w:r w:rsidR="004340A6" w:rsidRPr="004C7B5D">
        <w:rPr>
          <w:rFonts w:ascii="Tahoma" w:hAnsi="Tahoma" w:cs="Tahoma"/>
          <w:sz w:val="22"/>
          <w:szCs w:val="24"/>
        </w:rPr>
        <w:t>2014</w:t>
      </w:r>
      <w:r w:rsidR="00410BE1" w:rsidRPr="004C7B5D">
        <w:rPr>
          <w:rFonts w:ascii="Tahoma" w:hAnsi="Tahoma" w:cs="Tahoma"/>
          <w:sz w:val="22"/>
          <w:szCs w:val="24"/>
        </w:rPr>
        <w:t>,</w:t>
      </w:r>
      <w:r w:rsidR="004340A6" w:rsidRPr="004C7B5D">
        <w:rPr>
          <w:rFonts w:ascii="Tahoma" w:hAnsi="Tahoma" w:cs="Tahoma"/>
          <w:bCs/>
          <w:sz w:val="22"/>
          <w:szCs w:val="24"/>
        </w:rPr>
        <w:t xml:space="preserve"> </w:t>
      </w:r>
      <w:r w:rsidRPr="004C7B5D">
        <w:rPr>
          <w:rFonts w:ascii="Tahoma" w:hAnsi="Tahoma" w:cs="Tahoma"/>
          <w:bCs/>
          <w:sz w:val="22"/>
          <w:szCs w:val="24"/>
        </w:rPr>
        <w:t>année de base des comptes nationaux annuels selon le SCN 2008</w:t>
      </w:r>
      <w:r w:rsidR="006D14F9" w:rsidRPr="004C7B5D">
        <w:rPr>
          <w:rFonts w:ascii="Tahoma" w:hAnsi="Tahoma" w:cs="Tahoma"/>
          <w:bCs/>
          <w:sz w:val="22"/>
          <w:szCs w:val="24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56FD0"/>
    <w:multiLevelType w:val="hybridMultilevel"/>
    <w:tmpl w:val="672C7882"/>
    <w:lvl w:ilvl="0" w:tplc="A4FE17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2F43258"/>
    <w:multiLevelType w:val="hybridMultilevel"/>
    <w:tmpl w:val="9B0CBD90"/>
    <w:lvl w:ilvl="0" w:tplc="545224A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E0305"/>
    <w:multiLevelType w:val="hybridMultilevel"/>
    <w:tmpl w:val="15D639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CDA"/>
    <w:rsid w:val="000712D6"/>
    <w:rsid w:val="000A72B0"/>
    <w:rsid w:val="000B58E0"/>
    <w:rsid w:val="000C0AA3"/>
    <w:rsid w:val="000D5726"/>
    <w:rsid w:val="000D7FAA"/>
    <w:rsid w:val="00135AEE"/>
    <w:rsid w:val="00144BF7"/>
    <w:rsid w:val="00155C90"/>
    <w:rsid w:val="001876D5"/>
    <w:rsid w:val="001A68EB"/>
    <w:rsid w:val="001F2CF0"/>
    <w:rsid w:val="00235DA5"/>
    <w:rsid w:val="0026627B"/>
    <w:rsid w:val="002750E8"/>
    <w:rsid w:val="00276D0C"/>
    <w:rsid w:val="00281CA8"/>
    <w:rsid w:val="002838F2"/>
    <w:rsid w:val="002A0EAC"/>
    <w:rsid w:val="002D2118"/>
    <w:rsid w:val="002E49BD"/>
    <w:rsid w:val="002F4233"/>
    <w:rsid w:val="00302BF7"/>
    <w:rsid w:val="00304D58"/>
    <w:rsid w:val="00354080"/>
    <w:rsid w:val="00382785"/>
    <w:rsid w:val="003866AC"/>
    <w:rsid w:val="003A16C8"/>
    <w:rsid w:val="003B6508"/>
    <w:rsid w:val="003B731C"/>
    <w:rsid w:val="003C1A1E"/>
    <w:rsid w:val="00410BE1"/>
    <w:rsid w:val="00411B09"/>
    <w:rsid w:val="00416D19"/>
    <w:rsid w:val="004340A6"/>
    <w:rsid w:val="00470996"/>
    <w:rsid w:val="004734F6"/>
    <w:rsid w:val="004C7B5D"/>
    <w:rsid w:val="004D5113"/>
    <w:rsid w:val="004F2661"/>
    <w:rsid w:val="00523695"/>
    <w:rsid w:val="0055251D"/>
    <w:rsid w:val="00577B3D"/>
    <w:rsid w:val="005A038D"/>
    <w:rsid w:val="005A13B6"/>
    <w:rsid w:val="005E579C"/>
    <w:rsid w:val="00600606"/>
    <w:rsid w:val="00652254"/>
    <w:rsid w:val="00657AA6"/>
    <w:rsid w:val="00681EC9"/>
    <w:rsid w:val="006D14F9"/>
    <w:rsid w:val="006D2F03"/>
    <w:rsid w:val="006E1EBF"/>
    <w:rsid w:val="006F0A92"/>
    <w:rsid w:val="007218E1"/>
    <w:rsid w:val="00770A30"/>
    <w:rsid w:val="00794EF1"/>
    <w:rsid w:val="00795024"/>
    <w:rsid w:val="007C7EC4"/>
    <w:rsid w:val="007E62DD"/>
    <w:rsid w:val="00806757"/>
    <w:rsid w:val="00807AAB"/>
    <w:rsid w:val="00840085"/>
    <w:rsid w:val="00857CDA"/>
    <w:rsid w:val="00866145"/>
    <w:rsid w:val="00887071"/>
    <w:rsid w:val="00891AEB"/>
    <w:rsid w:val="008B0414"/>
    <w:rsid w:val="008E659D"/>
    <w:rsid w:val="008F7B66"/>
    <w:rsid w:val="009271C0"/>
    <w:rsid w:val="00947012"/>
    <w:rsid w:val="00962B5F"/>
    <w:rsid w:val="009C5EB7"/>
    <w:rsid w:val="009C7D0E"/>
    <w:rsid w:val="009F6CEB"/>
    <w:rsid w:val="00A054AA"/>
    <w:rsid w:val="00A36FA5"/>
    <w:rsid w:val="00B53BB3"/>
    <w:rsid w:val="00B8167D"/>
    <w:rsid w:val="00BB6A60"/>
    <w:rsid w:val="00BF4662"/>
    <w:rsid w:val="00C46805"/>
    <w:rsid w:val="00C660D3"/>
    <w:rsid w:val="00CD6DC9"/>
    <w:rsid w:val="00D276B5"/>
    <w:rsid w:val="00D36F64"/>
    <w:rsid w:val="00DE633D"/>
    <w:rsid w:val="00DF1C28"/>
    <w:rsid w:val="00DF6566"/>
    <w:rsid w:val="00E03D38"/>
    <w:rsid w:val="00E27C2C"/>
    <w:rsid w:val="00E55154"/>
    <w:rsid w:val="00E84D21"/>
    <w:rsid w:val="00E94A28"/>
    <w:rsid w:val="00ED2DFB"/>
    <w:rsid w:val="00EE674D"/>
    <w:rsid w:val="00F242E4"/>
    <w:rsid w:val="00F41228"/>
    <w:rsid w:val="00F8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3BBC7"/>
  <w15:docId w15:val="{71080778-9901-4087-A9AE-48F0E950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eastAsiaTheme="minorHAnsi" w:hAnsi="Tahoma" w:cs="Tahoma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C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rsid w:val="00857CDA"/>
    <w:rPr>
      <w:color w:val="0000FF"/>
      <w:u w:val="single"/>
    </w:rPr>
  </w:style>
  <w:style w:type="paragraph" w:styleId="Notedebasdepage">
    <w:name w:val="footnote text"/>
    <w:basedOn w:val="Normal"/>
    <w:link w:val="NotedebasdepageCar"/>
    <w:rsid w:val="00E03D3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E03D38"/>
    <w:rPr>
      <w:rFonts w:ascii="Times New Roman" w:eastAsia="Times New Roman" w:hAnsi="Times New Roman" w:cs="Times New Roman"/>
      <w:lang w:eastAsia="fr-FR"/>
    </w:rPr>
  </w:style>
  <w:style w:type="character" w:styleId="Appelnotedebasdep">
    <w:name w:val="footnote reference"/>
    <w:basedOn w:val="Policepardfaut"/>
    <w:rsid w:val="00E03D38"/>
    <w:rPr>
      <w:vertAlign w:val="superscript"/>
    </w:rPr>
  </w:style>
  <w:style w:type="table" w:styleId="Grilledutableau">
    <w:name w:val="Table Grid"/>
    <w:basedOn w:val="TableauNormal"/>
    <w:rsid w:val="00E94A28"/>
    <w:pPr>
      <w:spacing w:after="0" w:line="240" w:lineRule="auto"/>
    </w:pPr>
    <w:rPr>
      <w:rFonts w:ascii="Times New Roman" w:eastAsia="Times New Roman" w:hAnsi="Times New Roman" w:cs="Times New Roman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94A2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4A28"/>
    <w:rPr>
      <w:rFonts w:eastAsia="Times New Roman"/>
      <w:sz w:val="16"/>
      <w:szCs w:val="16"/>
      <w:lang w:eastAsia="fr-FR"/>
    </w:rPr>
  </w:style>
  <w:style w:type="paragraph" w:styleId="Titre">
    <w:name w:val="Title"/>
    <w:basedOn w:val="Normal"/>
    <w:link w:val="TitreCar"/>
    <w:qFormat/>
    <w:rsid w:val="00C46805"/>
    <w:pPr>
      <w:autoSpaceDE w:val="0"/>
      <w:autoSpaceDN w:val="0"/>
      <w:adjustRightInd w:val="0"/>
      <w:jc w:val="center"/>
    </w:pPr>
    <w:rPr>
      <w:rFonts w:ascii="Albertus" w:hAnsi="Albertus" w:cs="Albertus"/>
      <w:b/>
      <w:bCs/>
      <w:sz w:val="28"/>
      <w:szCs w:val="28"/>
    </w:rPr>
  </w:style>
  <w:style w:type="character" w:customStyle="1" w:styleId="TitreCar">
    <w:name w:val="Titre Car"/>
    <w:basedOn w:val="Policepardfaut"/>
    <w:link w:val="Titre"/>
    <w:rsid w:val="00C46805"/>
    <w:rPr>
      <w:rFonts w:ascii="Albertus" w:eastAsia="Times New Roman" w:hAnsi="Albertus" w:cs="Albertus"/>
      <w:b/>
      <w:bCs/>
      <w:sz w:val="28"/>
      <w:szCs w:val="28"/>
      <w:lang w:eastAsia="fr-FR"/>
    </w:rPr>
  </w:style>
  <w:style w:type="paragraph" w:styleId="Paragraphedeliste">
    <w:name w:val="List Paragraph"/>
    <w:basedOn w:val="Normal"/>
    <w:uiPriority w:val="34"/>
    <w:qFormat/>
    <w:rsid w:val="005A03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0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ED607-AA43-4950-820D-6944D11BE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696</Words>
  <Characters>3832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emgueye</dc:creator>
  <cp:lastModifiedBy>El Hadji Malick GUEYE</cp:lastModifiedBy>
  <cp:revision>2</cp:revision>
  <dcterms:created xsi:type="dcterms:W3CDTF">2022-05-30T11:27:00Z</dcterms:created>
  <dcterms:modified xsi:type="dcterms:W3CDTF">2022-05-30T11:27:00Z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Harvard Reference format 1 (author-date)</vt:lpwstr>
  </property>
</Properties>
</file>