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tbl>
      <w:tblPr>
        <w:tblW w:type="auto" w:w="0"/>
        <w:jc w:val="center"/>
        <w:tblLook w:firstColumn="1" w:firstRow="1" w:lastColumn="0" w:lastRow="0" w:noHBand="0" w:noVBand="1" w:val="04A0"/>
      </w:tblPr>
      <w:tblGrid>
        <w:gridCol w:w="9406"/>
      </w:tblGrid>
      <w:tr>
        <w:tc>
          <w:tcPr>
            <w:tcW w:type="dxa" w:w="9406"/>
            <w:shd w:fill="0C2D5A" w:val="clear"/>
            <w:tcMar>
              <w:top w:w="300" w:type="dxa"/>
              <w:bottom w:w="300" w:type="dxa"/>
              <w:left w:w="300" w:type="dxa"/>
              <w:right w:w="300" w:type="dxa"/>
            </w:tcMar>
            <w:tcBorders>
              <w:top w:val="single" w:sz="2" w:space="0" w:color="0C2D5A"/>
              <w:left w:val="single" w:sz="2" w:space="0" w:color="0C2D5A"/>
              <w:bottom w:val="single" w:sz="2" w:space="0" w:color="0C2D5A"/>
              <w:right w:val="single" w:sz="2" w:space="0" w:color="0C2D5A"/>
            </w:tcBorders>
          </w:tcPr>
          <w:p>
            <w:pPr>
              <w:jc w:val="center"/>
            </w:pPr>
            <w:r>
              <w:rPr>
                <w:rFonts w:ascii="Calibri" w:hAnsi="Calibri"/>
                <w:b/>
                <w:i w:val="0"/>
                <w:color w:val="FFFFFF"/>
                <w:sz w:val="68"/>
              </w:rPr>
              <w:t>BioNexus Box</w:t>
              <w:br/>
            </w:r>
            <w:r>
              <w:rPr>
                <w:rFonts w:ascii="Calibri" w:hAnsi="Calibri"/>
                <w:b w:val="0"/>
                <w:i w:val="0"/>
                <w:color w:val="AACCEE"/>
                <w:sz w:val="40"/>
              </w:rPr>
              <w:t>Hardware Gateway Architecture</w:t>
            </w:r>
          </w:p>
        </w:tc>
      </w:tr>
    </w:tbl>
    <w:p/>
    <w:tbl>
      <w:tblPr>
        <w:tblW w:type="auto" w:w="0"/>
        <w:jc w:val="center"/>
        <w:tblLook w:firstColumn="1" w:firstRow="1" w:lastColumn="0" w:lastRow="0" w:noHBand="0" w:noVBand="1" w:val="04A0"/>
      </w:tblPr>
      <w:tblGrid>
        <w:gridCol w:w="4703"/>
        <w:gridCol w:w="4703"/>
      </w:tblGrid>
      <w:tr>
        <w:tc>
          <w:tcPr>
            <w:tcW w:type="dxa" w:w="2880"/>
            <w:tcBorders>
              <w:top w:val="single" w:sz="2" w:space="0" w:color="DDDDDD"/>
              <w:left w:val="single" w:sz="2" w:space="0" w:color="DDDDDD"/>
              <w:bottom w:val="single" w:sz="2" w:space="0" w:color="DDDDDD"/>
              <w:right w:val="single" w:sz="2" w:space="0" w:color="DDDDDD"/>
            </w:tcBorders>
            <w:shd w:fill="FFFFFF" w:val="clear"/>
          </w:tcPr>
          <w:p>
            <w:pPr>
              <w:jc w:val="right"/>
            </w:pPr>
            <w:r>
              <w:rPr>
                <w:rFonts w:ascii="Calibri" w:hAnsi="Calibri"/>
                <w:b/>
                <w:i w:val="0"/>
                <w:color w:val="0C2D5A"/>
                <w:sz w:val="20"/>
              </w:rPr>
              <w:t>Document ID</w:t>
            </w:r>
          </w:p>
        </w:tc>
        <w:tc>
          <w:tcPr>
            <w:tcW w:type="dxa" w:w="5760"/>
            <w:tcBorders>
              <w:top w:val="single" w:sz="2" w:space="0" w:color="DDDDDD"/>
              <w:left w:val="single" w:sz="2" w:space="0" w:color="DDDDDD"/>
              <w:bottom w:val="single" w:sz="2" w:space="0" w:color="DDDDDD"/>
              <w:right w:val="single" w:sz="2" w:space="0" w:color="DDDDDD"/>
            </w:tcBorders>
            <w:shd w:fill="FFFFFF" w:val="clear"/>
          </w:tcPr>
          <w:p>
            <w:r>
              <w:rPr>
                <w:rFonts w:ascii="Calibri" w:hAnsi="Calibri"/>
                <w:b w:val="0"/>
                <w:i w:val="0"/>
                <w:color w:val="333333"/>
                <w:sz w:val="20"/>
              </w:rPr>
              <w:t>BNX-HW-001</w:t>
            </w:r>
          </w:p>
        </w:tc>
      </w:tr>
      <w:tr>
        <w:tc>
          <w:tcPr>
            <w:tcW w:type="dxa" w:w="2880"/>
            <w:tcBorders>
              <w:top w:val="single" w:sz="2" w:space="0" w:color="DDDDDD"/>
              <w:left w:val="single" w:sz="2" w:space="0" w:color="DDDDDD"/>
              <w:bottom w:val="single" w:sz="2" w:space="0" w:color="DDDDDD"/>
              <w:right w:val="single" w:sz="2" w:space="0" w:color="DDDDDD"/>
            </w:tcBorders>
            <w:shd w:fill="F9FAFB" w:val="clear"/>
          </w:tcPr>
          <w:p>
            <w:pPr>
              <w:jc w:val="right"/>
            </w:pPr>
            <w:r>
              <w:rPr>
                <w:rFonts w:ascii="Calibri" w:hAnsi="Calibri"/>
                <w:b/>
                <w:i w:val="0"/>
                <w:color w:val="0C2D5A"/>
                <w:sz w:val="20"/>
              </w:rPr>
              <w:t>Version</w:t>
            </w:r>
          </w:p>
        </w:tc>
        <w:tc>
          <w:tcPr>
            <w:tcW w:type="dxa" w:w="5760"/>
            <w:tcBorders>
              <w:top w:val="single" w:sz="2" w:space="0" w:color="DDDDDD"/>
              <w:left w:val="single" w:sz="2" w:space="0" w:color="DDDDDD"/>
              <w:bottom w:val="single" w:sz="2" w:space="0" w:color="DDDDDD"/>
              <w:right w:val="single" w:sz="2" w:space="0" w:color="DDDDDD"/>
            </w:tcBorders>
            <w:shd w:fill="F9FAFB" w:val="clear"/>
          </w:tcPr>
          <w:p>
            <w:r>
              <w:rPr>
                <w:rFonts w:ascii="Calibri" w:hAnsi="Calibri"/>
                <w:b w:val="0"/>
                <w:i w:val="0"/>
                <w:color w:val="333333"/>
                <w:sz w:val="20"/>
              </w:rPr>
              <w:t>1.0</w:t>
            </w:r>
          </w:p>
        </w:tc>
      </w:tr>
      <w:tr>
        <w:tc>
          <w:tcPr>
            <w:tcW w:type="dxa" w:w="2880"/>
            <w:tcBorders>
              <w:top w:val="single" w:sz="2" w:space="0" w:color="DDDDDD"/>
              <w:left w:val="single" w:sz="2" w:space="0" w:color="DDDDDD"/>
              <w:bottom w:val="single" w:sz="2" w:space="0" w:color="DDDDDD"/>
              <w:right w:val="single" w:sz="2" w:space="0" w:color="DDDDDD"/>
            </w:tcBorders>
            <w:shd w:fill="FFFFFF" w:val="clear"/>
          </w:tcPr>
          <w:p>
            <w:pPr>
              <w:jc w:val="right"/>
            </w:pPr>
            <w:r>
              <w:rPr>
                <w:rFonts w:ascii="Calibri" w:hAnsi="Calibri"/>
                <w:b/>
                <w:i w:val="0"/>
                <w:color w:val="0C2D5A"/>
                <w:sz w:val="20"/>
              </w:rPr>
              <w:t>Status</w:t>
            </w:r>
          </w:p>
        </w:tc>
        <w:tc>
          <w:tcPr>
            <w:tcW w:type="dxa" w:w="5760"/>
            <w:tcBorders>
              <w:top w:val="single" w:sz="2" w:space="0" w:color="DDDDDD"/>
              <w:left w:val="single" w:sz="2" w:space="0" w:color="DDDDDD"/>
              <w:bottom w:val="single" w:sz="2" w:space="0" w:color="DDDDDD"/>
              <w:right w:val="single" w:sz="2" w:space="0" w:color="DDDDDD"/>
            </w:tcBorders>
            <w:shd w:fill="FFFFFF" w:val="clear"/>
          </w:tcPr>
          <w:p>
            <w:r>
              <w:rPr>
                <w:rFonts w:ascii="Calibri" w:hAnsi="Calibri"/>
                <w:b w:val="0"/>
                <w:i w:val="0"/>
                <w:color w:val="333333"/>
                <w:sz w:val="20"/>
              </w:rPr>
              <w:t>Draft — Engineering Reference</w:t>
            </w:r>
          </w:p>
        </w:tc>
      </w:tr>
      <w:tr>
        <w:tc>
          <w:tcPr>
            <w:tcW w:type="dxa" w:w="2880"/>
            <w:tcBorders>
              <w:top w:val="single" w:sz="2" w:space="0" w:color="DDDDDD"/>
              <w:left w:val="single" w:sz="2" w:space="0" w:color="DDDDDD"/>
              <w:bottom w:val="single" w:sz="2" w:space="0" w:color="DDDDDD"/>
              <w:right w:val="single" w:sz="2" w:space="0" w:color="DDDDDD"/>
            </w:tcBorders>
            <w:shd w:fill="F9FAFB" w:val="clear"/>
          </w:tcPr>
          <w:p>
            <w:pPr>
              <w:jc w:val="right"/>
            </w:pPr>
            <w:r>
              <w:rPr>
                <w:rFonts w:ascii="Calibri" w:hAnsi="Calibri"/>
                <w:b/>
                <w:i w:val="0"/>
                <w:color w:val="0C2D5A"/>
                <w:sz w:val="20"/>
              </w:rPr>
              <w:t>Date</w:t>
            </w:r>
          </w:p>
        </w:tc>
        <w:tc>
          <w:tcPr>
            <w:tcW w:type="dxa" w:w="5760"/>
            <w:tcBorders>
              <w:top w:val="single" w:sz="2" w:space="0" w:color="DDDDDD"/>
              <w:left w:val="single" w:sz="2" w:space="0" w:color="DDDDDD"/>
              <w:bottom w:val="single" w:sz="2" w:space="0" w:color="DDDDDD"/>
              <w:right w:val="single" w:sz="2" w:space="0" w:color="DDDDDD"/>
            </w:tcBorders>
            <w:shd w:fill="F9FAFB" w:val="clear"/>
          </w:tcPr>
          <w:p>
            <w:r>
              <w:rPr>
                <w:rFonts w:ascii="Calibri" w:hAnsi="Calibri"/>
                <w:b w:val="0"/>
                <w:i w:val="0"/>
                <w:color w:val="333333"/>
                <w:sz w:val="20"/>
              </w:rPr>
              <w:t>2026-02-28</w:t>
            </w:r>
          </w:p>
        </w:tc>
      </w:tr>
      <w:tr>
        <w:tc>
          <w:tcPr>
            <w:tcW w:type="dxa" w:w="2880"/>
            <w:tcBorders>
              <w:top w:val="single" w:sz="2" w:space="0" w:color="DDDDDD"/>
              <w:left w:val="single" w:sz="2" w:space="0" w:color="DDDDDD"/>
              <w:bottom w:val="single" w:sz="2" w:space="0" w:color="DDDDDD"/>
              <w:right w:val="single" w:sz="2" w:space="0" w:color="DDDDDD"/>
            </w:tcBorders>
            <w:shd w:fill="FFFFFF" w:val="clear"/>
          </w:tcPr>
          <w:p>
            <w:pPr>
              <w:jc w:val="right"/>
            </w:pPr>
            <w:r>
              <w:rPr>
                <w:rFonts w:ascii="Calibri" w:hAnsi="Calibri"/>
                <w:b/>
                <w:i w:val="0"/>
                <w:color w:val="0C2D5A"/>
                <w:sz w:val="20"/>
              </w:rPr>
              <w:t>Prepared by</w:t>
            </w:r>
          </w:p>
        </w:tc>
        <w:tc>
          <w:tcPr>
            <w:tcW w:type="dxa" w:w="5760"/>
            <w:tcBorders>
              <w:top w:val="single" w:sz="2" w:space="0" w:color="DDDDDD"/>
              <w:left w:val="single" w:sz="2" w:space="0" w:color="DDDDDD"/>
              <w:bottom w:val="single" w:sz="2" w:space="0" w:color="DDDDDD"/>
              <w:right w:val="single" w:sz="2" w:space="0" w:color="DDDDDD"/>
            </w:tcBorders>
            <w:shd w:fill="FFFFFF" w:val="clear"/>
          </w:tcPr>
          <w:p>
            <w:r>
              <w:rPr>
                <w:rFonts w:ascii="Calibri" w:hAnsi="Calibri"/>
                <w:b w:val="0"/>
                <w:i w:val="0"/>
                <w:color w:val="333333"/>
                <w:sz w:val="20"/>
              </w:rPr>
              <w:t>BioNexus Engineering Team</w:t>
            </w:r>
          </w:p>
        </w:tc>
      </w:tr>
      <w:tr>
        <w:tc>
          <w:tcPr>
            <w:tcW w:type="dxa" w:w="2880"/>
            <w:tcBorders>
              <w:top w:val="single" w:sz="2" w:space="0" w:color="DDDDDD"/>
              <w:left w:val="single" w:sz="2" w:space="0" w:color="DDDDDD"/>
              <w:bottom w:val="single" w:sz="2" w:space="0" w:color="DDDDDD"/>
              <w:right w:val="single" w:sz="2" w:space="0" w:color="DDDDDD"/>
            </w:tcBorders>
            <w:shd w:fill="F9FAFB" w:val="clear"/>
          </w:tcPr>
          <w:p>
            <w:pPr>
              <w:jc w:val="right"/>
            </w:pPr>
            <w:r>
              <w:rPr>
                <w:rFonts w:ascii="Calibri" w:hAnsi="Calibri"/>
                <w:b/>
                <w:i w:val="0"/>
                <w:color w:val="0C2D5A"/>
                <w:sz w:val="20"/>
              </w:rPr>
              <w:t>Review Partner</w:t>
            </w:r>
          </w:p>
        </w:tc>
        <w:tc>
          <w:tcPr>
            <w:tcW w:type="dxa" w:w="5760"/>
            <w:tcBorders>
              <w:top w:val="single" w:sz="2" w:space="0" w:color="DDDDDD"/>
              <w:left w:val="single" w:sz="2" w:space="0" w:color="DDDDDD"/>
              <w:bottom w:val="single" w:sz="2" w:space="0" w:color="DDDDDD"/>
              <w:right w:val="single" w:sz="2" w:space="0" w:color="DDDDDD"/>
            </w:tcBorders>
            <w:shd w:fill="F9FAFB" w:val="clear"/>
          </w:tcPr>
          <w:p>
            <w:r>
              <w:rPr>
                <w:rFonts w:ascii="Calibri" w:hAnsi="Calibri"/>
                <w:b w:val="0"/>
                <w:i w:val="0"/>
                <w:color w:val="333333"/>
                <w:sz w:val="20"/>
              </w:rPr>
              <w:t>GMP4U (Johannes Eberhardt) — CSV/Qualification Specialist</w:t>
            </w:r>
          </w:p>
        </w:tc>
      </w:tr>
      <w:tr>
        <w:tc>
          <w:tcPr>
            <w:tcW w:type="dxa" w:w="2880"/>
            <w:tcBorders>
              <w:top w:val="single" w:sz="2" w:space="0" w:color="DDDDDD"/>
              <w:left w:val="single" w:sz="2" w:space="0" w:color="DDDDDD"/>
              <w:bottom w:val="single" w:sz="2" w:space="0" w:color="DDDDDD"/>
              <w:right w:val="single" w:sz="2" w:space="0" w:color="DDDDDD"/>
            </w:tcBorders>
            <w:shd w:fill="FFFFFF" w:val="clear"/>
          </w:tcPr>
          <w:p>
            <w:pPr>
              <w:jc w:val="right"/>
            </w:pPr>
            <w:r>
              <w:rPr>
                <w:rFonts w:ascii="Calibri" w:hAnsi="Calibri"/>
                <w:b/>
                <w:i w:val="0"/>
                <w:color w:val="0C2D5A"/>
                <w:sz w:val="20"/>
              </w:rPr>
              <w:t>Classification</w:t>
            </w:r>
          </w:p>
        </w:tc>
        <w:tc>
          <w:tcPr>
            <w:tcW w:type="dxa" w:w="5760"/>
            <w:tcBorders>
              <w:top w:val="single" w:sz="2" w:space="0" w:color="DDDDDD"/>
              <w:left w:val="single" w:sz="2" w:space="0" w:color="DDDDDD"/>
              <w:bottom w:val="single" w:sz="2" w:space="0" w:color="DDDDDD"/>
              <w:right w:val="single" w:sz="2" w:space="0" w:color="DDDDDD"/>
            </w:tcBorders>
            <w:shd w:fill="FFFFFF" w:val="clear"/>
          </w:tcPr>
          <w:p>
            <w:r>
              <w:rPr>
                <w:rFonts w:ascii="Calibri" w:hAnsi="Calibri"/>
                <w:b w:val="0"/>
                <w:i w:val="0"/>
                <w:color w:val="333333"/>
                <w:sz w:val="20"/>
              </w:rPr>
              <w:t>Internal Engineering — Restricted Distribution</w:t>
            </w:r>
          </w:p>
        </w:tc>
      </w:tr>
    </w:tbl>
    <w:p/>
    <w:p>
      <w:pPr>
        <w:jc w:val="center"/>
      </w:pPr>
      <w:r>
        <w:rPr>
          <w:rFonts w:ascii="Calibri" w:hAnsi="Calibri"/>
          <w:b/>
          <w:i w:val="0"/>
          <w:color w:val="CC3333"/>
          <w:sz w:val="24"/>
        </w:rPr>
        <w:t>CONFIDENTIAL</w:t>
      </w:r>
    </w:p>
    <w:p>
      <w:pPr>
        <w:jc w:val="center"/>
      </w:pPr>
      <w:r>
        <w:rPr>
          <w:rFonts w:ascii="Calibri" w:hAnsi="Calibri"/>
          <w:b w:val="0"/>
          <w:i w:val="0"/>
          <w:color w:val="666666"/>
          <w:sz w:val="18"/>
        </w:rPr>
        <w:t>This document contains proprietary information of BioNexus GmbH.</w:t>
        <w:br/>
        <w:t>Distribution is restricted to authorized personnel and review partners.</w:t>
      </w:r>
    </w:p>
    <w:p>
      <w:r>
        <w:br w:type="page"/>
      </w:r>
    </w:p>
    <w:p>
      <w:pPr>
        <w:pStyle w:val="Heading1"/>
      </w:pPr>
      <w:r>
        <w:t>Table of Contents</w:t>
      </w:r>
    </w:p>
    <w:p>
      <w:pPr>
        <w:spacing w:before="40" w:after="40"/>
      </w:pPr>
      <w:r>
        <w:rPr>
          <w:rFonts w:ascii="Calibri" w:hAnsi="Calibri"/>
          <w:b w:val="0"/>
          <w:i w:val="0"/>
          <w:color w:val="1A477A"/>
          <w:sz w:val="22"/>
        </w:rPr>
        <w:t>1.  Overview</w:t>
      </w:r>
    </w:p>
    <w:p>
      <w:pPr>
        <w:spacing w:before="40" w:after="40"/>
      </w:pPr>
      <w:r>
        <w:rPr>
          <w:rFonts w:ascii="Calibri" w:hAnsi="Calibri"/>
          <w:b w:val="0"/>
          <w:i w:val="0"/>
          <w:color w:val="1A477A"/>
          <w:sz w:val="22"/>
        </w:rPr>
        <w:t>2.  Hardware Specifications</w:t>
      </w:r>
    </w:p>
    <w:p>
      <w:pPr>
        <w:spacing w:before="40" w:after="40"/>
      </w:pPr>
      <w:r>
        <w:rPr>
          <w:rFonts w:ascii="Calibri" w:hAnsi="Calibri"/>
          <w:b w:val="0"/>
          <w:i w:val="0"/>
          <w:color w:val="1A477A"/>
          <w:sz w:val="22"/>
        </w:rPr>
        <w:t>3.  Supported Instrument Interfaces</w:t>
      </w:r>
    </w:p>
    <w:p>
      <w:pPr>
        <w:spacing w:before="40" w:after="40"/>
      </w:pPr>
      <w:r>
        <w:rPr>
          <w:rFonts w:ascii="Calibri" w:hAnsi="Calibri"/>
          <w:b w:val="0"/>
          <w:i w:val="0"/>
          <w:color w:val="1A477A"/>
          <w:sz w:val="22"/>
        </w:rPr>
        <w:t>4.  Supported Instruments</w:t>
      </w:r>
    </w:p>
    <w:p>
      <w:pPr>
        <w:spacing w:before="40" w:after="40"/>
      </w:pPr>
      <w:r>
        <w:rPr>
          <w:rFonts w:ascii="Calibri" w:hAnsi="Calibri"/>
          <w:b w:val="0"/>
          <w:i w:val="0"/>
          <w:color w:val="1A477A"/>
          <w:sz w:val="22"/>
        </w:rPr>
        <w:t>5.  Software Architecture</w:t>
      </w:r>
    </w:p>
    <w:p>
      <w:pPr>
        <w:spacing w:before="40" w:after="40"/>
      </w:pPr>
      <w:r>
        <w:rPr>
          <w:rFonts w:ascii="Calibri" w:hAnsi="Calibri"/>
          <w:b w:val="0"/>
          <w:i w:val="0"/>
          <w:color w:val="1A477A"/>
          <w:sz w:val="22"/>
        </w:rPr>
        <w:t>6.  Communication Protocol</w:t>
      </w:r>
    </w:p>
    <w:p>
      <w:pPr>
        <w:spacing w:before="40" w:after="40"/>
      </w:pPr>
      <w:r>
        <w:rPr>
          <w:rFonts w:ascii="Calibri" w:hAnsi="Calibri"/>
          <w:b w:val="0"/>
          <w:i w:val="0"/>
          <w:color w:val="1A477A"/>
          <w:sz w:val="22"/>
        </w:rPr>
        <w:t>7.  Data Flow</w:t>
      </w:r>
    </w:p>
    <w:p>
      <w:pPr>
        <w:spacing w:before="40" w:after="40"/>
      </w:pPr>
      <w:r>
        <w:rPr>
          <w:rFonts w:ascii="Calibri" w:hAnsi="Calibri"/>
          <w:b w:val="0"/>
          <w:i w:val="0"/>
          <w:color w:val="1A477A"/>
          <w:sz w:val="22"/>
        </w:rPr>
        <w:t>8.  Offline and Disconnected Mode</w:t>
      </w:r>
    </w:p>
    <w:p>
      <w:pPr>
        <w:spacing w:before="40" w:after="40"/>
      </w:pPr>
      <w:r>
        <w:rPr>
          <w:rFonts w:ascii="Calibri" w:hAnsi="Calibri"/>
          <w:b w:val="0"/>
          <w:i w:val="0"/>
          <w:color w:val="1A477A"/>
          <w:sz w:val="22"/>
        </w:rPr>
        <w:t>9.  Security Model</w:t>
      </w:r>
    </w:p>
    <w:p>
      <w:pPr>
        <w:spacing w:before="40" w:after="40"/>
      </w:pPr>
      <w:r>
        <w:rPr>
          <w:rFonts w:ascii="Calibri" w:hAnsi="Calibri"/>
          <w:b w:val="0"/>
          <w:i w:val="0"/>
          <w:color w:val="1A477A"/>
          <w:sz w:val="22"/>
        </w:rPr>
        <w:t>10.  Firmware Update Strategy</w:t>
      </w:r>
    </w:p>
    <w:p>
      <w:pPr>
        <w:spacing w:before="40" w:after="40"/>
      </w:pPr>
      <w:r>
        <w:rPr>
          <w:rFonts w:ascii="Calibri" w:hAnsi="Calibri"/>
          <w:b w:val="0"/>
          <w:i w:val="0"/>
          <w:color w:val="1A477A"/>
          <w:sz w:val="22"/>
        </w:rPr>
        <w:t>11.  Deployment and Provisioning</w:t>
      </w:r>
    </w:p>
    <w:p>
      <w:pPr>
        <w:spacing w:before="40" w:after="40"/>
      </w:pPr>
      <w:r>
        <w:rPr>
          <w:rFonts w:ascii="Calibri" w:hAnsi="Calibri"/>
          <w:b w:val="0"/>
          <w:i w:val="0"/>
          <w:color w:val="1A477A"/>
          <w:sz w:val="22"/>
        </w:rPr>
        <w:t>12.  Monitoring and Diagnostics</w:t>
      </w:r>
    </w:p>
    <w:p>
      <w:pPr>
        <w:spacing w:before="40" w:after="40"/>
      </w:pPr>
      <w:r>
        <w:rPr>
          <w:rFonts w:ascii="Calibri" w:hAnsi="Calibri"/>
          <w:b w:val="0"/>
          <w:i w:val="0"/>
          <w:color w:val="1A477A"/>
          <w:sz w:val="22"/>
        </w:rPr>
        <w:t>13.  GxP Compliance Considerations</w:t>
      </w:r>
    </w:p>
    <w:p>
      <w:pPr>
        <w:spacing w:before="40" w:after="40"/>
      </w:pPr>
      <w:r>
        <w:rPr>
          <w:rFonts w:ascii="Calibri" w:hAnsi="Calibri"/>
          <w:b w:val="0"/>
          <w:i w:val="0"/>
          <w:color w:val="1A477A"/>
          <w:sz w:val="22"/>
        </w:rPr>
        <w:t>14.  Physical and Environmental Requirements</w:t>
      </w:r>
    </w:p>
    <w:p>
      <w:pPr>
        <w:spacing w:before="40" w:after="40"/>
      </w:pPr>
      <w:r>
        <w:rPr>
          <w:rFonts w:ascii="Calibri" w:hAnsi="Calibri"/>
          <w:b w:val="0"/>
          <w:i w:val="0"/>
          <w:color w:val="1A477A"/>
          <w:sz w:val="22"/>
        </w:rPr>
        <w:t>15.  Roadmap</w:t>
      </w:r>
    </w:p>
    <w:p/>
    <w:p>
      <w:pPr>
        <w:spacing w:before="40" w:after="40"/>
      </w:pPr>
      <w:r>
        <w:rPr>
          <w:rFonts w:ascii="Calibri" w:hAnsi="Calibri"/>
          <w:b/>
          <w:i w:val="0"/>
          <w:color w:val="0C2D5A"/>
          <w:sz w:val="22"/>
        </w:rPr>
        <w:t>Appendix A: Instrument Parser Implementation Reference</w:t>
      </w:r>
    </w:p>
    <w:p>
      <w:pPr>
        <w:spacing w:before="40" w:after="40"/>
      </w:pPr>
      <w:r>
        <w:rPr>
          <w:rFonts w:ascii="Calibri" w:hAnsi="Calibri"/>
          <w:b/>
          <w:i w:val="0"/>
          <w:color w:val="0C2D5A"/>
          <w:sz w:val="22"/>
        </w:rPr>
        <w:t>Appendix B: Network Requirements for Customer Site</w:t>
      </w:r>
    </w:p>
    <w:p>
      <w:r>
        <w:br w:type="page"/>
      </w:r>
    </w:p>
    <w:p>
      <w:r>
        <w:br w:type="page"/>
      </w:r>
    </w:p>
    <w:p>
      <w:pPr>
        <w:pStyle w:val="Heading1"/>
      </w:pPr>
      <w:r>
        <w:t>1. Overview</w:t>
      </w:r>
    </w:p>
    <w:p>
      <w:pPr>
        <w:pStyle w:val="Heading3"/>
      </w:pPr>
      <w:r>
        <w:t>1.1 What Is the BioNexus Box?</w:t>
      </w:r>
    </w:p>
    <w:p>
      <w:r>
        <w:rPr>
          <w:rFonts w:ascii="Calibri" w:hAnsi="Calibri"/>
          <w:b w:val="0"/>
          <w:i w:val="0"/>
          <w:color w:val="333333"/>
          <w:sz w:val="21"/>
        </w:rPr>
        <w:t>The BioNexus Box is a purpose-built, industrial-grade hardware gateway device that bridges the gap between legacy laboratory instruments and the modern BioNexus cloud platform. It is a compact, fan-less, Linux-based single-board computer (SBC) enclosed in a DIN-rail-mountable or bench-top enclosure, designed to operate continuously in quality control laboratory environments.</w:t>
      </w:r>
    </w:p>
    <w:p>
      <w:r>
        <w:rPr>
          <w:rFonts w:ascii="Calibri" w:hAnsi="Calibri"/>
          <w:b w:val="0"/>
          <w:i w:val="0"/>
          <w:color w:val="333333"/>
          <w:sz w:val="21"/>
        </w:rPr>
        <w:t>The Box connects to one or more laboratory analyzers via RS232 serial or USB interfaces, captures raw instrument output in real time, and transmits it securely to the BioNexus GCP backend over HTTPS. It is the foundational component that makes BioNexus's "Plug and Play" promise possible.</w:t>
      </w:r>
    </w:p>
    <w:p>
      <w:pPr>
        <w:pStyle w:val="Heading3"/>
      </w:pPr>
      <w:r>
        <w:t>1.2 The Problem It Solves</w:t>
      </w:r>
    </w:p>
    <w:p>
      <w:r>
        <w:rPr>
          <w:rFonts w:ascii="Calibri" w:hAnsi="Calibri"/>
          <w:b w:val="0"/>
          <w:i w:val="0"/>
          <w:color w:val="333333"/>
          <w:sz w:val="21"/>
        </w:rPr>
        <w:t>Quality control laboratories in pharmaceutical and biotechnology SMBs face a persistent, costly, and high-risk problem: the manual transcription of instrument data.</w:t>
      </w:r>
    </w:p>
    <w:p>
      <w:r>
        <w:rPr>
          <w:rFonts w:ascii="Calibri" w:hAnsi="Calibri"/>
          <w:b w:val="0"/>
          <w:i w:val="0"/>
          <w:color w:val="333333"/>
          <w:sz w:val="21"/>
        </w:rPr>
        <w:t>Instruments such as dissolution testers, HPLC systems, spectrophotometers, and pH/conductivity meters produce results continuously. These results are typically:</w:t>
      </w:r>
    </w:p>
    <w:p>
      <w:pPr>
        <w:pStyle w:val="ListBullet"/>
        <w:spacing w:before="20" w:after="20"/>
        <w:ind w:left="680"/>
      </w:pPr>
      <w:r>
        <w:rPr>
          <w:rFonts w:ascii="Calibri" w:hAnsi="Calibri"/>
          <w:b w:val="0"/>
          <w:i w:val="0"/>
          <w:color w:val="333333"/>
          <w:sz w:val="21"/>
        </w:rPr>
        <w:t>Printed on paper and manually transcribed into a LIMS or spreadsheet</w:t>
      </w:r>
    </w:p>
    <w:p>
      <w:pPr>
        <w:pStyle w:val="ListBullet"/>
        <w:spacing w:before="20" w:after="20"/>
        <w:ind w:left="680"/>
      </w:pPr>
      <w:r>
        <w:rPr>
          <w:rFonts w:ascii="Calibri" w:hAnsi="Calibri"/>
          <w:b w:val="0"/>
          <w:i w:val="0"/>
          <w:color w:val="333333"/>
          <w:sz w:val="21"/>
        </w:rPr>
        <w:t>Exported via proprietary vendor software requiring expensive workstation licenses</w:t>
      </w:r>
    </w:p>
    <w:p>
      <w:pPr>
        <w:pStyle w:val="ListBullet"/>
        <w:spacing w:before="20" w:after="20"/>
        <w:ind w:left="680"/>
      </w:pPr>
      <w:r>
        <w:rPr>
          <w:rFonts w:ascii="Calibri" w:hAnsi="Calibri"/>
          <w:b w:val="0"/>
          <w:i w:val="0"/>
          <w:color w:val="333333"/>
          <w:sz w:val="21"/>
        </w:rPr>
        <w:t>Subject to transcription errors that compromise data integrity</w:t>
      </w:r>
    </w:p>
    <w:p>
      <w:pPr>
        <w:pStyle w:val="ListBullet"/>
        <w:spacing w:before="20" w:after="20"/>
        <w:ind w:left="680"/>
      </w:pPr>
      <w:r>
        <w:rPr>
          <w:rFonts w:ascii="Calibri" w:hAnsi="Calibri"/>
          <w:b w:val="0"/>
          <w:i w:val="0"/>
          <w:color w:val="333333"/>
          <w:sz w:val="21"/>
        </w:rPr>
        <w:t>Not captured with contemporaneous electronic audit trails, violating 21 CFR Part 11</w:t>
      </w:r>
    </w:p>
    <w:p>
      <w:r>
        <w:rPr>
          <w:rFonts w:ascii="Calibri" w:hAnsi="Calibri"/>
          <w:b w:val="0"/>
          <w:i w:val="0"/>
          <w:color w:val="333333"/>
          <w:sz w:val="21"/>
        </w:rPr>
        <w:t>The BioNexus Box eliminates this transcription step entirely. It sits between the instrument and the network, capturing data at the source the moment the instrument outputs it, and creating an immutable, timestamped, cryptographically verified record in the cloud.</w:t>
      </w:r>
    </w:p>
    <w:p>
      <w:pPr>
        <w:pStyle w:val="Heading3"/>
      </w:pPr>
      <w:r>
        <w:t>1.3 Why It Exists — Strategic Context</w:t>
      </w:r>
    </w:p>
    <w:p>
      <w:r>
        <w:rPr>
          <w:rFonts w:ascii="Calibri" w:hAnsi="Calibri"/>
          <w:b w:val="0"/>
          <w:i w:val="0"/>
          <w:color w:val="333333"/>
          <w:sz w:val="21"/>
        </w:rPr>
        <w:t>BioNexus's primary competitive differentiator versus LabWare LIMS, STARLIMS, and Benchling is the combination of Plug and Play hardware with SaaS software. Enterprise LIMS implementations typically require 12 to 18 months of integration work, custom scripting, and six-figure consulting fees. The BioNexus Box compresses this to a same-day installation:</w:t>
      </w:r>
    </w:p>
    <w:p>
      <w:pPr>
        <w:spacing w:before="20" w:after="20"/>
        <w:ind w:left="680"/>
      </w:pPr>
      <w:r>
        <w:rPr>
          <w:rFonts w:ascii="Calibri" w:hAnsi="Calibri"/>
          <w:b/>
          <w:i w:val="0"/>
          <w:color w:val="0C2D5A"/>
          <w:sz w:val="21"/>
        </w:rPr>
        <w:t xml:space="preserve">1. </w:t>
      </w:r>
      <w:r>
        <w:rPr>
          <w:rFonts w:ascii="Calibri" w:hAnsi="Calibri"/>
          <w:b w:val="0"/>
          <w:i w:val="0"/>
          <w:color w:val="333333"/>
          <w:sz w:val="21"/>
        </w:rPr>
        <w:t>Ship the Box to the customer site</w:t>
      </w:r>
    </w:p>
    <w:p>
      <w:pPr>
        <w:spacing w:before="20" w:after="20"/>
        <w:ind w:left="680"/>
      </w:pPr>
      <w:r>
        <w:rPr>
          <w:rFonts w:ascii="Calibri" w:hAnsi="Calibri"/>
          <w:b/>
          <w:i w:val="0"/>
          <w:color w:val="0C2D5A"/>
          <w:sz w:val="21"/>
        </w:rPr>
        <w:t xml:space="preserve">2. </w:t>
      </w:r>
      <w:r>
        <w:rPr>
          <w:rFonts w:ascii="Calibri" w:hAnsi="Calibri"/>
          <w:b w:val="0"/>
          <w:i w:val="0"/>
          <w:color w:val="333333"/>
          <w:sz w:val="21"/>
        </w:rPr>
        <w:t>Customer plugs it into the instrument's RS232/USB port and their network</w:t>
      </w:r>
    </w:p>
    <w:p>
      <w:pPr>
        <w:spacing w:before="20" w:after="20"/>
        <w:ind w:left="680"/>
      </w:pPr>
      <w:r>
        <w:rPr>
          <w:rFonts w:ascii="Calibri" w:hAnsi="Calibri"/>
          <w:b/>
          <w:i w:val="0"/>
          <w:color w:val="0C2D5A"/>
          <w:sz w:val="21"/>
        </w:rPr>
        <w:t xml:space="preserve">3. </w:t>
      </w:r>
      <w:r>
        <w:rPr>
          <w:rFonts w:ascii="Calibri" w:hAnsi="Calibri"/>
          <w:b w:val="0"/>
          <w:i w:val="0"/>
          <w:color w:val="333333"/>
          <w:sz w:val="21"/>
        </w:rPr>
        <w:t>A BioNexus technician completes cloud registration remotely in under one hour</w:t>
      </w:r>
    </w:p>
    <w:p>
      <w:pPr>
        <w:spacing w:before="20" w:after="20"/>
        <w:ind w:left="680"/>
      </w:pPr>
      <w:r>
        <w:rPr>
          <w:rFonts w:ascii="Calibri" w:hAnsi="Calibri"/>
          <w:b/>
          <w:i w:val="0"/>
          <w:color w:val="0C2D5A"/>
          <w:sz w:val="21"/>
        </w:rPr>
        <w:t xml:space="preserve">4. </w:t>
      </w:r>
      <w:r>
        <w:rPr>
          <w:rFonts w:ascii="Calibri" w:hAnsi="Calibri"/>
          <w:b w:val="0"/>
          <w:i w:val="0"/>
          <w:color w:val="333333"/>
          <w:sz w:val="21"/>
        </w:rPr>
        <w:t>Data flow begins immediately</w:t>
      </w:r>
    </w:p>
    <w:p>
      <w:r>
        <w:rPr>
          <w:rFonts w:ascii="Calibri" w:hAnsi="Calibri"/>
          <w:b w:val="0"/>
          <w:i w:val="0"/>
          <w:color w:val="333333"/>
          <w:sz w:val="21"/>
        </w:rPr>
        <w:t>This model targets QC labs in pharma/biotech SMBs (50–500 employees) who cannot afford or justify an enterprise LIMS deployment, but still operate under 21 CFR Part 11 and EU Annex 11 obligations.</w:t>
      </w:r>
    </w:p>
    <w:p>
      <w:pPr>
        <w:pStyle w:val="Heading3"/>
      </w:pPr>
      <w:r>
        <w:t>1.4 High-Level Architecture Position</w:t>
      </w:r>
    </w:p>
    <w:tbl>
      <w:tblPr>
        <w:tblW w:type="auto" w:w="0"/>
        <w:jc w:val="left"/>
        <w:tblLook w:firstColumn="1" w:firstRow="1" w:lastColumn="0" w:lastRow="0" w:noHBand="0" w:noVBand="1" w:val="04A0"/>
      </w:tblPr>
      <w:tblGrid>
        <w:gridCol w:w="9406"/>
      </w:tblGrid>
      <w:tr>
        <w:tc>
          <w:tcPr>
            <w:tcW w:type="dxa" w:w="9406"/>
            <w:shd w:fill="F0F2F5" w:val="clear"/>
            <w:tcBorders>
              <w:top w:val="single" w:sz="4" w:space="0" w:color="D0D5DD"/>
              <w:left w:val="single" w:sz="4" w:space="0" w:color="D0D5DD"/>
              <w:bottom w:val="single" w:sz="4" w:space="0" w:color="D0D5DD"/>
              <w:right w:val="single" w:sz="4" w:space="0" w:color="D0D5DD"/>
            </w:tcBorders>
            <w:tcMar>
              <w:top w:w="100" w:type="dxa"/>
              <w:bottom w:w="100" w:type="dxa"/>
              <w:left w:w="150" w:type="dxa"/>
              <w:right w:w="150" w:type="dxa"/>
            </w:tcMar>
          </w:tcPr>
          <w:p>
            <w:pPr>
              <w:spacing w:before="0" w:after="0" w:line="240" w:lineRule="auto"/>
            </w:pPr>
            <w:r>
              <w:rPr>
                <w:rFonts w:ascii="Consolas" w:hAnsi="Consolas"/>
                <w:color w:val="1A1A2E"/>
                <w:sz w:val="16"/>
              </w:rPr>
              <w:t>+------------------+     RS232/USB     +------------------+     HTTPS/TLS 1.3    +----------------------+</w:t>
              <w:br/>
              <w:t>|                  |                   |                  |                      |                      |</w:t>
              <w:br/>
              <w:t>|  Lab Instrument  +------------------&gt;+  BioNexus Box    +---------------------&gt;+  GCP Backend         |</w:t>
              <w:br/>
              <w:t>|  (Analyzer)      |                   |  (Edge Gateway)  |                      |  (BioNexus Platform) |</w:t>
              <w:br/>
              <w:t>|                  |                   |                  |                      |                      |</w:t>
              <w:br/>
              <w:t>+------------------+                   +------------------+                      +----------+-----------+</w:t>
              <w:br/>
              <w:t xml:space="preserve">                                              |                                             |</w:t>
              <w:br/>
              <w:t xml:space="preserve">                                    Local SQLite buffer                          +----------+-----------+</w:t>
              <w:br/>
              <w:t xml:space="preserve">                                    (store-and-forward)                          | Django REST API      |</w:t>
              <w:br/>
              <w:t xml:space="preserve">                                    SHA-256 packet hashing                       | PostgreSQL           |</w:t>
              <w:br/>
              <w:t xml:space="preserve">                                    Device cert auth                             | Audit Trail          |</w:t>
              <w:br/>
              <w:t xml:space="preserve">                                    Offline operation                            | RawFile ingestion    |</w:t>
              <w:br/>
              <w:t xml:space="preserve">                                                                                 +----------------------+</w:t>
            </w:r>
          </w:p>
        </w:tc>
      </w:tr>
    </w:tbl>
    <w:p>
      <w:pPr>
        <w:spacing w:before="40" w:after="40"/>
      </w:pPr>
    </w:p>
    <w:p>
      <w:r>
        <w:br w:type="page"/>
      </w:r>
    </w:p>
    <w:p>
      <w:pPr>
        <w:pStyle w:val="Heading1"/>
      </w:pPr>
      <w:r>
        <w:t>2. Hardware Specifications</w:t>
      </w:r>
    </w:p>
    <w:p>
      <w:pPr>
        <w:pStyle w:val="Heading3"/>
      </w:pPr>
      <w:r>
        <w:t>2.1 Primary Platform — Raspberry Pi CM4 (Compute Module 4)</w:t>
      </w:r>
    </w:p>
    <w:p>
      <w:r>
        <w:rPr>
          <w:rFonts w:ascii="Calibri" w:hAnsi="Calibri"/>
          <w:b w:val="0"/>
          <w:i w:val="0"/>
          <w:color w:val="333333"/>
          <w:sz w:val="21"/>
        </w:rPr>
        <w:t xml:space="preserve">The recommended production platform for BioNexus Box v1.0 is the </w:t>
      </w:r>
      <w:r>
        <w:rPr>
          <w:rFonts w:ascii="Calibri" w:hAnsi="Calibri"/>
          <w:b/>
          <w:i w:val="0"/>
          <w:color w:val="333333"/>
          <w:sz w:val="21"/>
        </w:rPr>
        <w:t>Raspberry Pi Compute Module 4 (CM4)</w:t>
      </w:r>
      <w:r>
        <w:rPr>
          <w:rFonts w:ascii="Calibri" w:hAnsi="Calibri"/>
          <w:b w:val="0"/>
          <w:i w:val="0"/>
          <w:color w:val="333333"/>
          <w:sz w:val="21"/>
        </w:rPr>
        <w:t xml:space="preserve"> mounted on a custom or third-party carrier board. The CM4 was selected over a full Raspberry Pi 4B for its industrial suitability: it omits the exposed full-size USB and HDMI ports of the development board, integrates eMMC storage (no SD card to fail), and is available in industrial temperature variants.</w:t>
      </w:r>
    </w:p>
    <w:tbl>
      <w:tblPr>
        <w:tblW w:type="auto" w:w="0"/>
        <w:jc w:val="center"/>
        <w:tblLayout w:type="autofit"/>
        <w:tblLook w:firstColumn="1" w:firstRow="1" w:lastColumn="0" w:lastRow="0" w:noHBand="0" w:noVBand="1" w:val="04A0"/>
      </w:tblPr>
      <w:tblGrid>
        <w:gridCol w:w="4703"/>
        <w:gridCol w:w="4703"/>
      </w:tblGrid>
      <w:tr>
        <w:tc>
          <w:tcPr>
            <w:tcW w:type="dxa" w:w="4703"/>
            <w:shd w:fill="0C2D5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i w:val="0"/>
                <w:color w:val="FFFFFF"/>
                <w:sz w:val="19"/>
              </w:rPr>
              <w:t>Parameter</w:t>
            </w:r>
          </w:p>
        </w:tc>
        <w:tc>
          <w:tcPr>
            <w:tcW w:type="dxa" w:w="4703"/>
            <w:shd w:fill="0C2D5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i w:val="0"/>
                <w:color w:val="FFFFFF"/>
                <w:sz w:val="19"/>
              </w:rPr>
              <w:t>Specification</w:t>
            </w:r>
          </w:p>
        </w:tc>
      </w:tr>
      <w:tr>
        <w:tc>
          <w:tcPr>
            <w:tcW w:type="dxa" w:w="4703"/>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i w:val="0"/>
                <w:color w:val="333333"/>
                <w:sz w:val="19"/>
              </w:rPr>
              <w:t>SBC</w:t>
            </w:r>
          </w:p>
        </w:tc>
        <w:tc>
          <w:tcPr>
            <w:tcW w:type="dxa" w:w="4703"/>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Raspberry Pi CM4 (CM4004032 or CM4104032)</w:t>
            </w:r>
          </w:p>
        </w:tc>
      </w:tr>
      <w:tr>
        <w:tc>
          <w:tcPr>
            <w:tcW w:type="dxa" w:w="4703"/>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i w:val="0"/>
                <w:color w:val="333333"/>
                <w:sz w:val="19"/>
              </w:rPr>
              <w:t>CPU</w:t>
            </w:r>
          </w:p>
        </w:tc>
        <w:tc>
          <w:tcPr>
            <w:tcW w:type="dxa" w:w="4703"/>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Broadcom BCM2711, quad-core Cortex-A72 (ARM v8), 1.5 GHz</w:t>
            </w:r>
          </w:p>
        </w:tc>
      </w:tr>
      <w:tr>
        <w:tc>
          <w:tcPr>
            <w:tcW w:type="dxa" w:w="4703"/>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i w:val="0"/>
                <w:color w:val="333333"/>
                <w:sz w:val="19"/>
              </w:rPr>
              <w:t>RAM</w:t>
            </w:r>
          </w:p>
        </w:tc>
        <w:tc>
          <w:tcPr>
            <w:tcW w:type="dxa" w:w="4703"/>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4 GB LPDDR4-3200</w:t>
            </w:r>
          </w:p>
        </w:tc>
      </w:tr>
      <w:tr>
        <w:tc>
          <w:tcPr>
            <w:tcW w:type="dxa" w:w="4703"/>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i w:val="0"/>
                <w:color w:val="333333"/>
                <w:sz w:val="19"/>
              </w:rPr>
              <w:t>Storage</w:t>
            </w:r>
          </w:p>
        </w:tc>
        <w:tc>
          <w:tcPr>
            <w:tcW w:type="dxa" w:w="4703"/>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32 GB eMMC (onboard, no SD card)</w:t>
            </w:r>
          </w:p>
        </w:tc>
      </w:tr>
      <w:tr>
        <w:tc>
          <w:tcPr>
            <w:tcW w:type="dxa" w:w="4703"/>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i w:val="0"/>
                <w:color w:val="333333"/>
                <w:sz w:val="19"/>
              </w:rPr>
              <w:t>OS</w:t>
            </w:r>
          </w:p>
        </w:tc>
        <w:tc>
          <w:tcPr>
            <w:tcW w:type="dxa" w:w="4703"/>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Raspberry Pi OS Lite (64-bit, Debian 12 Bookworm base) — headless</w:t>
            </w:r>
          </w:p>
        </w:tc>
      </w:tr>
      <w:tr>
        <w:tc>
          <w:tcPr>
            <w:tcW w:type="dxa" w:w="4703"/>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i w:val="0"/>
                <w:color w:val="333333"/>
                <w:sz w:val="19"/>
              </w:rPr>
              <w:t>Ethernet</w:t>
            </w:r>
          </w:p>
        </w:tc>
        <w:tc>
          <w:tcPr>
            <w:tcW w:type="dxa" w:w="4703"/>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Gigabit Ethernet via carrier board (primary uplink)</w:t>
            </w:r>
          </w:p>
        </w:tc>
      </w:tr>
      <w:tr>
        <w:tc>
          <w:tcPr>
            <w:tcW w:type="dxa" w:w="4703"/>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i w:val="0"/>
                <w:color w:val="333333"/>
                <w:sz w:val="19"/>
              </w:rPr>
              <w:t>USB</w:t>
            </w:r>
          </w:p>
        </w:tc>
        <w:tc>
          <w:tcPr>
            <w:tcW w:type="dxa" w:w="4703"/>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USB 2.0 host ports via carrier board (2x, for USB-serial adapters)</w:t>
            </w:r>
          </w:p>
        </w:tc>
      </w:tr>
      <w:tr>
        <w:tc>
          <w:tcPr>
            <w:tcW w:type="dxa" w:w="4703"/>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i w:val="0"/>
                <w:color w:val="333333"/>
                <w:sz w:val="19"/>
              </w:rPr>
              <w:t>RS232</w:t>
            </w:r>
          </w:p>
        </w:tc>
        <w:tc>
          <w:tcPr>
            <w:tcW w:type="dxa" w:w="4703"/>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Via onboard UART or carrier board DB9 connector(s)</w:t>
            </w:r>
          </w:p>
        </w:tc>
      </w:tr>
      <w:tr>
        <w:tc>
          <w:tcPr>
            <w:tcW w:type="dxa" w:w="4703"/>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i w:val="0"/>
                <w:color w:val="333333"/>
                <w:sz w:val="19"/>
              </w:rPr>
              <w:t>Power Input</w:t>
            </w:r>
          </w:p>
        </w:tc>
        <w:tc>
          <w:tcPr>
            <w:tcW w:type="dxa" w:w="4703"/>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5V DC via USB-C or barrel jack; supports 9–24V DC input via buck converter</w:t>
            </w:r>
          </w:p>
        </w:tc>
      </w:tr>
      <w:tr>
        <w:tc>
          <w:tcPr>
            <w:tcW w:type="dxa" w:w="4703"/>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i w:val="0"/>
                <w:color w:val="333333"/>
                <w:sz w:val="19"/>
              </w:rPr>
              <w:t>Power Draw</w:t>
            </w:r>
          </w:p>
        </w:tc>
        <w:tc>
          <w:tcPr>
            <w:tcW w:type="dxa" w:w="4703"/>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~3–5 W typical, 7 W peak</w:t>
            </w:r>
          </w:p>
        </w:tc>
      </w:tr>
      <w:tr>
        <w:tc>
          <w:tcPr>
            <w:tcW w:type="dxa" w:w="4703"/>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i w:val="0"/>
                <w:color w:val="333333"/>
                <w:sz w:val="19"/>
              </w:rPr>
              <w:t>Temperature</w:t>
            </w:r>
          </w:p>
        </w:tc>
        <w:tc>
          <w:tcPr>
            <w:tcW w:type="dxa" w:w="4703"/>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0°C to 70°C operating (standard); CM4 Lite variant for extended range</w:t>
            </w:r>
          </w:p>
        </w:tc>
      </w:tr>
      <w:tr>
        <w:tc>
          <w:tcPr>
            <w:tcW w:type="dxa" w:w="4703"/>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i w:val="0"/>
                <w:color w:val="333333"/>
                <w:sz w:val="19"/>
              </w:rPr>
              <w:t>Storage (alt)</w:t>
            </w:r>
          </w:p>
        </w:tc>
        <w:tc>
          <w:tcPr>
            <w:tcW w:type="dxa" w:w="4703"/>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NVMe M.2 SSD via PCIe lane on selected carrier boards (preferred for write endurance)</w:t>
            </w:r>
          </w:p>
        </w:tc>
      </w:tr>
    </w:tbl>
    <w:p/>
    <w:p>
      <w:pPr>
        <w:pStyle w:val="Heading3"/>
      </w:pPr>
      <w:r>
        <w:t>2.2 Industrial Alternative — Advantech ARK or Moxa UC Series</w:t>
      </w:r>
    </w:p>
    <w:p>
      <w:r>
        <w:rPr>
          <w:rFonts w:ascii="Calibri" w:hAnsi="Calibri"/>
          <w:b w:val="0"/>
          <w:i w:val="0"/>
          <w:color w:val="333333"/>
          <w:sz w:val="21"/>
        </w:rPr>
        <w:t>For customers with stricter EMC requirements, cleanroom deployments, or extended temperature range needs, the following industrial alternatives are supported:</w:t>
      </w:r>
    </w:p>
    <w:tbl>
      <w:tblPr>
        <w:tblW w:type="auto" w:w="0"/>
        <w:jc w:val="center"/>
        <w:tblLayout w:type="autofit"/>
        <w:tblLook w:firstColumn="1" w:firstRow="1" w:lastColumn="0" w:lastRow="0" w:noHBand="0" w:noVBand="1" w:val="04A0"/>
      </w:tblPr>
      <w:tblGrid>
        <w:gridCol w:w="3135"/>
        <w:gridCol w:w="3135"/>
        <w:gridCol w:w="3135"/>
      </w:tblGrid>
      <w:tr>
        <w:tc>
          <w:tcPr>
            <w:tcW w:type="dxa" w:w="3135"/>
            <w:shd w:fill="0C2D5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i w:val="0"/>
                <w:color w:val="FFFFFF"/>
                <w:sz w:val="19"/>
              </w:rPr>
              <w:t>Vendor</w:t>
            </w:r>
          </w:p>
        </w:tc>
        <w:tc>
          <w:tcPr>
            <w:tcW w:type="dxa" w:w="3135"/>
            <w:shd w:fill="0C2D5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i w:val="0"/>
                <w:color w:val="FFFFFF"/>
                <w:sz w:val="19"/>
              </w:rPr>
              <w:t>Model</w:t>
            </w:r>
          </w:p>
        </w:tc>
        <w:tc>
          <w:tcPr>
            <w:tcW w:type="dxa" w:w="3135"/>
            <w:shd w:fill="0C2D5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i w:val="0"/>
                <w:color w:val="FFFFFF"/>
                <w:sz w:val="19"/>
              </w:rPr>
              <w:t>Notes</w:t>
            </w:r>
          </w:p>
        </w:tc>
      </w:tr>
      <w:tr>
        <w:tc>
          <w:tcPr>
            <w:tcW w:type="dxa" w:w="3135"/>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i w:val="0"/>
                <w:color w:val="333333"/>
                <w:sz w:val="19"/>
              </w:rPr>
              <w:t>Advantech</w:t>
            </w:r>
          </w:p>
        </w:tc>
        <w:tc>
          <w:tcPr>
            <w:tcW w:type="dxa" w:w="3135"/>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ARK-1124H</w:t>
            </w:r>
          </w:p>
        </w:tc>
        <w:tc>
          <w:tcPr>
            <w:tcW w:type="dxa" w:w="3135"/>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DIN-rail, Atom E3940, -40°C to 70°C, 4x RS232, 2x LAN</w:t>
            </w:r>
          </w:p>
        </w:tc>
      </w:tr>
      <w:tr>
        <w:tc>
          <w:tcPr>
            <w:tcW w:type="dxa" w:w="3135"/>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i w:val="0"/>
                <w:color w:val="333333"/>
                <w:sz w:val="19"/>
              </w:rPr>
              <w:t>Moxa</w:t>
            </w:r>
          </w:p>
        </w:tc>
        <w:tc>
          <w:tcPr>
            <w:tcW w:type="dxa" w:w="3135"/>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UC-8112A-ME-T</w:t>
            </w:r>
          </w:p>
        </w:tc>
        <w:tc>
          <w:tcPr>
            <w:tcW w:type="dxa" w:w="3135"/>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ARM Cortex-A8, -40°C to 70°C, 2x RS232/422/485, 2x ETH</w:t>
            </w:r>
          </w:p>
        </w:tc>
      </w:tr>
      <w:tr>
        <w:tc>
          <w:tcPr>
            <w:tcW w:type="dxa" w:w="3135"/>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i w:val="0"/>
                <w:color w:val="333333"/>
                <w:sz w:val="19"/>
              </w:rPr>
              <w:t>Siemens</w:t>
            </w:r>
          </w:p>
        </w:tc>
        <w:tc>
          <w:tcPr>
            <w:tcW w:type="dxa" w:w="3135"/>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IOT2040</w:t>
            </w:r>
          </w:p>
        </w:tc>
        <w:tc>
          <w:tcPr>
            <w:tcW w:type="dxa" w:w="3135"/>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Intel Quark x1020, industrial I/O, -20°C to 60°C</w:t>
            </w:r>
          </w:p>
        </w:tc>
      </w:tr>
      <w:tr>
        <w:tc>
          <w:tcPr>
            <w:tcW w:type="dxa" w:w="3135"/>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i w:val="0"/>
                <w:color w:val="333333"/>
                <w:sz w:val="19"/>
              </w:rPr>
              <w:t>Kontron</w:t>
            </w:r>
          </w:p>
        </w:tc>
        <w:tc>
          <w:tcPr>
            <w:tcW w:type="dxa" w:w="3135"/>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KBox A-202-AL</w:t>
            </w:r>
          </w:p>
        </w:tc>
        <w:tc>
          <w:tcPr>
            <w:tcW w:type="dxa" w:w="3135"/>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AMD Ryzen, -40°C to 75°C, full x86, PCIe expansion</w:t>
            </w:r>
          </w:p>
        </w:tc>
      </w:tr>
    </w:tbl>
    <w:p/>
    <w:p>
      <w:r>
        <w:rPr>
          <w:rFonts w:ascii="Calibri" w:hAnsi="Calibri"/>
          <w:b w:val="0"/>
          <w:i w:val="0"/>
          <w:color w:val="333333"/>
          <w:sz w:val="21"/>
        </w:rPr>
        <w:t>Industrial alternatives run the same BioNexus Box software stack. The additional cost is justified for cleanroom or harsh environments. Default deployments use the CM4 platform.</w:t>
      </w:r>
    </w:p>
    <w:p>
      <w:pPr>
        <w:pStyle w:val="Heading3"/>
      </w:pPr>
      <w:r>
        <w:t>2.3 Enclosure and Connectivity Summary</w:t>
      </w:r>
    </w:p>
    <w:tbl>
      <w:tblPr>
        <w:tblW w:type="auto" w:w="0"/>
        <w:jc w:val="left"/>
        <w:tblLook w:firstColumn="1" w:firstRow="1" w:lastColumn="0" w:lastRow="0" w:noHBand="0" w:noVBand="1" w:val="04A0"/>
      </w:tblPr>
      <w:tblGrid>
        <w:gridCol w:w="9406"/>
      </w:tblGrid>
      <w:tr>
        <w:tc>
          <w:tcPr>
            <w:tcW w:type="dxa" w:w="9406"/>
            <w:shd w:fill="F0F2F5" w:val="clear"/>
            <w:tcBorders>
              <w:top w:val="single" w:sz="4" w:space="0" w:color="D0D5DD"/>
              <w:left w:val="single" w:sz="4" w:space="0" w:color="D0D5DD"/>
              <w:bottom w:val="single" w:sz="4" w:space="0" w:color="D0D5DD"/>
              <w:right w:val="single" w:sz="4" w:space="0" w:color="D0D5DD"/>
            </w:tcBorders>
            <w:tcMar>
              <w:top w:w="100" w:type="dxa"/>
              <w:bottom w:w="100" w:type="dxa"/>
              <w:left w:w="150" w:type="dxa"/>
              <w:right w:w="150" w:type="dxa"/>
            </w:tcMar>
          </w:tcPr>
          <w:p>
            <w:pPr>
              <w:spacing w:before="0" w:after="0" w:line="240" w:lineRule="auto"/>
            </w:pPr>
            <w:r>
              <w:rPr>
                <w:rFonts w:ascii="Consolas" w:hAnsi="Consolas"/>
                <w:color w:val="1A1A2E"/>
                <w:sz w:val="16"/>
              </w:rPr>
              <w:t>+------------------------------------------------+</w:t>
              <w:br/>
              <w:t>|  BioNexus Box — Physical Interface Panel       |</w:t>
              <w:br/>
              <w:t>|                                                |</w:t>
              <w:br/>
              <w:t>|  [POWER]  [STATUS LED]  [RESET*]               |</w:t>
              <w:br/>
              <w:t>|                                                |</w:t>
              <w:br/>
              <w:t>|  RS232-1 (DB9-F)  RS232-2 (DB9-F)             |</w:t>
              <w:br/>
              <w:t>|  USB-A (x2)       USB-C (power in)             |</w:t>
              <w:br/>
              <w:t>|  ETH-1 (RJ45)     ETH-2 (RJ45, optional)      |</w:t>
              <w:br/>
              <w:t>|  [MicroHDMI - diagnostic only, sealed]         |</w:t>
              <w:br/>
              <w:t>|                                                |</w:t>
              <w:br/>
              <w:t>|  *RESET requires physical access (tamper log)  |</w:t>
              <w:br/>
              <w:t>+------------------------------------------------+</w:t>
            </w:r>
          </w:p>
        </w:tc>
      </w:tr>
    </w:tbl>
    <w:p>
      <w:pPr>
        <w:spacing w:before="40" w:after="40"/>
      </w:pPr>
    </w:p>
    <w:p>
      <w:pPr>
        <w:pStyle w:val="ListBullet"/>
        <w:spacing w:before="20" w:after="20"/>
        <w:ind w:left="680"/>
      </w:pPr>
      <w:r>
        <w:rPr>
          <w:rFonts w:ascii="Calibri" w:hAnsi="Calibri"/>
          <w:b/>
          <w:i w:val="0"/>
          <w:color w:val="333333"/>
          <w:sz w:val="21"/>
        </w:rPr>
        <w:t>RS232 ports</w:t>
      </w:r>
      <w:r>
        <w:rPr>
          <w:rFonts w:ascii="Calibri" w:hAnsi="Calibri"/>
          <w:b w:val="0"/>
          <w:i w:val="0"/>
          <w:color w:val="333333"/>
          <w:sz w:val="21"/>
        </w:rPr>
        <w:t>: DB9 female, hardware flow control (RTS/CTS) supported, baud rates 300–115200</w:t>
      </w:r>
    </w:p>
    <w:p>
      <w:pPr>
        <w:pStyle w:val="ListBullet"/>
        <w:spacing w:before="20" w:after="20"/>
        <w:ind w:left="680"/>
      </w:pPr>
      <w:r>
        <w:rPr>
          <w:rFonts w:ascii="Calibri" w:hAnsi="Calibri"/>
          <w:b/>
          <w:i w:val="0"/>
          <w:color w:val="333333"/>
          <w:sz w:val="21"/>
        </w:rPr>
        <w:t>USB-A ports</w:t>
      </w:r>
      <w:r>
        <w:rPr>
          <w:rFonts w:ascii="Calibri" w:hAnsi="Calibri"/>
          <w:b w:val="0"/>
          <w:i w:val="0"/>
          <w:color w:val="333333"/>
          <w:sz w:val="21"/>
        </w:rPr>
        <w:t>: USB 2.0, used for USB-to-serial adapters (CH340, FTDI FT232) or direct USB CDC-ACM instruments</w:t>
      </w:r>
    </w:p>
    <w:p>
      <w:pPr>
        <w:pStyle w:val="ListBullet"/>
        <w:spacing w:before="20" w:after="20"/>
        <w:ind w:left="680"/>
      </w:pPr>
      <w:r>
        <w:rPr>
          <w:rFonts w:ascii="Calibri" w:hAnsi="Calibri"/>
          <w:b/>
          <w:i w:val="0"/>
          <w:color w:val="333333"/>
          <w:sz w:val="21"/>
        </w:rPr>
        <w:t>Ethernet</w:t>
      </w:r>
      <w:r>
        <w:rPr>
          <w:rFonts w:ascii="Calibri" w:hAnsi="Calibri"/>
          <w:b w:val="0"/>
          <w:i w:val="0"/>
          <w:color w:val="333333"/>
          <w:sz w:val="21"/>
        </w:rPr>
        <w:t>: Primary uplink; Gigabit preferred. PoE (802.3af) supported on select carrier boards to eliminate separate power cable</w:t>
      </w:r>
    </w:p>
    <w:p>
      <w:pPr>
        <w:pStyle w:val="ListBullet"/>
        <w:spacing w:before="20" w:after="20"/>
        <w:ind w:left="680"/>
      </w:pPr>
      <w:r>
        <w:rPr>
          <w:rFonts w:ascii="Calibri" w:hAnsi="Calibri"/>
          <w:b/>
          <w:i w:val="0"/>
          <w:color w:val="333333"/>
          <w:sz w:val="21"/>
        </w:rPr>
        <w:t>Status LEDs</w:t>
      </w:r>
      <w:r>
        <w:rPr>
          <w:rFonts w:ascii="Calibri" w:hAnsi="Calibri"/>
          <w:b w:val="0"/>
          <w:i w:val="0"/>
          <w:color w:val="333333"/>
          <w:sz w:val="21"/>
        </w:rPr>
        <w:t>: Power (green), Network (blue), Instrument active (amber), Error (red), Sync status (white)</w:t>
      </w:r>
    </w:p>
    <w:p>
      <w:pPr>
        <w:pStyle w:val="ListBullet"/>
        <w:spacing w:before="20" w:after="20"/>
        <w:ind w:left="680"/>
      </w:pPr>
      <w:r>
        <w:rPr>
          <w:rFonts w:ascii="Calibri" w:hAnsi="Calibri"/>
          <w:b/>
          <w:i w:val="0"/>
          <w:color w:val="333333"/>
          <w:sz w:val="21"/>
        </w:rPr>
        <w:t>Physical reset</w:t>
      </w:r>
      <w:r>
        <w:rPr>
          <w:rFonts w:ascii="Calibri" w:hAnsi="Calibri"/>
          <w:b w:val="0"/>
          <w:i w:val="0"/>
          <w:color w:val="333333"/>
          <w:sz w:val="21"/>
        </w:rPr>
        <w:t>: Hardware button requires a pin insertion (recessed); reset event is logged to the cloud audit trail before the reboot executes if network is available</w:t>
      </w:r>
    </w:p>
    <w:p>
      <w:pPr>
        <w:pStyle w:val="Heading3"/>
      </w:pPr>
      <w:r>
        <w:t>2.4 Carrier Board Recommendation</w:t>
      </w:r>
    </w:p>
    <w:p>
      <w:r>
        <w:rPr>
          <w:rFonts w:ascii="Calibri" w:hAnsi="Calibri"/>
          <w:b w:val="0"/>
          <w:i w:val="0"/>
          <w:color w:val="333333"/>
          <w:sz w:val="21"/>
        </w:rPr>
        <w:t xml:space="preserve">The recommended carrier board for CM4 in production is the </w:t>
      </w:r>
      <w:r>
        <w:rPr>
          <w:rFonts w:ascii="Calibri" w:hAnsi="Calibri"/>
          <w:b/>
          <w:i w:val="0"/>
          <w:color w:val="333333"/>
          <w:sz w:val="21"/>
        </w:rPr>
        <w:t>Waveshare CM4-NANO-B</w:t>
      </w:r>
      <w:r>
        <w:rPr>
          <w:rFonts w:ascii="Calibri" w:hAnsi="Calibri"/>
          <w:b w:val="0"/>
          <w:i w:val="0"/>
          <w:color w:val="333333"/>
          <w:sz w:val="21"/>
        </w:rPr>
        <w:t xml:space="preserve"> or </w:t>
      </w:r>
      <w:r>
        <w:rPr>
          <w:rFonts w:ascii="Calibri" w:hAnsi="Calibri"/>
          <w:b/>
          <w:i w:val="0"/>
          <w:color w:val="333333"/>
          <w:sz w:val="21"/>
        </w:rPr>
        <w:t>Seeed Studio reRouter CM4 102110</w:t>
      </w:r>
      <w:r>
        <w:rPr>
          <w:rFonts w:ascii="Calibri" w:hAnsi="Calibri"/>
          <w:b w:val="0"/>
          <w:i w:val="0"/>
          <w:color w:val="333333"/>
          <w:sz w:val="21"/>
        </w:rPr>
        <w:t>. For higher-volume production, a custom carrier board with:</w:t>
      </w:r>
    </w:p>
    <w:p>
      <w:pPr>
        <w:pStyle w:val="ListBullet"/>
        <w:spacing w:before="20" w:after="20"/>
        <w:ind w:left="680"/>
      </w:pPr>
      <w:r>
        <w:rPr>
          <w:rFonts w:ascii="Calibri" w:hAnsi="Calibri"/>
          <w:b w:val="0"/>
          <w:i w:val="0"/>
          <w:color w:val="333333"/>
          <w:sz w:val="21"/>
        </w:rPr>
        <w:t>Onboard RS232 transceivers (MAX3232) for direct DB9 connections (no adapter needed)</w:t>
      </w:r>
    </w:p>
    <w:p>
      <w:pPr>
        <w:pStyle w:val="ListBullet"/>
        <w:spacing w:before="20" w:after="20"/>
        <w:ind w:left="680"/>
      </w:pPr>
      <w:r>
        <w:rPr>
          <w:rFonts w:ascii="Calibri" w:hAnsi="Calibri"/>
          <w:b w:val="0"/>
          <w:i w:val="0"/>
          <w:color w:val="333333"/>
          <w:sz w:val="21"/>
        </w:rPr>
        <w:t>Onboard RTC with battery backup (DS3231 or equivalent) for accurate timestamping during power outages</w:t>
      </w:r>
    </w:p>
    <w:p>
      <w:pPr>
        <w:pStyle w:val="ListBullet"/>
        <w:spacing w:before="20" w:after="20"/>
        <w:ind w:left="680"/>
      </w:pPr>
      <w:r>
        <w:rPr>
          <w:rFonts w:ascii="Calibri" w:hAnsi="Calibri"/>
          <w:b w:val="0"/>
          <w:i w:val="0"/>
          <w:color w:val="333333"/>
          <w:sz w:val="21"/>
        </w:rPr>
        <w:t>Hardware watchdog timer for automatic recovery from software lockup</w:t>
      </w:r>
    </w:p>
    <w:p>
      <w:pPr>
        <w:pStyle w:val="ListBullet"/>
        <w:spacing w:before="20" w:after="20"/>
        <w:ind w:left="680"/>
      </w:pPr>
      <w:r>
        <w:rPr>
          <w:rFonts w:ascii="Calibri" w:hAnsi="Calibri"/>
          <w:b w:val="0"/>
          <w:i w:val="0"/>
          <w:color w:val="333333"/>
          <w:sz w:val="21"/>
        </w:rPr>
        <w:t>TPM 2.0 chip (SLB9670 or equivalent) for device identity and secure key storage</w:t>
      </w:r>
    </w:p>
    <w:p>
      <w:pPr>
        <w:pStyle w:val="ListBullet"/>
        <w:spacing w:before="20" w:after="20"/>
        <w:ind w:left="680"/>
      </w:pPr>
      <w:r>
        <w:rPr>
          <w:rFonts w:ascii="Calibri" w:hAnsi="Calibri"/>
          <w:b w:val="0"/>
          <w:i w:val="0"/>
          <w:color w:val="333333"/>
          <w:sz w:val="21"/>
        </w:rPr>
        <w:t>Status LED array driven by GPIO</w:t>
      </w:r>
    </w:p>
    <w:p>
      <w:r>
        <w:br w:type="page"/>
      </w:r>
    </w:p>
    <w:p>
      <w:pPr>
        <w:pStyle w:val="Heading1"/>
      </w:pPr>
      <w:r>
        <w:t>3. Supported Instrument Interfaces</w:t>
      </w:r>
    </w:p>
    <w:p>
      <w:pPr>
        <w:pStyle w:val="Heading3"/>
      </w:pPr>
      <w:r>
        <w:t>3.1 RS232 Serial (Primary — Current Support)</w:t>
      </w:r>
    </w:p>
    <w:p>
      <w:r>
        <w:rPr>
          <w:rFonts w:ascii="Calibri" w:hAnsi="Calibri"/>
          <w:b w:val="0"/>
          <w:i w:val="0"/>
          <w:color w:val="333333"/>
          <w:sz w:val="21"/>
        </w:rPr>
        <w:t>RS232 is the dominant physical interface for laboratory instruments manufactured between 1985 and 2015 and remains common in new instruments designed for regulated environments due to its deterministic, simplex nature.</w:t>
      </w:r>
    </w:p>
    <w:p>
      <w:r>
        <w:rPr>
          <w:rFonts w:ascii="Calibri" w:hAnsi="Calibri"/>
          <w:b/>
          <w:i w:val="0"/>
          <w:color w:val="333333"/>
          <w:sz w:val="21"/>
        </w:rPr>
        <w:t>Interface characteristics supported:</w:t>
      </w:r>
    </w:p>
    <w:tbl>
      <w:tblPr>
        <w:tblW w:type="auto" w:w="0"/>
        <w:jc w:val="center"/>
        <w:tblLayout w:type="autofit"/>
        <w:tblLook w:firstColumn="1" w:firstRow="1" w:lastColumn="0" w:lastRow="0" w:noHBand="0" w:noVBand="1" w:val="04A0"/>
      </w:tblPr>
      <w:tblGrid>
        <w:gridCol w:w="4703"/>
        <w:gridCol w:w="4703"/>
      </w:tblGrid>
      <w:tr>
        <w:tc>
          <w:tcPr>
            <w:tcW w:type="dxa" w:w="4703"/>
            <w:shd w:fill="0C2D5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i w:val="0"/>
                <w:color w:val="FFFFFF"/>
                <w:sz w:val="19"/>
              </w:rPr>
              <w:t>Parameter</w:t>
            </w:r>
          </w:p>
        </w:tc>
        <w:tc>
          <w:tcPr>
            <w:tcW w:type="dxa" w:w="4703"/>
            <w:shd w:fill="0C2D5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i w:val="0"/>
                <w:color w:val="FFFFFF"/>
                <w:sz w:val="19"/>
              </w:rPr>
              <w:t>Range / Values</w:t>
            </w:r>
          </w:p>
        </w:tc>
      </w:tr>
      <w:tr>
        <w:tc>
          <w:tcPr>
            <w:tcW w:type="dxa" w:w="4703"/>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Baud rates</w:t>
            </w:r>
          </w:p>
        </w:tc>
        <w:tc>
          <w:tcPr>
            <w:tcW w:type="dxa" w:w="4703"/>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300, 600, 1200, 2400, 4800, 9600, 19200, 38400, 57600, 115200 bps</w:t>
            </w:r>
          </w:p>
        </w:tc>
      </w:tr>
      <w:tr>
        <w:tc>
          <w:tcPr>
            <w:tcW w:type="dxa" w:w="4703"/>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Data bits</w:t>
            </w:r>
          </w:p>
        </w:tc>
        <w:tc>
          <w:tcPr>
            <w:tcW w:type="dxa" w:w="4703"/>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7 or 8</w:t>
            </w:r>
          </w:p>
        </w:tc>
      </w:tr>
      <w:tr>
        <w:tc>
          <w:tcPr>
            <w:tcW w:type="dxa" w:w="4703"/>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Parity</w:t>
            </w:r>
          </w:p>
        </w:tc>
        <w:tc>
          <w:tcPr>
            <w:tcW w:type="dxa" w:w="4703"/>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None, Even, Odd, Mark, Space</w:t>
            </w:r>
          </w:p>
        </w:tc>
      </w:tr>
      <w:tr>
        <w:tc>
          <w:tcPr>
            <w:tcW w:type="dxa" w:w="4703"/>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Stop bits</w:t>
            </w:r>
          </w:p>
        </w:tc>
        <w:tc>
          <w:tcPr>
            <w:tcW w:type="dxa" w:w="4703"/>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1 or 2</w:t>
            </w:r>
          </w:p>
        </w:tc>
      </w:tr>
      <w:tr>
        <w:tc>
          <w:tcPr>
            <w:tcW w:type="dxa" w:w="4703"/>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Flow control</w:t>
            </w:r>
          </w:p>
        </w:tc>
        <w:tc>
          <w:tcPr>
            <w:tcW w:type="dxa" w:w="4703"/>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None, Hardware (RTS/CTS), Software (XON/XOFF)</w:t>
            </w:r>
          </w:p>
        </w:tc>
      </w:tr>
      <w:tr>
        <w:tc>
          <w:tcPr>
            <w:tcW w:type="dxa" w:w="4703"/>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Voltage levels</w:t>
            </w:r>
          </w:p>
        </w:tc>
        <w:tc>
          <w:tcPr>
            <w:tcW w:type="dxa" w:w="4703"/>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Standard RS232 (+/-12V); tolerates +/-15V</w:t>
            </w:r>
          </w:p>
        </w:tc>
      </w:tr>
      <w:tr>
        <w:tc>
          <w:tcPr>
            <w:tcW w:type="dxa" w:w="4703"/>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Max cable length</w:t>
            </w:r>
          </w:p>
        </w:tc>
        <w:tc>
          <w:tcPr>
            <w:tcW w:type="dxa" w:w="4703"/>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15 m (50 ft) at 9600 baud; shorter at higher rates</w:t>
            </w:r>
          </w:p>
        </w:tc>
      </w:tr>
      <w:tr>
        <w:tc>
          <w:tcPr>
            <w:tcW w:type="dxa" w:w="4703"/>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Connector</w:t>
            </w:r>
          </w:p>
        </w:tc>
        <w:tc>
          <w:tcPr>
            <w:tcW w:type="dxa" w:w="4703"/>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DB9 Female on Box side; DB9 or DB25 on instrument side (cable adapters supplied)</w:t>
            </w:r>
          </w:p>
        </w:tc>
      </w:tr>
    </w:tbl>
    <w:p/>
    <w:p>
      <w:r>
        <w:rPr>
          <w:rFonts w:ascii="Calibri" w:hAnsi="Calibri"/>
          <w:b/>
          <w:i w:val="0"/>
          <w:color w:val="333333"/>
          <w:sz w:val="21"/>
        </w:rPr>
        <w:t>Configuration per port</w:t>
      </w:r>
      <w:r>
        <w:rPr>
          <w:rFonts w:ascii="Calibri" w:hAnsi="Calibri"/>
          <w:b w:val="0"/>
          <w:i w:val="0"/>
          <w:color w:val="333333"/>
          <w:sz w:val="21"/>
        </w:rPr>
        <w:t xml:space="preserve"> is stored in </w:t>
      </w:r>
      <w:r>
        <w:rPr>
          <w:rFonts w:ascii="Consolas" w:hAnsi="Consolas"/>
          <w:b w:val="0"/>
          <w:i w:val="0"/>
          <w:color w:val="1A1A2E"/>
          <w:sz w:val="18"/>
        </w:rPr>
        <w:t>/etc/bionexus/instruments.yaml</w:t>
      </w:r>
      <w:r>
        <w:rPr>
          <w:rFonts w:ascii="Calibri" w:hAnsi="Calibri"/>
          <w:b w:val="0"/>
          <w:i w:val="0"/>
          <w:color w:val="333333"/>
          <w:sz w:val="21"/>
        </w:rPr>
        <w:t xml:space="preserve"> and includes baud rate, parity, timeout, and parser module assignment.</w:t>
      </w:r>
    </w:p>
    <w:p>
      <w:pPr>
        <w:pStyle w:val="Heading3"/>
      </w:pPr>
      <w:r>
        <w:t>3.2 USB Serial (CDC-ACM and FTDI)</w:t>
      </w:r>
    </w:p>
    <w:p>
      <w:r>
        <w:rPr>
          <w:rFonts w:ascii="Calibri" w:hAnsi="Calibri"/>
          <w:b w:val="0"/>
          <w:i w:val="0"/>
          <w:color w:val="333333"/>
          <w:sz w:val="21"/>
        </w:rPr>
        <w:t>Many modern instruments present a USB interface that emulates a serial port. The Box supports:</w:t>
      </w:r>
    </w:p>
    <w:p>
      <w:pPr>
        <w:pStyle w:val="ListBullet"/>
        <w:spacing w:before="20" w:after="20"/>
        <w:ind w:left="680"/>
      </w:pPr>
      <w:r>
        <w:rPr>
          <w:rFonts w:ascii="Calibri" w:hAnsi="Calibri"/>
          <w:b/>
          <w:i w:val="0"/>
          <w:color w:val="333333"/>
          <w:sz w:val="21"/>
        </w:rPr>
        <w:t>USB CDC-ACM</w:t>
      </w:r>
      <w:r>
        <w:rPr>
          <w:rFonts w:ascii="Calibri" w:hAnsi="Calibri"/>
          <w:b w:val="0"/>
          <w:i w:val="0"/>
          <w:color w:val="333333"/>
          <w:sz w:val="21"/>
        </w:rPr>
        <w:t>: Linux kernel native driver (</w:t>
      </w:r>
      <w:r>
        <w:rPr>
          <w:rFonts w:ascii="Consolas" w:hAnsi="Consolas"/>
          <w:b w:val="0"/>
          <w:i w:val="0"/>
          <w:color w:val="1A1A2E"/>
          <w:sz w:val="18"/>
        </w:rPr>
        <w:t>cdc_acm</w:t>
      </w:r>
      <w:r>
        <w:rPr>
          <w:rFonts w:ascii="Calibri" w:hAnsi="Calibri"/>
          <w:b w:val="0"/>
          <w:i w:val="0"/>
          <w:color w:val="333333"/>
          <w:sz w:val="21"/>
        </w:rPr>
        <w:t xml:space="preserve">), no additional drivers needed. Instruments present as </w:t>
      </w:r>
      <w:r>
        <w:rPr>
          <w:rFonts w:ascii="Consolas" w:hAnsi="Consolas"/>
          <w:b w:val="0"/>
          <w:i w:val="0"/>
          <w:color w:val="1A1A2E"/>
          <w:sz w:val="18"/>
        </w:rPr>
        <w:t>/dev/ttyACM0</w:t>
      </w:r>
      <w:r>
        <w:rPr>
          <w:rFonts w:ascii="Calibri" w:hAnsi="Calibri"/>
          <w:b w:val="0"/>
          <w:i w:val="0"/>
          <w:color w:val="333333"/>
          <w:sz w:val="21"/>
        </w:rPr>
        <w:t xml:space="preserve">, </w:t>
      </w:r>
      <w:r>
        <w:rPr>
          <w:rFonts w:ascii="Consolas" w:hAnsi="Consolas"/>
          <w:b w:val="0"/>
          <w:i w:val="0"/>
          <w:color w:val="1A1A2E"/>
          <w:sz w:val="18"/>
        </w:rPr>
        <w:t>/dev/ttyACM1</w:t>
      </w:r>
      <w:r>
        <w:rPr>
          <w:rFonts w:ascii="Calibri" w:hAnsi="Calibri"/>
          <w:b w:val="0"/>
          <w:i w:val="0"/>
          <w:color w:val="333333"/>
          <w:sz w:val="21"/>
        </w:rPr>
        <w:t>, etc.</w:t>
      </w:r>
    </w:p>
    <w:p>
      <w:pPr>
        <w:pStyle w:val="ListBullet"/>
        <w:spacing w:before="20" w:after="20"/>
        <w:ind w:left="680"/>
      </w:pPr>
      <w:r>
        <w:rPr>
          <w:rFonts w:ascii="Calibri" w:hAnsi="Calibri"/>
          <w:b/>
          <w:i w:val="0"/>
          <w:color w:val="333333"/>
          <w:sz w:val="21"/>
        </w:rPr>
        <w:t>FTDI FT232R/FT2232</w:t>
      </w:r>
      <w:r>
        <w:rPr>
          <w:rFonts w:ascii="Calibri" w:hAnsi="Calibri"/>
          <w:b w:val="0"/>
          <w:i w:val="0"/>
          <w:color w:val="333333"/>
          <w:sz w:val="21"/>
        </w:rPr>
        <w:t xml:space="preserve">: Via kernel </w:t>
      </w:r>
      <w:r>
        <w:rPr>
          <w:rFonts w:ascii="Consolas" w:hAnsi="Consolas"/>
          <w:b w:val="0"/>
          <w:i w:val="0"/>
          <w:color w:val="1A1A2E"/>
          <w:sz w:val="18"/>
        </w:rPr>
        <w:t>ftdi_sio</w:t>
      </w:r>
      <w:r>
        <w:rPr>
          <w:rFonts w:ascii="Calibri" w:hAnsi="Calibri"/>
          <w:b w:val="0"/>
          <w:i w:val="0"/>
          <w:color w:val="333333"/>
          <w:sz w:val="21"/>
        </w:rPr>
        <w:t xml:space="preserve"> module. Instruments present as </w:t>
      </w:r>
      <w:r>
        <w:rPr>
          <w:rFonts w:ascii="Consolas" w:hAnsi="Consolas"/>
          <w:b w:val="0"/>
          <w:i w:val="0"/>
          <w:color w:val="1A1A2E"/>
          <w:sz w:val="18"/>
        </w:rPr>
        <w:t>/dev/ttyUSB0</w:t>
      </w:r>
      <w:r>
        <w:rPr>
          <w:rFonts w:ascii="Calibri" w:hAnsi="Calibri"/>
          <w:b w:val="0"/>
          <w:i w:val="0"/>
          <w:color w:val="333333"/>
          <w:sz w:val="21"/>
        </w:rPr>
        <w:t xml:space="preserve">, </w:t>
      </w:r>
      <w:r>
        <w:rPr>
          <w:rFonts w:ascii="Consolas" w:hAnsi="Consolas"/>
          <w:b w:val="0"/>
          <w:i w:val="0"/>
          <w:color w:val="1A1A2E"/>
          <w:sz w:val="18"/>
        </w:rPr>
        <w:t>/dev/ttyUSB1</w:t>
      </w:r>
      <w:r>
        <w:rPr>
          <w:rFonts w:ascii="Calibri" w:hAnsi="Calibri"/>
          <w:b w:val="0"/>
          <w:i w:val="0"/>
          <w:color w:val="333333"/>
          <w:sz w:val="21"/>
        </w:rPr>
        <w:t>, etc.</w:t>
      </w:r>
    </w:p>
    <w:p>
      <w:pPr>
        <w:pStyle w:val="ListBullet"/>
        <w:spacing w:before="20" w:after="20"/>
        <w:ind w:left="680"/>
      </w:pPr>
      <w:r>
        <w:rPr>
          <w:rFonts w:ascii="Calibri" w:hAnsi="Calibri"/>
          <w:b/>
          <w:i w:val="0"/>
          <w:color w:val="333333"/>
          <w:sz w:val="21"/>
        </w:rPr>
        <w:t>CH340/CH341</w:t>
      </w:r>
      <w:r>
        <w:rPr>
          <w:rFonts w:ascii="Calibri" w:hAnsi="Calibri"/>
          <w:b w:val="0"/>
          <w:i w:val="0"/>
          <w:color w:val="333333"/>
          <w:sz w:val="21"/>
        </w:rPr>
        <w:t xml:space="preserve">: Common on lower-cost USB-serial adapters. Supported via kernel </w:t>
      </w:r>
      <w:r>
        <w:rPr>
          <w:rFonts w:ascii="Consolas" w:hAnsi="Consolas"/>
          <w:b w:val="0"/>
          <w:i w:val="0"/>
          <w:color w:val="1A1A2E"/>
          <w:sz w:val="18"/>
        </w:rPr>
        <w:t>ch341</w:t>
      </w:r>
      <w:r>
        <w:rPr>
          <w:rFonts w:ascii="Calibri" w:hAnsi="Calibri"/>
          <w:b w:val="0"/>
          <w:i w:val="0"/>
          <w:color w:val="333333"/>
          <w:sz w:val="21"/>
        </w:rPr>
        <w:t xml:space="preserve"> module.</w:t>
      </w:r>
    </w:p>
    <w:p>
      <w:pPr>
        <w:pStyle w:val="ListBullet"/>
        <w:spacing w:before="20" w:after="20"/>
        <w:ind w:left="680"/>
      </w:pPr>
      <w:r>
        <w:rPr>
          <w:rFonts w:ascii="Calibri" w:hAnsi="Calibri"/>
          <w:b/>
          <w:i w:val="0"/>
          <w:color w:val="333333"/>
          <w:sz w:val="21"/>
        </w:rPr>
        <w:t>Prolific PL2303</w:t>
      </w:r>
      <w:r>
        <w:rPr>
          <w:rFonts w:ascii="Calibri" w:hAnsi="Calibri"/>
          <w:b w:val="0"/>
          <w:i w:val="0"/>
          <w:color w:val="333333"/>
          <w:sz w:val="21"/>
        </w:rPr>
        <w:t xml:space="preserve">: Supported via </w:t>
      </w:r>
      <w:r>
        <w:rPr>
          <w:rFonts w:ascii="Consolas" w:hAnsi="Consolas"/>
          <w:b w:val="0"/>
          <w:i w:val="0"/>
          <w:color w:val="1A1A2E"/>
          <w:sz w:val="18"/>
        </w:rPr>
        <w:t>pl2303</w:t>
      </w:r>
      <w:r>
        <w:rPr>
          <w:rFonts w:ascii="Calibri" w:hAnsi="Calibri"/>
          <w:b w:val="0"/>
          <w:i w:val="0"/>
          <w:color w:val="333333"/>
          <w:sz w:val="21"/>
        </w:rPr>
        <w:t xml:space="preserve"> kernel module.</w:t>
      </w:r>
    </w:p>
    <w:p>
      <w:r>
        <w:rPr>
          <w:rFonts w:ascii="Calibri" w:hAnsi="Calibri"/>
          <w:b w:val="0"/>
          <w:i w:val="0"/>
          <w:color w:val="333333"/>
          <w:sz w:val="21"/>
        </w:rPr>
        <w:t xml:space="preserve">USB device assignment is deterministic via </w:t>
      </w:r>
      <w:r>
        <w:rPr>
          <w:rFonts w:ascii="Consolas" w:hAnsi="Consolas"/>
          <w:b w:val="0"/>
          <w:i w:val="0"/>
          <w:color w:val="1A1A2E"/>
          <w:sz w:val="18"/>
        </w:rPr>
        <w:t>udev</w:t>
      </w:r>
      <w:r>
        <w:rPr>
          <w:rFonts w:ascii="Calibri" w:hAnsi="Calibri"/>
          <w:b w:val="0"/>
          <w:i w:val="0"/>
          <w:color w:val="333333"/>
          <w:sz w:val="21"/>
        </w:rPr>
        <w:t xml:space="preserve"> rules that bind device nodes to instrument identifiers by USB vendor ID, product ID, and serial number. This prevents port remapping when multiple USB instruments are connected.</w:t>
      </w:r>
    </w:p>
    <w:tbl>
      <w:tblPr>
        <w:tblW w:type="auto" w:w="0"/>
        <w:jc w:val="left"/>
        <w:tblLook w:firstColumn="1" w:firstRow="1" w:lastColumn="0" w:lastRow="0" w:noHBand="0" w:noVBand="1" w:val="04A0"/>
      </w:tblPr>
      <w:tblGrid>
        <w:gridCol w:w="9406"/>
      </w:tblGrid>
      <w:tr>
        <w:tc>
          <w:tcPr>
            <w:tcW w:type="dxa" w:w="9406"/>
            <w:shd w:fill="F0F2F5" w:val="clear"/>
            <w:tcBorders>
              <w:top w:val="single" w:sz="4" w:space="0" w:color="D0D5DD"/>
              <w:left w:val="single" w:sz="4" w:space="0" w:color="D0D5DD"/>
              <w:bottom w:val="single" w:sz="4" w:space="0" w:color="D0D5DD"/>
              <w:right w:val="single" w:sz="4" w:space="0" w:color="D0D5DD"/>
            </w:tcBorders>
            <w:tcMar>
              <w:top w:w="100" w:type="dxa"/>
              <w:bottom w:w="100" w:type="dxa"/>
              <w:left w:w="150" w:type="dxa"/>
              <w:right w:w="150" w:type="dxa"/>
            </w:tcMar>
          </w:tcPr>
          <w:p>
            <w:pPr>
              <w:spacing w:before="0" w:after="0" w:line="240" w:lineRule="auto"/>
            </w:pPr>
            <w:r>
              <w:rPr>
                <w:rFonts w:ascii="Consolas" w:hAnsi="Consolas"/>
                <w:color w:val="1A1A2E"/>
                <w:sz w:val="16"/>
              </w:rPr>
              <w:t># /etc/udev/rules.d/99-bionexus-instruments.rules</w:t>
              <w:br/>
              <w:t>SUBSYSTEM=="tty", ATTRS{idVendor}=="0403", ATTRS{idProduct}=="6001", \</w:t>
              <w:br/>
              <w:t xml:space="preserve">  ATTRS{serial}=="A50285BI", SYMLINK+="bionexus-hplc-1", MODE="0660", GROUP="bionexus"</w:t>
            </w:r>
          </w:p>
        </w:tc>
      </w:tr>
    </w:tbl>
    <w:p>
      <w:pPr>
        <w:spacing w:before="40" w:after="40"/>
      </w:pPr>
    </w:p>
    <w:p>
      <w:pPr>
        <w:pStyle w:val="Heading3"/>
      </w:pPr>
      <w:r>
        <w:t>3.3 TCP/IP Socket (Planned — Phase 2)</w:t>
      </w:r>
    </w:p>
    <w:p>
      <w:r>
        <w:rPr>
          <w:rFonts w:ascii="Calibri" w:hAnsi="Calibri"/>
          <w:b w:val="0"/>
          <w:i w:val="0"/>
          <w:color w:val="333333"/>
          <w:sz w:val="21"/>
        </w:rPr>
        <w:t>Newer instruments (Waters ACQUITY, Agilent OpenLAB-compatible analyzers) expose a TCP/IP socket or REST API on the local network. Phase 2 of the Box software will support:</w:t>
      </w:r>
    </w:p>
    <w:p>
      <w:pPr>
        <w:pStyle w:val="ListBullet"/>
        <w:spacing w:before="20" w:after="20"/>
        <w:ind w:left="680"/>
      </w:pPr>
      <w:r>
        <w:rPr>
          <w:rFonts w:ascii="Calibri" w:hAnsi="Calibri"/>
          <w:b w:val="0"/>
          <w:i w:val="0"/>
          <w:color w:val="333333"/>
          <w:sz w:val="21"/>
        </w:rPr>
        <w:t>Raw TCP socket polling (configurable host:port, poll interval, delimiter)</w:t>
      </w:r>
    </w:p>
    <w:p>
      <w:pPr>
        <w:pStyle w:val="ListBullet"/>
        <w:spacing w:before="20" w:after="20"/>
        <w:ind w:left="680"/>
      </w:pPr>
      <w:r>
        <w:rPr>
          <w:rFonts w:ascii="Calibri" w:hAnsi="Calibri"/>
          <w:b w:val="0"/>
          <w:i w:val="0"/>
          <w:color w:val="333333"/>
          <w:sz w:val="21"/>
        </w:rPr>
        <w:t>Modbus TCP (common in environmental monitoring instruments)</w:t>
      </w:r>
    </w:p>
    <w:p>
      <w:pPr>
        <w:pStyle w:val="ListBullet"/>
        <w:spacing w:before="20" w:after="20"/>
        <w:ind w:left="680"/>
      </w:pPr>
      <w:r>
        <w:rPr>
          <w:rFonts w:ascii="Calibri" w:hAnsi="Calibri"/>
          <w:b w:val="0"/>
          <w:i w:val="0"/>
          <w:color w:val="333333"/>
          <w:sz w:val="21"/>
        </w:rPr>
        <w:t>OPC-UA client (industry 4.0 instruments)</w:t>
      </w:r>
    </w:p>
    <w:p>
      <w:r>
        <w:rPr>
          <w:rFonts w:ascii="Calibri" w:hAnsi="Calibri"/>
          <w:b w:val="0"/>
          <w:i w:val="0"/>
          <w:color w:val="333333"/>
          <w:sz w:val="21"/>
        </w:rPr>
        <w:t>TCP/IP connections are initiated outbound from the Box, maintaining the same security boundary as RS232 capture. No inbound ports are opened on the instrument network.</w:t>
      </w:r>
    </w:p>
    <w:p>
      <w:pPr>
        <w:pStyle w:val="Heading3"/>
      </w:pPr>
      <w:r>
        <w:t>3.4 Analog Input (Future — Phase 3)</w:t>
      </w:r>
    </w:p>
    <w:p>
      <w:r>
        <w:rPr>
          <w:rFonts w:ascii="Calibri" w:hAnsi="Calibri"/>
          <w:b w:val="0"/>
          <w:i w:val="0"/>
          <w:color w:val="333333"/>
          <w:sz w:val="21"/>
        </w:rPr>
        <w:t>Direct 4–20 mA or 0–10V analog signal capture via ADC hat (e.g., Waveshare High-Precision AD/DA) for instruments that produce only analog output (legacy pH probes, temperature sensors).</w:t>
      </w:r>
    </w:p>
    <w:p>
      <w:pPr>
        <w:pStyle w:val="Heading3"/>
      </w:pPr>
      <w:r>
        <w:t>3.5 Interface Summary</w:t>
      </w:r>
    </w:p>
    <w:tbl>
      <w:tblPr>
        <w:tblW w:type="auto" w:w="0"/>
        <w:jc w:val="left"/>
        <w:tblLook w:firstColumn="1" w:firstRow="1" w:lastColumn="0" w:lastRow="0" w:noHBand="0" w:noVBand="1" w:val="04A0"/>
      </w:tblPr>
      <w:tblGrid>
        <w:gridCol w:w="9406"/>
      </w:tblGrid>
      <w:tr>
        <w:tc>
          <w:tcPr>
            <w:tcW w:type="dxa" w:w="9406"/>
            <w:shd w:fill="F0F2F5" w:val="clear"/>
            <w:tcBorders>
              <w:top w:val="single" w:sz="4" w:space="0" w:color="D0D5DD"/>
              <w:left w:val="single" w:sz="4" w:space="0" w:color="D0D5DD"/>
              <w:bottom w:val="single" w:sz="4" w:space="0" w:color="D0D5DD"/>
              <w:right w:val="single" w:sz="4" w:space="0" w:color="D0D5DD"/>
            </w:tcBorders>
            <w:tcMar>
              <w:top w:w="100" w:type="dxa"/>
              <w:bottom w:w="100" w:type="dxa"/>
              <w:left w:w="150" w:type="dxa"/>
              <w:right w:w="150" w:type="dxa"/>
            </w:tcMar>
          </w:tcPr>
          <w:p>
            <w:pPr>
              <w:spacing w:before="0" w:after="0" w:line="240" w:lineRule="auto"/>
            </w:pPr>
            <w:r>
              <w:rPr>
                <w:rFonts w:ascii="Consolas" w:hAnsi="Consolas"/>
                <w:color w:val="1A1A2E"/>
                <w:sz w:val="16"/>
              </w:rPr>
              <w:t>Interface        Status          Connector        Max Instruments</w:t>
              <w:br/>
              <w:t>-----------------------------------------------------------------</w:t>
              <w:br/>
              <w:t>RS232            Supported       DB9 / adapter    2 (native ports)</w:t>
              <w:br/>
              <w:t>USB Serial       Supported       USB-A            4 (via hub)</w:t>
              <w:br/>
              <w:t>TCP/IP Socket    Phase 2         Ethernet         Unlimited</w:t>
              <w:br/>
              <w:t>Modbus TCP       Phase 2         Ethernet         Unlimited</w:t>
              <w:br/>
              <w:t>OPC-UA           Phase 2         Ethernet         Unlimited</w:t>
              <w:br/>
              <w:t>Analog (ADC)     Phase 3         GPIO header      4 channels</w:t>
              <w:br/>
              <w:t>Bluetooth LE     Phase 3         USB dongle       TBD</w:t>
              <w:br/>
              <w:t>Wi-Fi            Phase 3         USB dongle       N/A (uplink)</w:t>
            </w:r>
          </w:p>
        </w:tc>
      </w:tr>
    </w:tbl>
    <w:p>
      <w:pPr>
        <w:spacing w:before="40" w:after="40"/>
      </w:pPr>
    </w:p>
    <w:p>
      <w:r>
        <w:br w:type="page"/>
      </w:r>
    </w:p>
    <w:p>
      <w:pPr>
        <w:pStyle w:val="Heading1"/>
      </w:pPr>
      <w:r>
        <w:t>4. Supported Instruments</w:t>
      </w:r>
    </w:p>
    <w:p>
      <w:pPr>
        <w:pStyle w:val="Heading3"/>
      </w:pPr>
      <w:r>
        <w:t>4.1 Instrument Categories and Common Data Formats</w:t>
      </w:r>
    </w:p>
    <w:p>
      <w:r>
        <w:rPr>
          <w:rFonts w:ascii="Calibri" w:hAnsi="Calibri"/>
          <w:b w:val="0"/>
          <w:i w:val="0"/>
          <w:color w:val="333333"/>
          <w:sz w:val="21"/>
        </w:rPr>
        <w:t>The BioNexus Box is instrument-agnostic at the hardware level. Support for specific instruments is implemented as parser modules in the Box software. The following categories are supported or planned:</w:t>
      </w:r>
    </w:p>
    <w:p>
      <w:pPr>
        <w:pStyle w:val="Heading4"/>
      </w:pPr>
      <w:r>
        <w:t>4.1.1 Dissolution Testers</w:t>
      </w:r>
    </w:p>
    <w:p>
      <w:r>
        <w:rPr>
          <w:rFonts w:ascii="Calibri" w:hAnsi="Calibri"/>
          <w:b/>
          <w:i w:val="0"/>
          <w:color w:val="333333"/>
          <w:sz w:val="21"/>
        </w:rPr>
        <w:t>Examples:</w:t>
      </w:r>
      <w:r>
        <w:rPr>
          <w:rFonts w:ascii="Calibri" w:hAnsi="Calibri"/>
          <w:b w:val="0"/>
          <w:i w:val="0"/>
          <w:color w:val="333333"/>
          <w:sz w:val="21"/>
        </w:rPr>
        <w:t xml:space="preserve"> Agilent 708-DS, Erweka DT820, Sotax AT7, Distek Premiere 5100</w:t>
      </w:r>
    </w:p>
    <w:p>
      <w:r>
        <w:rPr>
          <w:rFonts w:ascii="Calibri" w:hAnsi="Calibri"/>
          <w:b/>
          <w:i w:val="0"/>
          <w:color w:val="333333"/>
          <w:sz w:val="21"/>
        </w:rPr>
        <w:t>Output formats:</w:t>
      </w:r>
    </w:p>
    <w:p>
      <w:pPr>
        <w:pStyle w:val="ListBullet"/>
        <w:spacing w:before="20" w:after="20"/>
        <w:ind w:left="680"/>
      </w:pPr>
      <w:r>
        <w:rPr>
          <w:rFonts w:ascii="Calibri" w:hAnsi="Calibri"/>
          <w:b w:val="0"/>
          <w:i w:val="0"/>
          <w:color w:val="333333"/>
          <w:sz w:val="21"/>
        </w:rPr>
        <w:t>Fixed-width ASCII tables (most common)</w:t>
      </w:r>
    </w:p>
    <w:p>
      <w:pPr>
        <w:pStyle w:val="ListBullet"/>
        <w:spacing w:before="20" w:after="20"/>
        <w:ind w:left="680"/>
      </w:pPr>
      <w:r>
        <w:rPr>
          <w:rFonts w:ascii="Calibri" w:hAnsi="Calibri"/>
          <w:b w:val="0"/>
          <w:i w:val="0"/>
          <w:color w:val="333333"/>
          <w:sz w:val="21"/>
        </w:rPr>
        <w:t>CSV via RS232</w:t>
      </w:r>
    </w:p>
    <w:p>
      <w:pPr>
        <w:pStyle w:val="ListBullet"/>
        <w:spacing w:before="20" w:after="20"/>
        <w:ind w:left="680"/>
      </w:pPr>
      <w:r>
        <w:rPr>
          <w:rFonts w:ascii="Calibri" w:hAnsi="Calibri"/>
          <w:b w:val="0"/>
          <w:i w:val="0"/>
          <w:color w:val="333333"/>
          <w:sz w:val="21"/>
        </w:rPr>
        <w:t>USP apparatus type, paddle/basket speed (RPM), vessel temperature, time-point results (%dissolved)</w:t>
      </w:r>
    </w:p>
    <w:p>
      <w:r>
        <w:rPr>
          <w:rFonts w:ascii="Calibri" w:hAnsi="Calibri"/>
          <w:b/>
          <w:i w:val="0"/>
          <w:color w:val="333333"/>
          <w:sz w:val="21"/>
        </w:rPr>
        <w:t>Typical RS232 output:</w:t>
      </w:r>
    </w:p>
    <w:tbl>
      <w:tblPr>
        <w:tblW w:type="auto" w:w="0"/>
        <w:jc w:val="left"/>
        <w:tblLook w:firstColumn="1" w:firstRow="1" w:lastColumn="0" w:lastRow="0" w:noHBand="0" w:noVBand="1" w:val="04A0"/>
      </w:tblPr>
      <w:tblGrid>
        <w:gridCol w:w="9406"/>
      </w:tblGrid>
      <w:tr>
        <w:tc>
          <w:tcPr>
            <w:tcW w:type="dxa" w:w="9406"/>
            <w:shd w:fill="F0F2F5" w:val="clear"/>
            <w:tcBorders>
              <w:top w:val="single" w:sz="4" w:space="0" w:color="D0D5DD"/>
              <w:left w:val="single" w:sz="4" w:space="0" w:color="D0D5DD"/>
              <w:bottom w:val="single" w:sz="4" w:space="0" w:color="D0D5DD"/>
              <w:right w:val="single" w:sz="4" w:space="0" w:color="D0D5DD"/>
            </w:tcBorders>
            <w:tcMar>
              <w:top w:w="100" w:type="dxa"/>
              <w:bottom w:w="100" w:type="dxa"/>
              <w:left w:w="150" w:type="dxa"/>
              <w:right w:w="150" w:type="dxa"/>
            </w:tcMar>
          </w:tcPr>
          <w:p>
            <w:pPr>
              <w:spacing w:before="0" w:after="0" w:line="240" w:lineRule="auto"/>
            </w:pPr>
            <w:r>
              <w:rPr>
                <w:rFonts w:ascii="Consolas" w:hAnsi="Consolas"/>
                <w:color w:val="1A1A2E"/>
                <w:sz w:val="16"/>
              </w:rPr>
              <w:t>DISSOLUTION TESTER DT820</w:t>
              <w:br/>
              <w:t>BATCH: LOT-2026-0045</w:t>
              <w:br/>
              <w:t>APPARATUS: II PADDLE</w:t>
              <w:br/>
              <w:t>SPEED: 75 RPM</w:t>
              <w:br/>
              <w:t>TEMP: 37.0 C</w:t>
              <w:br/>
              <w:t>TIME  V1     V2     V3     V4     V5     V6</w:t>
              <w:br/>
              <w:t>15    12.4   12.1   12.6   12.3   12.5   12.2</w:t>
              <w:br/>
              <w:t>30    45.8   45.3   45.9   45.7   45.6   45.4</w:t>
              <w:br/>
              <w:t>45    78.3   78.1   78.4   78.2   78.5   78.0</w:t>
              <w:br/>
              <w:t>60    98.1   97.9   98.3   98.0   98.2   97.8</w:t>
              <w:br/>
              <w:t>END</w:t>
            </w:r>
          </w:p>
        </w:tc>
      </w:tr>
    </w:tbl>
    <w:p>
      <w:pPr>
        <w:spacing w:before="40" w:after="40"/>
      </w:pPr>
    </w:p>
    <w:p>
      <w:pPr>
        <w:pStyle w:val="Heading4"/>
      </w:pPr>
      <w:r>
        <w:t>4.1.2 HPLC Systems</w:t>
      </w:r>
    </w:p>
    <w:p>
      <w:r>
        <w:rPr>
          <w:rFonts w:ascii="Calibri" w:hAnsi="Calibri"/>
          <w:b/>
          <w:i w:val="0"/>
          <w:color w:val="333333"/>
          <w:sz w:val="21"/>
        </w:rPr>
        <w:t>Examples:</w:t>
      </w:r>
      <w:r>
        <w:rPr>
          <w:rFonts w:ascii="Calibri" w:hAnsi="Calibri"/>
          <w:b w:val="0"/>
          <w:i w:val="0"/>
          <w:color w:val="333333"/>
          <w:sz w:val="21"/>
        </w:rPr>
        <w:t xml:space="preserve"> Waters Alliance e2695, Agilent 1260 Infinity II, Shimadzu LC-20</w:t>
      </w:r>
    </w:p>
    <w:p>
      <w:r>
        <w:rPr>
          <w:rFonts w:ascii="Calibri" w:hAnsi="Calibri"/>
          <w:b/>
          <w:i w:val="0"/>
          <w:color w:val="333333"/>
          <w:sz w:val="21"/>
        </w:rPr>
        <w:t>Output formats:</w:t>
      </w:r>
    </w:p>
    <w:p>
      <w:pPr>
        <w:pStyle w:val="ListBullet"/>
        <w:spacing w:before="20" w:after="20"/>
        <w:ind w:left="680"/>
      </w:pPr>
      <w:r>
        <w:rPr>
          <w:rFonts w:ascii="Calibri" w:hAnsi="Calibri"/>
          <w:b w:val="0"/>
          <w:i w:val="0"/>
          <w:color w:val="333333"/>
          <w:sz w:val="21"/>
        </w:rPr>
        <w:t>Custom ASCII report formats (instrument-specific)</w:t>
      </w:r>
    </w:p>
    <w:p>
      <w:pPr>
        <w:pStyle w:val="ListBullet"/>
        <w:spacing w:before="20" w:after="20"/>
        <w:ind w:left="680"/>
      </w:pPr>
      <w:r>
        <w:rPr>
          <w:rFonts w:ascii="Calibri" w:hAnsi="Calibri"/>
          <w:b w:val="0"/>
          <w:i w:val="0"/>
          <w:color w:val="333333"/>
          <w:sz w:val="21"/>
        </w:rPr>
        <w:t>CSV export files (triggered at run end)</w:t>
      </w:r>
    </w:p>
    <w:p>
      <w:pPr>
        <w:pStyle w:val="ListBullet"/>
        <w:spacing w:before="20" w:after="20"/>
        <w:ind w:left="680"/>
      </w:pPr>
      <w:r>
        <w:rPr>
          <w:rFonts w:ascii="Calibri" w:hAnsi="Calibri"/>
          <w:b w:val="0"/>
          <w:i w:val="0"/>
          <w:color w:val="333333"/>
          <w:sz w:val="21"/>
        </w:rPr>
        <w:t>CDF/netCDF binary (requires converter)</w:t>
      </w:r>
    </w:p>
    <w:p>
      <w:pPr>
        <w:pStyle w:val="ListBullet"/>
        <w:spacing w:before="20" w:after="20"/>
        <w:ind w:left="680"/>
      </w:pPr>
      <w:r>
        <w:rPr>
          <w:rFonts w:ascii="Calibri" w:hAnsi="Calibri"/>
          <w:b w:val="0"/>
          <w:i w:val="0"/>
          <w:color w:val="333333"/>
          <w:sz w:val="21"/>
        </w:rPr>
        <w:t xml:space="preserve">Waters Empower </w:t>
      </w:r>
      <w:r>
        <w:rPr>
          <w:rFonts w:ascii="Consolas" w:hAnsi="Consolas"/>
          <w:b w:val="0"/>
          <w:i w:val="0"/>
          <w:color w:val="1A1A2E"/>
          <w:sz w:val="18"/>
        </w:rPr>
        <w:t>.arw</w:t>
      </w:r>
      <w:r>
        <w:rPr>
          <w:rFonts w:ascii="Calibri" w:hAnsi="Calibri"/>
          <w:b w:val="0"/>
          <w:i w:val="0"/>
          <w:color w:val="333333"/>
          <w:sz w:val="21"/>
        </w:rPr>
        <w:t xml:space="preserve"> report export (ASCII)</w:t>
      </w:r>
    </w:p>
    <w:p>
      <w:r>
        <w:rPr>
          <w:rFonts w:ascii="Calibri" w:hAnsi="Calibri"/>
          <w:b/>
          <w:i w:val="0"/>
          <w:color w:val="333333"/>
          <w:sz w:val="21"/>
        </w:rPr>
        <w:t>Data captured:</w:t>
      </w:r>
      <w:r>
        <w:rPr>
          <w:rFonts w:ascii="Calibri" w:hAnsi="Calibri"/>
          <w:b w:val="0"/>
          <w:i w:val="0"/>
          <w:color w:val="333333"/>
          <w:sz w:val="21"/>
        </w:rPr>
        <w:t xml:space="preserve"> Sample ID, method name, injection volume, column details, retention time, peak area, peak height, USP tailing factor, theoretical plates, run start/end timestamps.</w:t>
      </w:r>
    </w:p>
    <w:p>
      <w:r>
        <w:rPr>
          <w:rFonts w:ascii="Calibri" w:hAnsi="Calibri"/>
          <w:b/>
          <w:i w:val="0"/>
          <w:color w:val="333333"/>
          <w:sz w:val="21"/>
        </w:rPr>
        <w:t>Note:</w:t>
      </w:r>
      <w:r>
        <w:rPr>
          <w:rFonts w:ascii="Calibri" w:hAnsi="Calibri"/>
          <w:b w:val="0"/>
          <w:i w:val="0"/>
          <w:color w:val="333333"/>
          <w:sz w:val="21"/>
        </w:rPr>
        <w:t xml:space="preserve"> Full chromatogram data (raw ADC signal) is not currently captured; only the processed results table. Raw signal capture is on the roadmap.</w:t>
      </w:r>
    </w:p>
    <w:p>
      <w:pPr>
        <w:pStyle w:val="Heading4"/>
      </w:pPr>
      <w:r>
        <w:t>4.1.3 UV-Vis Spectrophotometers</w:t>
      </w:r>
    </w:p>
    <w:p>
      <w:r>
        <w:rPr>
          <w:rFonts w:ascii="Calibri" w:hAnsi="Calibri"/>
          <w:b/>
          <w:i w:val="0"/>
          <w:color w:val="333333"/>
          <w:sz w:val="21"/>
        </w:rPr>
        <w:t>Examples:</w:t>
      </w:r>
      <w:r>
        <w:rPr>
          <w:rFonts w:ascii="Calibri" w:hAnsi="Calibri"/>
          <w:b w:val="0"/>
          <w:i w:val="0"/>
          <w:color w:val="333333"/>
          <w:sz w:val="21"/>
        </w:rPr>
        <w:t xml:space="preserve"> Shimadzu UV-1900i, Mettler Toledo UV5Nano, Jasco V-730</w:t>
      </w:r>
    </w:p>
    <w:p>
      <w:r>
        <w:rPr>
          <w:rFonts w:ascii="Calibri" w:hAnsi="Calibri"/>
          <w:b/>
          <w:i w:val="0"/>
          <w:color w:val="333333"/>
          <w:sz w:val="21"/>
        </w:rPr>
        <w:t>Output formats:</w:t>
      </w:r>
    </w:p>
    <w:p>
      <w:pPr>
        <w:pStyle w:val="ListBullet"/>
        <w:spacing w:before="20" w:after="20"/>
        <w:ind w:left="680"/>
      </w:pPr>
      <w:r>
        <w:rPr>
          <w:rFonts w:ascii="Calibri" w:hAnsi="Calibri"/>
          <w:b w:val="0"/>
          <w:i w:val="0"/>
          <w:color w:val="333333"/>
          <w:sz w:val="21"/>
        </w:rPr>
        <w:t>Fixed-width ASCII tables</w:t>
      </w:r>
    </w:p>
    <w:p>
      <w:pPr>
        <w:pStyle w:val="ListBullet"/>
        <w:spacing w:before="20" w:after="20"/>
        <w:ind w:left="680"/>
      </w:pPr>
      <w:r>
        <w:rPr>
          <w:rFonts w:ascii="Calibri" w:hAnsi="Calibri"/>
          <w:b w:val="0"/>
          <w:i w:val="0"/>
          <w:color w:val="333333"/>
          <w:sz w:val="21"/>
        </w:rPr>
        <w:t>CSV</w:t>
      </w:r>
    </w:p>
    <w:p>
      <w:pPr>
        <w:pStyle w:val="ListBullet"/>
        <w:spacing w:before="20" w:after="20"/>
        <w:ind w:left="680"/>
      </w:pPr>
      <w:r>
        <w:rPr>
          <w:rFonts w:ascii="Calibri" w:hAnsi="Calibri"/>
          <w:b w:val="0"/>
          <w:i w:val="0"/>
          <w:color w:val="333333"/>
          <w:sz w:val="21"/>
        </w:rPr>
        <w:t>Wavelength scan data (wavelength vs. absorbance pairs)</w:t>
      </w:r>
    </w:p>
    <w:p>
      <w:pPr>
        <w:pStyle w:val="ListBullet"/>
        <w:spacing w:before="20" w:after="20"/>
        <w:ind w:left="680"/>
      </w:pPr>
      <w:r>
        <w:rPr>
          <w:rFonts w:ascii="Calibri" w:hAnsi="Calibri"/>
          <w:b w:val="0"/>
          <w:i w:val="0"/>
          <w:color w:val="333333"/>
          <w:sz w:val="21"/>
        </w:rPr>
        <w:t>Single-point absorbance at defined wavelengths</w:t>
      </w:r>
    </w:p>
    <w:p>
      <w:r>
        <w:rPr>
          <w:rFonts w:ascii="Calibri" w:hAnsi="Calibri"/>
          <w:b/>
          <w:i w:val="0"/>
          <w:color w:val="333333"/>
          <w:sz w:val="21"/>
        </w:rPr>
        <w:t>Data captured:</w:t>
      </w:r>
      <w:r>
        <w:rPr>
          <w:rFonts w:ascii="Calibri" w:hAnsi="Calibri"/>
          <w:b w:val="0"/>
          <w:i w:val="0"/>
          <w:color w:val="333333"/>
          <w:sz w:val="21"/>
        </w:rPr>
        <w:t xml:space="preserve"> Sample ID, wavelength(s), absorbance, transmittance, concentration (if calibration curve applied), path length, timestamp.</w:t>
      </w:r>
    </w:p>
    <w:p>
      <w:pPr>
        <w:pStyle w:val="Heading4"/>
      </w:pPr>
      <w:r>
        <w:t>4.1.4 pH / Conductivity Meters</w:t>
      </w:r>
    </w:p>
    <w:p>
      <w:r>
        <w:rPr>
          <w:rFonts w:ascii="Calibri" w:hAnsi="Calibri"/>
          <w:b/>
          <w:i w:val="0"/>
          <w:color w:val="333333"/>
          <w:sz w:val="21"/>
        </w:rPr>
        <w:t>Examples:</w:t>
      </w:r>
      <w:r>
        <w:rPr>
          <w:rFonts w:ascii="Calibri" w:hAnsi="Calibri"/>
          <w:b w:val="0"/>
          <w:i w:val="0"/>
          <w:color w:val="333333"/>
          <w:sz w:val="21"/>
        </w:rPr>
        <w:t xml:space="preserve"> Mettler Toledo SevenExcellence, Hanna HI5521, Sartorius PB-10</w:t>
      </w:r>
    </w:p>
    <w:p>
      <w:r>
        <w:rPr>
          <w:rFonts w:ascii="Calibri" w:hAnsi="Calibri"/>
          <w:b/>
          <w:i w:val="0"/>
          <w:color w:val="333333"/>
          <w:sz w:val="21"/>
        </w:rPr>
        <w:t>Output formats:</w:t>
      </w:r>
    </w:p>
    <w:p>
      <w:pPr>
        <w:pStyle w:val="ListBullet"/>
        <w:spacing w:before="20" w:after="20"/>
        <w:ind w:left="680"/>
      </w:pPr>
      <w:r>
        <w:rPr>
          <w:rFonts w:ascii="Calibri" w:hAnsi="Calibri"/>
          <w:b w:val="0"/>
          <w:i w:val="0"/>
          <w:color w:val="333333"/>
          <w:sz w:val="21"/>
        </w:rPr>
        <w:t xml:space="preserve">Simple delimited ASCII: </w:t>
      </w:r>
      <w:r>
        <w:rPr>
          <w:rFonts w:ascii="Consolas" w:hAnsi="Consolas"/>
          <w:b w:val="0"/>
          <w:i w:val="0"/>
          <w:color w:val="1A1A2E"/>
          <w:sz w:val="18"/>
        </w:rPr>
        <w:t>pH=7.42 T=23.1C COND=8.42mS/cm</w:t>
      </w:r>
    </w:p>
    <w:p>
      <w:pPr>
        <w:pStyle w:val="ListBullet"/>
        <w:spacing w:before="20" w:after="20"/>
        <w:ind w:left="680"/>
      </w:pPr>
      <w:r>
        <w:rPr>
          <w:rFonts w:ascii="Calibri" w:hAnsi="Calibri"/>
          <w:b w:val="0"/>
          <w:i w:val="0"/>
          <w:color w:val="333333"/>
          <w:sz w:val="21"/>
        </w:rPr>
        <w:t>GLP-format output blocks with instrument ID, calibration data, and result</w:t>
      </w:r>
    </w:p>
    <w:p>
      <w:r>
        <w:rPr>
          <w:rFonts w:ascii="Calibri" w:hAnsi="Calibri"/>
          <w:b/>
          <w:i w:val="0"/>
          <w:color w:val="333333"/>
          <w:sz w:val="21"/>
        </w:rPr>
        <w:t>Data captured:</w:t>
      </w:r>
      <w:r>
        <w:rPr>
          <w:rFonts w:ascii="Calibri" w:hAnsi="Calibri"/>
          <w:b w:val="0"/>
          <w:i w:val="0"/>
          <w:color w:val="333333"/>
          <w:sz w:val="21"/>
        </w:rPr>
        <w:t xml:space="preserve"> pH value, temperature compensation, conductivity/resistivity, electrode calibration date, operator ID, timestamp.</w:t>
      </w:r>
    </w:p>
    <w:p>
      <w:pPr>
        <w:pStyle w:val="Heading4"/>
      </w:pPr>
      <w:r>
        <w:t>4.1.5 Balances and Microbalances</w:t>
      </w:r>
    </w:p>
    <w:p>
      <w:r>
        <w:rPr>
          <w:rFonts w:ascii="Calibri" w:hAnsi="Calibri"/>
          <w:b/>
          <w:i w:val="0"/>
          <w:color w:val="333333"/>
          <w:sz w:val="21"/>
        </w:rPr>
        <w:t>Examples:</w:t>
      </w:r>
      <w:r>
        <w:rPr>
          <w:rFonts w:ascii="Calibri" w:hAnsi="Calibri"/>
          <w:b w:val="0"/>
          <w:i w:val="0"/>
          <w:color w:val="333333"/>
          <w:sz w:val="21"/>
        </w:rPr>
        <w:t xml:space="preserve"> Mettler Toledo XPR206, Sartorius Cubis II, Ohaus Pioneer</w:t>
      </w:r>
    </w:p>
    <w:p>
      <w:r>
        <w:rPr>
          <w:rFonts w:ascii="Calibri" w:hAnsi="Calibri"/>
          <w:b/>
          <w:i w:val="0"/>
          <w:color w:val="333333"/>
          <w:sz w:val="21"/>
        </w:rPr>
        <w:t>Output formats:</w:t>
      </w:r>
    </w:p>
    <w:p>
      <w:pPr>
        <w:pStyle w:val="ListBullet"/>
        <w:spacing w:before="20" w:after="20"/>
        <w:ind w:left="680"/>
      </w:pPr>
      <w:r>
        <w:rPr>
          <w:rFonts w:ascii="Calibri" w:hAnsi="Calibri"/>
          <w:b w:val="0"/>
          <w:i w:val="0"/>
          <w:color w:val="333333"/>
          <w:sz w:val="21"/>
        </w:rPr>
        <w:t xml:space="preserve">Simple net weight string: </w:t>
      </w:r>
      <w:r>
        <w:rPr>
          <w:rFonts w:ascii="Consolas" w:hAnsi="Consolas"/>
          <w:b w:val="0"/>
          <w:i w:val="0"/>
          <w:color w:val="1A1A2E"/>
          <w:sz w:val="18"/>
        </w:rPr>
        <w:t>N   10.4321 g</w:t>
      </w:r>
    </w:p>
    <w:p>
      <w:pPr>
        <w:pStyle w:val="ListBullet"/>
        <w:spacing w:before="20" w:after="20"/>
        <w:ind w:left="680"/>
      </w:pPr>
      <w:r>
        <w:rPr>
          <w:rFonts w:ascii="Calibri" w:hAnsi="Calibri"/>
          <w:b w:val="0"/>
          <w:i w:val="0"/>
          <w:color w:val="333333"/>
          <w:sz w:val="21"/>
        </w:rPr>
        <w:t>GLP-format printout with header, result, and signature</w:t>
      </w:r>
    </w:p>
    <w:p>
      <w:pPr>
        <w:pStyle w:val="ListBullet"/>
        <w:spacing w:before="20" w:after="20"/>
        <w:ind w:left="680"/>
      </w:pPr>
      <w:r>
        <w:rPr>
          <w:rFonts w:ascii="Calibri" w:hAnsi="Calibri"/>
          <w:b w:val="0"/>
          <w:i w:val="0"/>
          <w:color w:val="333333"/>
          <w:sz w:val="21"/>
        </w:rPr>
        <w:t>SBI (Simple Balance Interface) command/response protocol</w:t>
      </w:r>
    </w:p>
    <w:p>
      <w:r>
        <w:rPr>
          <w:rFonts w:ascii="Calibri" w:hAnsi="Calibri"/>
          <w:b/>
          <w:i w:val="0"/>
          <w:color w:val="333333"/>
          <w:sz w:val="21"/>
        </w:rPr>
        <w:t>Data captured:</w:t>
      </w:r>
      <w:r>
        <w:rPr>
          <w:rFonts w:ascii="Calibri" w:hAnsi="Calibri"/>
          <w:b w:val="0"/>
          <w:i w:val="0"/>
          <w:color w:val="333333"/>
          <w:sz w:val="21"/>
        </w:rPr>
        <w:t xml:space="preserve"> Net weight, gross weight, tare weight, unit, stability flag, balance ID, timestamp.</w:t>
      </w:r>
    </w:p>
    <w:p>
      <w:pPr>
        <w:pStyle w:val="Heading4"/>
      </w:pPr>
      <w:r>
        <w:t>4.1.6 Karl Fischer Titrators</w:t>
      </w:r>
    </w:p>
    <w:p>
      <w:r>
        <w:rPr>
          <w:rFonts w:ascii="Calibri" w:hAnsi="Calibri"/>
          <w:b/>
          <w:i w:val="0"/>
          <w:color w:val="333333"/>
          <w:sz w:val="21"/>
        </w:rPr>
        <w:t>Examples:</w:t>
      </w:r>
      <w:r>
        <w:rPr>
          <w:rFonts w:ascii="Calibri" w:hAnsi="Calibri"/>
          <w:b w:val="0"/>
          <w:i w:val="0"/>
          <w:color w:val="333333"/>
          <w:sz w:val="21"/>
        </w:rPr>
        <w:t xml:space="preserve"> Mettler Toledo V20S, Metrohm 851 Titrando, Hydranal-series</w:t>
      </w:r>
    </w:p>
    <w:p>
      <w:r>
        <w:rPr>
          <w:rFonts w:ascii="Calibri" w:hAnsi="Calibri"/>
          <w:b/>
          <w:i w:val="0"/>
          <w:color w:val="333333"/>
          <w:sz w:val="21"/>
        </w:rPr>
        <w:t>Output formats:</w:t>
      </w:r>
    </w:p>
    <w:p>
      <w:pPr>
        <w:pStyle w:val="ListBullet"/>
        <w:spacing w:before="20" w:after="20"/>
        <w:ind w:left="680"/>
      </w:pPr>
      <w:r>
        <w:rPr>
          <w:rFonts w:ascii="Calibri" w:hAnsi="Calibri"/>
          <w:b w:val="0"/>
          <w:i w:val="0"/>
          <w:color w:val="333333"/>
          <w:sz w:val="21"/>
        </w:rPr>
        <w:t>Fixed ASCII results block</w:t>
      </w:r>
    </w:p>
    <w:p>
      <w:pPr>
        <w:pStyle w:val="ListBullet"/>
        <w:spacing w:before="20" w:after="20"/>
        <w:ind w:left="680"/>
      </w:pPr>
      <w:r>
        <w:rPr>
          <w:rFonts w:ascii="Calibri" w:hAnsi="Calibri"/>
          <w:b w:val="0"/>
          <w:i w:val="0"/>
          <w:color w:val="333333"/>
          <w:sz w:val="21"/>
        </w:rPr>
        <w:t>CSV</w:t>
      </w:r>
    </w:p>
    <w:p>
      <w:pPr>
        <w:pStyle w:val="ListBullet"/>
        <w:spacing w:before="20" w:after="20"/>
        <w:ind w:left="680"/>
      </w:pPr>
      <w:r>
        <w:rPr>
          <w:rFonts w:ascii="Calibri" w:hAnsi="Calibri"/>
          <w:b w:val="0"/>
          <w:i w:val="0"/>
          <w:color w:val="333333"/>
          <w:sz w:val="21"/>
        </w:rPr>
        <w:t>Content: water content (mg or %), sample weight, titration volume, endpoint, drift</w:t>
      </w:r>
    </w:p>
    <w:p>
      <w:pPr>
        <w:pStyle w:val="Heading4"/>
      </w:pPr>
      <w:r>
        <w:t>4.1.7 Environmental Monitoring (Temperature, RH)</w:t>
      </w:r>
    </w:p>
    <w:p>
      <w:r>
        <w:rPr>
          <w:rFonts w:ascii="Calibri" w:hAnsi="Calibri"/>
          <w:b/>
          <w:i w:val="0"/>
          <w:color w:val="333333"/>
          <w:sz w:val="21"/>
        </w:rPr>
        <w:t>Examples:</w:t>
      </w:r>
      <w:r>
        <w:rPr>
          <w:rFonts w:ascii="Calibri" w:hAnsi="Calibri"/>
          <w:b w:val="0"/>
          <w:i w:val="0"/>
          <w:color w:val="333333"/>
          <w:sz w:val="21"/>
        </w:rPr>
        <w:t xml:space="preserve"> Vaisala HMT330, Testo 176 H1, TSI Quest</w:t>
      </w:r>
    </w:p>
    <w:p>
      <w:r>
        <w:rPr>
          <w:rFonts w:ascii="Calibri" w:hAnsi="Calibri"/>
          <w:b/>
          <w:i w:val="0"/>
          <w:color w:val="333333"/>
          <w:sz w:val="21"/>
        </w:rPr>
        <w:t>Output formats:</w:t>
      </w:r>
    </w:p>
    <w:p>
      <w:pPr>
        <w:pStyle w:val="ListBullet"/>
        <w:spacing w:before="20" w:after="20"/>
        <w:ind w:left="680"/>
      </w:pPr>
      <w:r>
        <w:rPr>
          <w:rFonts w:ascii="Calibri" w:hAnsi="Calibri"/>
          <w:b w:val="0"/>
          <w:i w:val="0"/>
          <w:color w:val="333333"/>
          <w:sz w:val="21"/>
        </w:rPr>
        <w:t>Continuous streaming ASCII (one reading per line)</w:t>
      </w:r>
    </w:p>
    <w:p>
      <w:pPr>
        <w:pStyle w:val="ListBullet"/>
        <w:spacing w:before="20" w:after="20"/>
        <w:ind w:left="680"/>
      </w:pPr>
      <w:r>
        <w:rPr>
          <w:rFonts w:ascii="Calibri" w:hAnsi="Calibri"/>
          <w:b w:val="0"/>
          <w:i w:val="0"/>
          <w:color w:val="333333"/>
          <w:sz w:val="21"/>
        </w:rPr>
        <w:t>Modbus RTU (via RS232/RS485)</w:t>
      </w:r>
    </w:p>
    <w:p>
      <w:r>
        <w:rPr>
          <w:rFonts w:ascii="Calibri" w:hAnsi="Calibri"/>
          <w:b/>
          <w:i w:val="0"/>
          <w:color w:val="333333"/>
          <w:sz w:val="21"/>
        </w:rPr>
        <w:t>Data captured:</w:t>
      </w:r>
      <w:r>
        <w:rPr>
          <w:rFonts w:ascii="Calibri" w:hAnsi="Calibri"/>
          <w:b w:val="0"/>
          <w:i w:val="0"/>
          <w:color w:val="333333"/>
          <w:sz w:val="21"/>
        </w:rPr>
        <w:t xml:space="preserve"> Temperature (°C), relative humidity (%), dew point, timestamp; alarm thresholds compared against configured limits.</w:t>
      </w:r>
    </w:p>
    <w:p>
      <w:pPr>
        <w:pStyle w:val="Heading4"/>
      </w:pPr>
      <w:r>
        <w:t>4.2 Parser Module System</w:t>
      </w:r>
    </w:p>
    <w:p>
      <w:r>
        <w:rPr>
          <w:rFonts w:ascii="Calibri" w:hAnsi="Calibri"/>
          <w:b w:val="0"/>
          <w:i w:val="0"/>
          <w:color w:val="333333"/>
          <w:sz w:val="21"/>
        </w:rPr>
        <w:t>Each instrument category (and often specific instrument models) has a corresponding Python parser module on the Box:</w:t>
      </w:r>
    </w:p>
    <w:tbl>
      <w:tblPr>
        <w:tblW w:type="auto" w:w="0"/>
        <w:jc w:val="left"/>
        <w:tblLook w:firstColumn="1" w:firstRow="1" w:lastColumn="0" w:lastRow="0" w:noHBand="0" w:noVBand="1" w:val="04A0"/>
      </w:tblPr>
      <w:tblGrid>
        <w:gridCol w:w="9406"/>
      </w:tblGrid>
      <w:tr>
        <w:tc>
          <w:tcPr>
            <w:tcW w:type="dxa" w:w="9406"/>
            <w:shd w:fill="F0F2F5" w:val="clear"/>
            <w:tcBorders>
              <w:top w:val="single" w:sz="4" w:space="0" w:color="D0D5DD"/>
              <w:left w:val="single" w:sz="4" w:space="0" w:color="D0D5DD"/>
              <w:bottom w:val="single" w:sz="4" w:space="0" w:color="D0D5DD"/>
              <w:right w:val="single" w:sz="4" w:space="0" w:color="D0D5DD"/>
            </w:tcBorders>
            <w:tcMar>
              <w:top w:w="100" w:type="dxa"/>
              <w:bottom w:w="100" w:type="dxa"/>
              <w:left w:w="150" w:type="dxa"/>
              <w:right w:w="150" w:type="dxa"/>
            </w:tcMar>
          </w:tcPr>
          <w:p>
            <w:pPr>
              <w:spacing w:before="0" w:after="0" w:line="240" w:lineRule="auto"/>
            </w:pPr>
            <w:r>
              <w:rPr>
                <w:rFonts w:ascii="Consolas" w:hAnsi="Consolas"/>
                <w:color w:val="1A1A2E"/>
                <w:sz w:val="16"/>
              </w:rPr>
              <w:t>/opt/bionexus/parsers/</w:t>
              <w:br/>
              <w:t>├── base_parser.py              # Abstract base class</w:t>
              <w:br/>
              <w:t>├── dissolution/</w:t>
              <w:br/>
              <w:t>│   ├── generic_ascii.py</w:t>
              <w:br/>
              <w:t>│   ├── erweka_dt820.py</w:t>
              <w:br/>
              <w:t>│   └── sotax_at7.py</w:t>
              <w:br/>
              <w:t>├── hplc/</w:t>
              <w:br/>
              <w:t>│   ├── waters_arw.py</w:t>
              <w:br/>
              <w:t>│   ├── agilent_chemstation.py</w:t>
              <w:br/>
              <w:t>│   └── shimadzu_lc20.py</w:t>
              <w:br/>
              <w:t>├── spectrophotometry/</w:t>
              <w:br/>
              <w:t>│   ├── generic_uv.py</w:t>
              <w:br/>
              <w:t>│   └── shimadzu_uv1900.py</w:t>
              <w:br/>
              <w:t>├── ph_conductivity/</w:t>
              <w:br/>
              <w:t>│   ├── mettler_seven.py</w:t>
              <w:br/>
              <w:t>│   └── generic_ph.py</w:t>
              <w:br/>
              <w:t>├── balance/</w:t>
              <w:br/>
              <w:t>│   ├── sbi_protocol.py</w:t>
              <w:br/>
              <w:t>│   └── mettler_xpr.py</w:t>
              <w:br/>
              <w:t>└── environmental/</w:t>
              <w:br/>
              <w:t xml:space="preserve">    ├── continuous_stream.py</w:t>
              <w:br/>
              <w:t xml:space="preserve">    └── modbus_rtu.py</w:t>
            </w:r>
          </w:p>
        </w:tc>
      </w:tr>
    </w:tbl>
    <w:p>
      <w:pPr>
        <w:spacing w:before="40" w:after="40"/>
      </w:pPr>
    </w:p>
    <w:p>
      <w:r>
        <w:rPr>
          <w:rFonts w:ascii="Calibri" w:hAnsi="Calibri"/>
          <w:b w:val="0"/>
          <w:i w:val="0"/>
          <w:color w:val="333333"/>
          <w:sz w:val="21"/>
        </w:rPr>
        <w:t>The parser base class defines the contract:</w:t>
      </w:r>
    </w:p>
    <w:tbl>
      <w:tblPr>
        <w:tblW w:type="auto" w:w="0"/>
        <w:jc w:val="left"/>
        <w:tblLook w:firstColumn="1" w:firstRow="1" w:lastColumn="0" w:lastRow="0" w:noHBand="0" w:noVBand="1" w:val="04A0"/>
      </w:tblPr>
      <w:tblGrid>
        <w:gridCol w:w="9406"/>
      </w:tblGrid>
      <w:tr>
        <w:tc>
          <w:tcPr>
            <w:tcW w:type="dxa" w:w="9406"/>
            <w:shd w:fill="F0F2F5" w:val="clear"/>
            <w:tcBorders>
              <w:top w:val="single" w:sz="4" w:space="0" w:color="D0D5DD"/>
              <w:left w:val="single" w:sz="4" w:space="0" w:color="D0D5DD"/>
              <w:bottom w:val="single" w:sz="4" w:space="0" w:color="D0D5DD"/>
              <w:right w:val="single" w:sz="4" w:space="0" w:color="D0D5DD"/>
            </w:tcBorders>
            <w:tcMar>
              <w:top w:w="100" w:type="dxa"/>
              <w:bottom w:w="100" w:type="dxa"/>
              <w:left w:w="150" w:type="dxa"/>
              <w:right w:w="150" w:type="dxa"/>
            </w:tcMar>
          </w:tcPr>
          <w:p>
            <w:pPr>
              <w:spacing w:before="0" w:after="0" w:line="240" w:lineRule="auto"/>
            </w:pPr>
            <w:r>
              <w:rPr>
                <w:rFonts w:ascii="Consolas" w:hAnsi="Consolas"/>
                <w:color w:val="1A1A2E"/>
                <w:sz w:val="16"/>
              </w:rPr>
              <w:t>class BaseParser:</w:t>
              <w:br/>
              <w:t xml:space="preserve">    def parse(self, raw_bytes: bytes) -&gt; ParsedReading | None:</w:t>
              <w:br/>
              <w:t xml:space="preserve">        """</w:t>
              <w:br/>
              <w:t xml:space="preserve">        Parse raw bytes from instrument serial port.</w:t>
              <w:br/>
              <w:t xml:space="preserve">        Returns a ParsedReading on success, None if incomplete buffer,</w:t>
              <w:br/>
              <w:t xml:space="preserve">        raises ParserError on malformed data.</w:t>
              <w:br/>
              <w:t xml:space="preserve">        """</w:t>
              <w:br/>
              <w:t xml:space="preserve">        raise NotImplementedError</w:t>
              <w:br/>
              <w:br/>
              <w:t xml:space="preserve">    def get_schema(self) -&gt; dict:</w:t>
              <w:br/>
              <w:t xml:space="preserve">        """Return JSON Schema for this parser's output."""</w:t>
              <w:br/>
              <w:t xml:space="preserve">        raise NotImplementedError</w:t>
            </w:r>
          </w:p>
        </w:tc>
      </w:tr>
    </w:tbl>
    <w:p>
      <w:pPr>
        <w:spacing w:before="40" w:after="40"/>
      </w:pPr>
    </w:p>
    <w:p>
      <w:r>
        <w:br w:type="page"/>
      </w:r>
    </w:p>
    <w:p>
      <w:pPr>
        <w:pStyle w:val="Heading1"/>
      </w:pPr>
      <w:r>
        <w:t>5. Software Architecture</w:t>
      </w:r>
    </w:p>
    <w:p>
      <w:pPr>
        <w:pStyle w:val="Heading3"/>
      </w:pPr>
      <w:r>
        <w:t>5.1 Operating System</w:t>
      </w:r>
    </w:p>
    <w:p>
      <w:r>
        <w:rPr>
          <w:rFonts w:ascii="Calibri" w:hAnsi="Calibri"/>
          <w:b w:val="0"/>
          <w:i w:val="0"/>
          <w:color w:val="333333"/>
          <w:sz w:val="21"/>
        </w:rPr>
        <w:t xml:space="preserve">The Box runs </w:t>
      </w:r>
      <w:r>
        <w:rPr>
          <w:rFonts w:ascii="Calibri" w:hAnsi="Calibri"/>
          <w:b/>
          <w:i w:val="0"/>
          <w:color w:val="333333"/>
          <w:sz w:val="21"/>
        </w:rPr>
        <w:t>Raspberry Pi OS Lite (64-bit)</w:t>
      </w:r>
      <w:r>
        <w:rPr>
          <w:rFonts w:ascii="Calibri" w:hAnsi="Calibri"/>
          <w:b w:val="0"/>
          <w:i w:val="0"/>
          <w:color w:val="333333"/>
          <w:sz w:val="21"/>
        </w:rPr>
        <w:t xml:space="preserve"> based on Debian 12 (Bookworm), configured headless with no desktop environment. The OS is hardened post-installation:</w:t>
      </w:r>
    </w:p>
    <w:p>
      <w:pPr>
        <w:pStyle w:val="ListBullet"/>
        <w:spacing w:before="20" w:after="20"/>
        <w:ind w:left="680"/>
      </w:pPr>
      <w:r>
        <w:rPr>
          <w:rFonts w:ascii="Calibri" w:hAnsi="Calibri"/>
          <w:b w:val="0"/>
          <w:i w:val="0"/>
          <w:color w:val="333333"/>
          <w:sz w:val="21"/>
        </w:rPr>
        <w:t>Unused services and packages removed (Avahi, Bluetooth daemon, triggerhappy, etc.)</w:t>
      </w:r>
    </w:p>
    <w:p>
      <w:pPr>
        <w:pStyle w:val="ListBullet"/>
        <w:spacing w:before="20" w:after="20"/>
        <w:ind w:left="680"/>
      </w:pPr>
      <w:r>
        <w:rPr>
          <w:rFonts w:ascii="Consolas" w:hAnsi="Consolas"/>
          <w:b w:val="0"/>
          <w:i w:val="0"/>
          <w:color w:val="1A1A2E"/>
          <w:sz w:val="18"/>
        </w:rPr>
        <w:t>sshd</w:t>
      </w:r>
      <w:r>
        <w:rPr>
          <w:rFonts w:ascii="Calibri" w:hAnsi="Calibri"/>
          <w:b w:val="0"/>
          <w:i w:val="0"/>
          <w:color w:val="333333"/>
          <w:sz w:val="21"/>
        </w:rPr>
        <w:t xml:space="preserve"> enabled for remote diagnostics with key-based authentication only (password auth disabled)</w:t>
      </w:r>
    </w:p>
    <w:p>
      <w:pPr>
        <w:pStyle w:val="ListBullet"/>
        <w:spacing w:before="20" w:after="20"/>
        <w:ind w:left="680"/>
      </w:pPr>
      <w:r>
        <w:rPr>
          <w:rFonts w:ascii="Calibri" w:hAnsi="Calibri"/>
          <w:b w:val="0"/>
          <w:i w:val="0"/>
          <w:color w:val="333333"/>
          <w:sz w:val="21"/>
        </w:rPr>
        <w:t xml:space="preserve">Automatic security updates enabled via </w:t>
      </w:r>
      <w:r>
        <w:rPr>
          <w:rFonts w:ascii="Consolas" w:hAnsi="Consolas"/>
          <w:b w:val="0"/>
          <w:i w:val="0"/>
          <w:color w:val="1A1A2E"/>
          <w:sz w:val="18"/>
        </w:rPr>
        <w:t>unattended-upgrades</w:t>
      </w:r>
      <w:r>
        <w:rPr>
          <w:rFonts w:ascii="Calibri" w:hAnsi="Calibri"/>
          <w:b w:val="0"/>
          <w:i w:val="0"/>
          <w:color w:val="333333"/>
          <w:sz w:val="21"/>
        </w:rPr>
        <w:t xml:space="preserve"> for OS packages</w:t>
      </w:r>
    </w:p>
    <w:p>
      <w:pPr>
        <w:pStyle w:val="ListBullet"/>
        <w:spacing w:before="20" w:after="20"/>
        <w:ind w:left="680"/>
      </w:pPr>
      <w:r>
        <w:rPr>
          <w:rFonts w:ascii="Calibri" w:hAnsi="Calibri"/>
          <w:b w:val="0"/>
          <w:i w:val="0"/>
          <w:color w:val="333333"/>
          <w:sz w:val="21"/>
        </w:rPr>
        <w:t>All BioNexus services run under a dedicated unprivileged system account (</w:t>
      </w:r>
      <w:r>
        <w:rPr>
          <w:rFonts w:ascii="Consolas" w:hAnsi="Consolas"/>
          <w:b w:val="0"/>
          <w:i w:val="0"/>
          <w:color w:val="1A1A2E"/>
          <w:sz w:val="18"/>
        </w:rPr>
        <w:t>bionexus</w:t>
      </w:r>
      <w:r>
        <w:rPr>
          <w:rFonts w:ascii="Calibri" w:hAnsi="Calibri"/>
          <w:b w:val="0"/>
          <w:i w:val="0"/>
          <w:color w:val="333333"/>
          <w:sz w:val="21"/>
        </w:rPr>
        <w:t>, UID 999)</w:t>
      </w:r>
    </w:p>
    <w:p>
      <w:pPr>
        <w:pStyle w:val="ListBullet"/>
        <w:spacing w:before="20" w:after="20"/>
        <w:ind w:left="680"/>
      </w:pPr>
      <w:r>
        <w:rPr>
          <w:rFonts w:ascii="Consolas" w:hAnsi="Consolas"/>
          <w:b w:val="0"/>
          <w:i w:val="0"/>
          <w:color w:val="1A1A2E"/>
          <w:sz w:val="18"/>
        </w:rPr>
        <w:t>firewalld</w:t>
      </w:r>
      <w:r>
        <w:rPr>
          <w:rFonts w:ascii="Calibri" w:hAnsi="Calibri"/>
          <w:b w:val="0"/>
          <w:i w:val="0"/>
          <w:color w:val="333333"/>
          <w:sz w:val="21"/>
        </w:rPr>
        <w:t xml:space="preserve"> or </w:t>
      </w:r>
      <w:r>
        <w:rPr>
          <w:rFonts w:ascii="Consolas" w:hAnsi="Consolas"/>
          <w:b w:val="0"/>
          <w:i w:val="0"/>
          <w:color w:val="1A1A2E"/>
          <w:sz w:val="18"/>
        </w:rPr>
        <w:t>nftables</w:t>
      </w:r>
      <w:r>
        <w:rPr>
          <w:rFonts w:ascii="Calibri" w:hAnsi="Calibri"/>
          <w:b w:val="0"/>
          <w:i w:val="0"/>
          <w:color w:val="333333"/>
          <w:sz w:val="21"/>
        </w:rPr>
        <w:t xml:space="preserve"> configured to block all inbound connections except SSH (port 22, restricted to BioNexus management IP range)</w:t>
      </w:r>
    </w:p>
    <w:p>
      <w:pPr>
        <w:pStyle w:val="ListBullet"/>
        <w:spacing w:before="20" w:after="20"/>
        <w:ind w:left="680"/>
      </w:pPr>
      <w:r>
        <w:rPr>
          <w:rFonts w:ascii="Calibri" w:hAnsi="Calibri"/>
          <w:b w:val="0"/>
          <w:i w:val="0"/>
          <w:color w:val="333333"/>
          <w:sz w:val="21"/>
        </w:rPr>
        <w:t>Kernel parameters hardened: ASLR enabled, IP forwarding disabled, source routing disabled</w:t>
      </w:r>
    </w:p>
    <w:p>
      <w:r>
        <w:rPr>
          <w:rFonts w:ascii="Calibri" w:hAnsi="Calibri"/>
          <w:b w:val="0"/>
          <w:i w:val="0"/>
          <w:color w:val="333333"/>
          <w:sz w:val="21"/>
        </w:rPr>
        <w:t>For industrial SBC alternatives (Advantech, Moxa), the same hardening is applied to their respective Debian/Ubuntu base images.</w:t>
      </w:r>
    </w:p>
    <w:p>
      <w:pPr>
        <w:pStyle w:val="Heading3"/>
      </w:pPr>
      <w:r>
        <w:t>5.2 Software Stack</w:t>
      </w:r>
    </w:p>
    <w:tbl>
      <w:tblPr>
        <w:tblW w:type="auto" w:w="0"/>
        <w:jc w:val="left"/>
        <w:tblLook w:firstColumn="1" w:firstRow="1" w:lastColumn="0" w:lastRow="0" w:noHBand="0" w:noVBand="1" w:val="04A0"/>
      </w:tblPr>
      <w:tblGrid>
        <w:gridCol w:w="9406"/>
      </w:tblGrid>
      <w:tr>
        <w:tc>
          <w:tcPr>
            <w:tcW w:type="dxa" w:w="9406"/>
            <w:shd w:fill="F0F2F5" w:val="clear"/>
            <w:tcBorders>
              <w:top w:val="single" w:sz="4" w:space="0" w:color="D0D5DD"/>
              <w:left w:val="single" w:sz="4" w:space="0" w:color="D0D5DD"/>
              <w:bottom w:val="single" w:sz="4" w:space="0" w:color="D0D5DD"/>
              <w:right w:val="single" w:sz="4" w:space="0" w:color="D0D5DD"/>
            </w:tcBorders>
            <w:tcMar>
              <w:top w:w="100" w:type="dxa"/>
              <w:bottom w:w="100" w:type="dxa"/>
              <w:left w:w="150" w:type="dxa"/>
              <w:right w:w="150" w:type="dxa"/>
            </w:tcMar>
          </w:tcPr>
          <w:p>
            <w:pPr>
              <w:spacing w:before="0" w:after="0" w:line="240" w:lineRule="auto"/>
            </w:pPr>
            <w:r>
              <w:rPr>
                <w:rFonts w:ascii="Consolas" w:hAnsi="Consolas"/>
                <w:color w:val="1A1A2E"/>
                <w:sz w:val="16"/>
              </w:rPr>
              <w:t>+----------------------------------------------------------+</w:t>
              <w:br/>
              <w:t>|                    BioNexus Box Software                 |</w:t>
              <w:br/>
              <w:t>+----------------------------------------------------------+</w:t>
              <w:br/>
              <w:t>|  bionexus-agent (Python 3.12)                            |</w:t>
              <w:br/>
              <w:t>|  +-----------------------+  +-------------------------+  |</w:t>
              <w:br/>
              <w:t>|  |  Collector Service    |  |  Uplink Agent           |  |</w:t>
              <w:br/>
              <w:t>|  |  - Serial port reader |  |  - HTTPS POST to GCP    |  |</w:t>
              <w:br/>
              <w:t>|  |  - Parser dispatch    |  |  - Retry with backoff   |  |</w:t>
              <w:br/>
              <w:t>|  |  - SHA-256 hashing    |  |  - Certificate pinning  |  |</w:t>
              <w:br/>
              <w:t>|  |  - Local queue write  |  |  - Heartbeat sender     |  |</w:t>
              <w:br/>
              <w:t>|  +-----------+-----------+  +----------+--------------+  |</w:t>
              <w:br/>
              <w:t>|              |                         |                  |</w:t>
              <w:br/>
              <w:t>|  +-----------v-------------------------v--------------+  |</w:t>
              <w:br/>
              <w:t>|  |           Local Queue (SQLite WAL-mode)            |  |</w:t>
              <w:br/>
              <w:t>|  |           /var/lib/bionexus/queue.db               |  |</w:t>
              <w:br/>
              <w:t>|  +----------------------------------------------------+  |</w:t>
              <w:br/>
              <w:t>|                                                          |</w:t>
              <w:br/>
              <w:t>|  bionexus-watchdog (systemd-based)                      |</w:t>
              <w:br/>
              <w:t>|  bionexus-updater  (OTA firmware management)            |</w:t>
              <w:br/>
              <w:t>|  bionexus-diag     (diagnostics and health reporting)   |</w:t>
              <w:br/>
              <w:t>+----------------------------------------------------------+</w:t>
              <w:br/>
              <w:t>|            Debian 12 Linux (64-bit, hardened)            |</w:t>
              <w:br/>
              <w:t>+----------------------------------------------------------+</w:t>
              <w:br/>
              <w:t>|             Raspberry Pi CM4 Hardware                    |</w:t>
              <w:br/>
              <w:t>+----------------------------------------------------------+</w:t>
            </w:r>
          </w:p>
        </w:tc>
      </w:tr>
    </w:tbl>
    <w:p>
      <w:pPr>
        <w:spacing w:before="40" w:after="40"/>
      </w:pPr>
    </w:p>
    <w:p>
      <w:pPr>
        <w:pStyle w:val="Heading3"/>
      </w:pPr>
      <w:r>
        <w:t>5.3 Collector Service</w:t>
      </w:r>
    </w:p>
    <w:p>
      <w:r>
        <w:rPr>
          <w:rFonts w:ascii="Calibri" w:hAnsi="Calibri"/>
          <w:b w:val="0"/>
          <w:i w:val="0"/>
          <w:color w:val="333333"/>
          <w:sz w:val="21"/>
        </w:rPr>
        <w:t>The Collector Service is a long-running Python daemon (</w:t>
      </w:r>
      <w:r>
        <w:rPr>
          <w:rFonts w:ascii="Consolas" w:hAnsi="Consolas"/>
          <w:b w:val="0"/>
          <w:i w:val="0"/>
          <w:color w:val="1A1A2E"/>
          <w:sz w:val="18"/>
        </w:rPr>
        <w:t>bionexus-collector</w:t>
      </w:r>
      <w:r>
        <w:rPr>
          <w:rFonts w:ascii="Calibri" w:hAnsi="Calibri"/>
          <w:b w:val="0"/>
          <w:i w:val="0"/>
          <w:color w:val="333333"/>
          <w:sz w:val="21"/>
        </w:rPr>
        <w:t>) that:</w:t>
      </w:r>
    </w:p>
    <w:p>
      <w:pPr>
        <w:spacing w:before="20" w:after="20"/>
        <w:ind w:left="680"/>
      </w:pPr>
      <w:r>
        <w:rPr>
          <w:rFonts w:ascii="Calibri" w:hAnsi="Calibri"/>
          <w:b/>
          <w:i w:val="0"/>
          <w:color w:val="0C2D5A"/>
          <w:sz w:val="21"/>
        </w:rPr>
        <w:t xml:space="preserve">1. </w:t>
      </w:r>
      <w:r>
        <w:rPr>
          <w:rFonts w:ascii="Calibri" w:hAnsi="Calibri"/>
          <w:b w:val="0"/>
          <w:i w:val="0"/>
          <w:color w:val="333333"/>
          <w:sz w:val="21"/>
        </w:rPr>
        <w:t xml:space="preserve">Opens configured serial ports (RS232 / USB-serial) using </w:t>
      </w:r>
      <w:r>
        <w:rPr>
          <w:rFonts w:ascii="Consolas" w:hAnsi="Consolas"/>
          <w:b w:val="0"/>
          <w:i w:val="0"/>
          <w:color w:val="1A1A2E"/>
          <w:sz w:val="18"/>
        </w:rPr>
        <w:t>pyserial</w:t>
      </w:r>
    </w:p>
    <w:p>
      <w:pPr>
        <w:spacing w:before="20" w:after="20"/>
        <w:ind w:left="680"/>
      </w:pPr>
      <w:r>
        <w:rPr>
          <w:rFonts w:ascii="Calibri" w:hAnsi="Calibri"/>
          <w:b/>
          <w:i w:val="0"/>
          <w:color w:val="0C2D5A"/>
          <w:sz w:val="21"/>
        </w:rPr>
        <w:t xml:space="preserve">2. </w:t>
      </w:r>
      <w:r>
        <w:rPr>
          <w:rFonts w:ascii="Calibri" w:hAnsi="Calibri"/>
          <w:b w:val="0"/>
          <w:i w:val="0"/>
          <w:color w:val="333333"/>
          <w:sz w:val="21"/>
        </w:rPr>
        <w:t>Reads data using instrument-specific framing (end-of-line delimiter, fixed-length packet, or timeout-based capture)</w:t>
      </w:r>
    </w:p>
    <w:p>
      <w:pPr>
        <w:spacing w:before="20" w:after="20"/>
        <w:ind w:left="680"/>
      </w:pPr>
      <w:r>
        <w:rPr>
          <w:rFonts w:ascii="Calibri" w:hAnsi="Calibri"/>
          <w:b/>
          <w:i w:val="0"/>
          <w:color w:val="0C2D5A"/>
          <w:sz w:val="21"/>
        </w:rPr>
        <w:t xml:space="preserve">3. </w:t>
      </w:r>
      <w:r>
        <w:rPr>
          <w:rFonts w:ascii="Calibri" w:hAnsi="Calibri"/>
          <w:b w:val="0"/>
          <w:i w:val="0"/>
          <w:color w:val="333333"/>
          <w:sz w:val="21"/>
        </w:rPr>
        <w:t>Dispatches raw bytes to the assigned parser module</w:t>
      </w:r>
    </w:p>
    <w:p>
      <w:pPr>
        <w:spacing w:before="20" w:after="20"/>
        <w:ind w:left="680"/>
      </w:pPr>
      <w:r>
        <w:rPr>
          <w:rFonts w:ascii="Calibri" w:hAnsi="Calibri"/>
          <w:b/>
          <w:i w:val="0"/>
          <w:color w:val="0C2D5A"/>
          <w:sz w:val="21"/>
        </w:rPr>
        <w:t xml:space="preserve">4. </w:t>
      </w:r>
      <w:r>
        <w:rPr>
          <w:rFonts w:ascii="Calibri" w:hAnsi="Calibri"/>
          <w:b w:val="0"/>
          <w:i w:val="0"/>
          <w:color w:val="333333"/>
          <w:sz w:val="21"/>
        </w:rPr>
        <w:t>On successful parse, computes SHA-256 hash of the raw bytes</w:t>
      </w:r>
    </w:p>
    <w:p>
      <w:pPr>
        <w:spacing w:before="20" w:after="20"/>
        <w:ind w:left="680"/>
      </w:pPr>
      <w:r>
        <w:rPr>
          <w:rFonts w:ascii="Calibri" w:hAnsi="Calibri"/>
          <w:b/>
          <w:i w:val="0"/>
          <w:color w:val="0C2D5A"/>
          <w:sz w:val="21"/>
        </w:rPr>
        <w:t xml:space="preserve">5. </w:t>
      </w:r>
      <w:r>
        <w:rPr>
          <w:rFonts w:ascii="Calibri" w:hAnsi="Calibri"/>
          <w:b w:val="0"/>
          <w:i w:val="0"/>
          <w:color w:val="333333"/>
          <w:sz w:val="21"/>
        </w:rPr>
        <w:t>Writes the reading to the local SQLite queue</w:t>
      </w:r>
    </w:p>
    <w:p>
      <w:pPr>
        <w:spacing w:before="20" w:after="20"/>
        <w:ind w:left="680"/>
      </w:pPr>
      <w:r>
        <w:rPr>
          <w:rFonts w:ascii="Calibri" w:hAnsi="Calibri"/>
          <w:b/>
          <w:i w:val="0"/>
          <w:color w:val="0C2D5A"/>
          <w:sz w:val="21"/>
        </w:rPr>
        <w:t xml:space="preserve">6. </w:t>
      </w:r>
      <w:r>
        <w:rPr>
          <w:rFonts w:ascii="Calibri" w:hAnsi="Calibri"/>
          <w:b w:val="0"/>
          <w:i w:val="0"/>
          <w:color w:val="333333"/>
          <w:sz w:val="21"/>
        </w:rPr>
        <w:t>Records a local audit event (collector-level log)</w:t>
      </w:r>
    </w:p>
    <w:p>
      <w:r>
        <w:rPr>
          <w:rFonts w:ascii="Calibri" w:hAnsi="Calibri"/>
          <w:b w:val="0"/>
          <w:i w:val="0"/>
          <w:color w:val="333333"/>
          <w:sz w:val="21"/>
        </w:rPr>
        <w:t>Each configured instrument runs in its own thread. The collector is resilient to serial port disconnects: it attempts to reopen the port with exponential backoff, logging each failure to the diagnostics service.</w:t>
      </w:r>
    </w:p>
    <w:tbl>
      <w:tblPr>
        <w:tblW w:type="auto" w:w="0"/>
        <w:jc w:val="left"/>
        <w:tblLook w:firstColumn="1" w:firstRow="1" w:lastColumn="0" w:lastRow="0" w:noHBand="0" w:noVBand="1" w:val="04A0"/>
      </w:tblPr>
      <w:tblGrid>
        <w:gridCol w:w="9406"/>
      </w:tblGrid>
      <w:tr>
        <w:tc>
          <w:tcPr>
            <w:tcW w:type="dxa" w:w="9406"/>
            <w:shd w:fill="F0F2F5" w:val="clear"/>
            <w:tcBorders>
              <w:top w:val="single" w:sz="4" w:space="0" w:color="D0D5DD"/>
              <w:left w:val="single" w:sz="4" w:space="0" w:color="D0D5DD"/>
              <w:bottom w:val="single" w:sz="4" w:space="0" w:color="D0D5DD"/>
              <w:right w:val="single" w:sz="4" w:space="0" w:color="D0D5DD"/>
            </w:tcBorders>
            <w:tcMar>
              <w:top w:w="100" w:type="dxa"/>
              <w:bottom w:w="100" w:type="dxa"/>
              <w:left w:w="150" w:type="dxa"/>
              <w:right w:w="150" w:type="dxa"/>
            </w:tcMar>
          </w:tcPr>
          <w:p>
            <w:pPr>
              <w:spacing w:before="0" w:after="0" w:line="240" w:lineRule="auto"/>
            </w:pPr>
            <w:r>
              <w:rPr>
                <w:rFonts w:ascii="Consolas" w:hAnsi="Consolas"/>
                <w:color w:val="1A1A2E"/>
                <w:sz w:val="16"/>
              </w:rPr>
              <w:t># Pseudocode — collector core loop</w:t>
              <w:br/>
              <w:t>class InstrumentCollector(threading.Thread):</w:t>
              <w:br/>
              <w:t xml:space="preserve">    def run(self) -&gt; None:</w:t>
              <w:br/>
              <w:t xml:space="preserve">        while not self.stop_event.is_set():</w:t>
              <w:br/>
              <w:t xml:space="preserve">            try:</w:t>
              <w:br/>
              <w:t xml:space="preserve">                with serial.Serial(**self.serial_config) as port:</w:t>
              <w:br/>
              <w:t xml:space="preserve">                    buffer = b""</w:t>
              <w:br/>
              <w:t xml:space="preserve">                    while not self.stop_event.is_set():</w:t>
              <w:br/>
              <w:t xml:space="preserve">                        chunk = port.read(port.in_waiting or 1)</w:t>
              <w:br/>
              <w:t xml:space="preserve">                        buffer += chunk</w:t>
              <w:br/>
              <w:t xml:space="preserve">                        if self.parser.is_complete_frame(buffer):</w:t>
              <w:br/>
              <w:t xml:space="preserve">                            reading = self.parser.parse(buffer)</w:t>
              <w:br/>
              <w:t xml:space="preserve">                            if reading:</w:t>
              <w:br/>
              <w:t xml:space="preserve">                                self.queue.enqueue(reading, raw_bytes=buffer)</w:t>
              <w:br/>
              <w:t xml:space="preserve">                            buffer = b""</w:t>
              <w:br/>
              <w:t xml:space="preserve">            except serial.SerialException as exc:</w:t>
              <w:br/>
              <w:t xml:space="preserve">                self.diagnostics.report_error(self.instrument_id, exc)</w:t>
              <w:br/>
              <w:t xml:space="preserve">                self.stop_event.wait(timeout=self.backoff.next())</w:t>
            </w:r>
          </w:p>
        </w:tc>
      </w:tr>
    </w:tbl>
    <w:p>
      <w:pPr>
        <w:spacing w:before="40" w:after="40"/>
      </w:pPr>
    </w:p>
    <w:p>
      <w:pPr>
        <w:pStyle w:val="Heading3"/>
      </w:pPr>
      <w:r>
        <w:t>5.4 Local Queue (SQLite WAL Mode)</w:t>
      </w:r>
    </w:p>
    <w:p>
      <w:r>
        <w:rPr>
          <w:rFonts w:ascii="Calibri" w:hAnsi="Calibri"/>
          <w:b w:val="0"/>
          <w:i w:val="0"/>
          <w:color w:val="333333"/>
          <w:sz w:val="21"/>
        </w:rPr>
        <w:t>The local queue is a SQLite database in Write-Ahead Log (WAL) mode, providing concurrent read/write access between the Collector (writer) and Uplink Agent (reader/deleter).</w:t>
      </w:r>
    </w:p>
    <w:p>
      <w:r>
        <w:rPr>
          <w:rFonts w:ascii="Calibri" w:hAnsi="Calibri"/>
          <w:b/>
          <w:i w:val="0"/>
          <w:color w:val="333333"/>
          <w:sz w:val="21"/>
        </w:rPr>
        <w:t>Schema:</w:t>
      </w:r>
    </w:p>
    <w:tbl>
      <w:tblPr>
        <w:tblW w:type="auto" w:w="0"/>
        <w:jc w:val="left"/>
        <w:tblLook w:firstColumn="1" w:firstRow="1" w:lastColumn="0" w:lastRow="0" w:noHBand="0" w:noVBand="1" w:val="04A0"/>
      </w:tblPr>
      <w:tblGrid>
        <w:gridCol w:w="9406"/>
      </w:tblGrid>
      <w:tr>
        <w:tc>
          <w:tcPr>
            <w:tcW w:type="dxa" w:w="9406"/>
            <w:shd w:fill="F0F2F5" w:val="clear"/>
            <w:tcBorders>
              <w:top w:val="single" w:sz="4" w:space="0" w:color="D0D5DD"/>
              <w:left w:val="single" w:sz="4" w:space="0" w:color="D0D5DD"/>
              <w:bottom w:val="single" w:sz="4" w:space="0" w:color="D0D5DD"/>
              <w:right w:val="single" w:sz="4" w:space="0" w:color="D0D5DD"/>
            </w:tcBorders>
            <w:tcMar>
              <w:top w:w="100" w:type="dxa"/>
              <w:bottom w:w="100" w:type="dxa"/>
              <w:left w:w="150" w:type="dxa"/>
              <w:right w:w="150" w:type="dxa"/>
            </w:tcMar>
          </w:tcPr>
          <w:p>
            <w:pPr>
              <w:spacing w:before="0" w:after="0" w:line="240" w:lineRule="auto"/>
            </w:pPr>
            <w:r>
              <w:rPr>
                <w:rFonts w:ascii="Consolas" w:hAnsi="Consolas"/>
                <w:color w:val="1A1A2E"/>
                <w:sz w:val="16"/>
              </w:rPr>
              <w:t>CREATE TABLE reading_queue (</w:t>
              <w:br/>
              <w:t xml:space="preserve">    id            INTEGER PRIMARY KEY AUTOINCREMENT,</w:t>
              <w:br/>
              <w:t xml:space="preserve">    instrument_id TEXT NOT NULL,</w:t>
              <w:br/>
              <w:t xml:space="preserve">    captured_at   TEXT NOT NULL,         -- ISO 8601 UTC timestamp</w:t>
              <w:br/>
              <w:t xml:space="preserve">    raw_bytes_b64 TEXT NOT NULL,         -- Base64-encoded raw instrument bytes</w:t>
              <w:br/>
              <w:t xml:space="preserve">    raw_sha256    TEXT NOT NULL,         -- SHA-256 of raw_bytes</w:t>
              <w:br/>
              <w:t xml:space="preserve">    parsed_json   TEXT NOT NULL,         -- Parser output as JSON string</w:t>
              <w:br/>
              <w:t xml:space="preserve">    packet_sha256 TEXT NOT NULL,         -- SHA-256 of (instrument_id|captured_at|parsed_json)</w:t>
              <w:br/>
              <w:t xml:space="preserve">    retry_count   INTEGER DEFAULT 0,</w:t>
              <w:br/>
              <w:t xml:space="preserve">    created_at    TEXT DEFAULT (datetime('now', 'utc')),</w:t>
              <w:br/>
              <w:t xml:space="preserve">    status        TEXT DEFAULT 'PENDING' -- PENDING | UPLOADING | UPLOADED | FAILED</w:t>
              <w:br/>
              <w:t>);</w:t>
              <w:br/>
              <w:br/>
              <w:t>CREATE TABLE audit_log (</w:t>
              <w:br/>
              <w:t xml:space="preserve">    id          INTEGER PRIMARY KEY AUTOINCREMENT,</w:t>
              <w:br/>
              <w:t xml:space="preserve">    event_type  TEXT NOT NULL,           -- CAPTURE | UPLOAD | ERROR | CONFIG_CHANGE | BOOT | SHUTDOWN</w:t>
              <w:br/>
              <w:t xml:space="preserve">    instrument_id TEXT,</w:t>
              <w:br/>
              <w:t xml:space="preserve">    queue_id    INTEGER,</w:t>
              <w:br/>
              <w:t xml:space="preserve">    detail      TEXT,</w:t>
              <w:br/>
              <w:t xml:space="preserve">    timestamp   TEXT DEFAULT (datetime('now', 'utc'))</w:t>
              <w:br/>
              <w:t>);</w:t>
            </w:r>
          </w:p>
        </w:tc>
      </w:tr>
    </w:tbl>
    <w:p>
      <w:pPr>
        <w:spacing w:before="40" w:after="40"/>
      </w:pPr>
    </w:p>
    <w:p>
      <w:r>
        <w:rPr>
          <w:rFonts w:ascii="Calibri" w:hAnsi="Calibri"/>
          <w:b w:val="0"/>
          <w:i w:val="0"/>
          <w:color w:val="333333"/>
          <w:sz w:val="21"/>
        </w:rPr>
        <w:t>SQLite was selected over a message broker (RabbitMQ, Redis) for the embedded environment because:</w:t>
      </w:r>
    </w:p>
    <w:p>
      <w:pPr>
        <w:pStyle w:val="ListBullet"/>
        <w:spacing w:before="20" w:after="20"/>
        <w:ind w:left="680"/>
      </w:pPr>
      <w:r>
        <w:rPr>
          <w:rFonts w:ascii="Calibri" w:hAnsi="Calibri"/>
          <w:b w:val="0"/>
          <w:i w:val="0"/>
          <w:color w:val="333333"/>
          <w:sz w:val="21"/>
        </w:rPr>
        <w:t>Zero external dependencies</w:t>
      </w:r>
    </w:p>
    <w:p>
      <w:pPr>
        <w:pStyle w:val="ListBullet"/>
        <w:spacing w:before="20" w:after="20"/>
        <w:ind w:left="680"/>
      </w:pPr>
      <w:r>
        <w:rPr>
          <w:rFonts w:ascii="Calibri" w:hAnsi="Calibri"/>
          <w:b w:val="0"/>
          <w:i w:val="0"/>
          <w:color w:val="333333"/>
          <w:sz w:val="21"/>
        </w:rPr>
        <w:t>WAL mode provides non-blocking concurrent reads</w:t>
      </w:r>
    </w:p>
    <w:p>
      <w:pPr>
        <w:pStyle w:val="ListBullet"/>
        <w:spacing w:before="20" w:after="20"/>
        <w:ind w:left="680"/>
      </w:pPr>
      <w:r>
        <w:rPr>
          <w:rFonts w:ascii="Calibri" w:hAnsi="Calibri"/>
          <w:b w:val="0"/>
          <w:i w:val="0"/>
          <w:color w:val="333333"/>
          <w:sz w:val="21"/>
        </w:rPr>
        <w:t>File-level encryption possible via SQLCipher</w:t>
      </w:r>
    </w:p>
    <w:p>
      <w:pPr>
        <w:pStyle w:val="ListBullet"/>
        <w:spacing w:before="20" w:after="20"/>
        <w:ind w:left="680"/>
      </w:pPr>
      <w:r>
        <w:rPr>
          <w:rFonts w:ascii="Calibri" w:hAnsi="Calibri"/>
          <w:b w:val="0"/>
          <w:i w:val="0"/>
          <w:color w:val="333333"/>
          <w:sz w:val="21"/>
        </w:rPr>
        <w:t>Survives power loss without corruption (WAL + synchronous=FULL)</w:t>
      </w:r>
    </w:p>
    <w:p>
      <w:pPr>
        <w:pStyle w:val="Heading3"/>
      </w:pPr>
      <w:r>
        <w:t>5.5 Uplink Agent</w:t>
      </w:r>
    </w:p>
    <w:p>
      <w:r>
        <w:rPr>
          <w:rFonts w:ascii="Calibri" w:hAnsi="Calibri"/>
          <w:b w:val="0"/>
          <w:i w:val="0"/>
          <w:color w:val="333333"/>
          <w:sz w:val="21"/>
        </w:rPr>
        <w:t xml:space="preserve">The Uplink Agent is a separate thread (part of </w:t>
      </w:r>
      <w:r>
        <w:rPr>
          <w:rFonts w:ascii="Consolas" w:hAnsi="Consolas"/>
          <w:b w:val="0"/>
          <w:i w:val="0"/>
          <w:color w:val="1A1A2E"/>
          <w:sz w:val="18"/>
        </w:rPr>
        <w:t>bionexus-agent</w:t>
      </w:r>
      <w:r>
        <w:rPr>
          <w:rFonts w:ascii="Calibri" w:hAnsi="Calibri"/>
          <w:b w:val="0"/>
          <w:i w:val="0"/>
          <w:color w:val="333333"/>
          <w:sz w:val="21"/>
        </w:rPr>
        <w:t>) that:</w:t>
      </w:r>
    </w:p>
    <w:p>
      <w:pPr>
        <w:spacing w:before="20" w:after="20"/>
        <w:ind w:left="680"/>
      </w:pPr>
      <w:r>
        <w:rPr>
          <w:rFonts w:ascii="Calibri" w:hAnsi="Calibri"/>
          <w:b/>
          <w:i w:val="0"/>
          <w:color w:val="0C2D5A"/>
          <w:sz w:val="21"/>
        </w:rPr>
        <w:t xml:space="preserve">1. </w:t>
      </w:r>
      <w:r>
        <w:rPr>
          <w:rFonts w:ascii="Calibri" w:hAnsi="Calibri"/>
          <w:b w:val="0"/>
          <w:i w:val="0"/>
          <w:color w:val="333333"/>
          <w:sz w:val="21"/>
        </w:rPr>
        <w:t xml:space="preserve">Polls the local queue for </w:t>
      </w:r>
      <w:r>
        <w:rPr>
          <w:rFonts w:ascii="Consolas" w:hAnsi="Consolas"/>
          <w:b w:val="0"/>
          <w:i w:val="0"/>
          <w:color w:val="1A1A2E"/>
          <w:sz w:val="18"/>
        </w:rPr>
        <w:t>status='PENDING'</w:t>
      </w:r>
      <w:r>
        <w:rPr>
          <w:rFonts w:ascii="Calibri" w:hAnsi="Calibri"/>
          <w:b w:val="0"/>
          <w:i w:val="0"/>
          <w:color w:val="333333"/>
          <w:sz w:val="21"/>
        </w:rPr>
        <w:t xml:space="preserve"> readings</w:t>
      </w:r>
    </w:p>
    <w:p>
      <w:pPr>
        <w:spacing w:before="20" w:after="20"/>
        <w:ind w:left="680"/>
      </w:pPr>
      <w:r>
        <w:rPr>
          <w:rFonts w:ascii="Calibri" w:hAnsi="Calibri"/>
          <w:b/>
          <w:i w:val="0"/>
          <w:color w:val="0C2D5A"/>
          <w:sz w:val="21"/>
        </w:rPr>
        <w:t xml:space="preserve">2. </w:t>
      </w:r>
      <w:r>
        <w:rPr>
          <w:rFonts w:ascii="Calibri" w:hAnsi="Calibri"/>
          <w:b w:val="0"/>
          <w:i w:val="0"/>
          <w:color w:val="333333"/>
          <w:sz w:val="21"/>
        </w:rPr>
        <w:t>Batches up to 50 readings per HTTP request (configurable)</w:t>
      </w:r>
    </w:p>
    <w:p>
      <w:pPr>
        <w:spacing w:before="20" w:after="20"/>
        <w:ind w:left="680"/>
      </w:pPr>
      <w:r>
        <w:rPr>
          <w:rFonts w:ascii="Calibri" w:hAnsi="Calibri"/>
          <w:b/>
          <w:i w:val="0"/>
          <w:color w:val="0C2D5A"/>
          <w:sz w:val="21"/>
        </w:rPr>
        <w:t xml:space="preserve">3. </w:t>
      </w:r>
      <w:r>
        <w:rPr>
          <w:rFonts w:ascii="Calibri" w:hAnsi="Calibri"/>
          <w:b w:val="0"/>
          <w:i w:val="0"/>
          <w:color w:val="333333"/>
          <w:sz w:val="21"/>
        </w:rPr>
        <w:t>Posts the batch to the GCP backend (</w:t>
      </w:r>
      <w:r>
        <w:rPr>
          <w:rFonts w:ascii="Consolas" w:hAnsi="Consolas"/>
          <w:b w:val="0"/>
          <w:i w:val="0"/>
          <w:color w:val="1A1A2E"/>
          <w:sz w:val="18"/>
        </w:rPr>
        <w:t>POST /api/v1/ingest/readings/</w:t>
      </w:r>
      <w:r>
        <w:rPr>
          <w:rFonts w:ascii="Calibri" w:hAnsi="Calibri"/>
          <w:b w:val="0"/>
          <w:i w:val="0"/>
          <w:color w:val="333333"/>
          <w:sz w:val="21"/>
        </w:rPr>
        <w:t>)</w:t>
      </w:r>
    </w:p>
    <w:p>
      <w:pPr>
        <w:spacing w:before="20" w:after="20"/>
        <w:ind w:left="680"/>
      </w:pPr>
      <w:r>
        <w:rPr>
          <w:rFonts w:ascii="Calibri" w:hAnsi="Calibri"/>
          <w:b/>
          <w:i w:val="0"/>
          <w:color w:val="0C2D5A"/>
          <w:sz w:val="21"/>
        </w:rPr>
        <w:t xml:space="preserve">4. </w:t>
      </w:r>
      <w:r>
        <w:rPr>
          <w:rFonts w:ascii="Calibri" w:hAnsi="Calibri"/>
          <w:b w:val="0"/>
          <w:i w:val="0"/>
          <w:color w:val="333333"/>
          <w:sz w:val="21"/>
        </w:rPr>
        <w:t xml:space="preserve">On HTTP 200/201: marks readings as </w:t>
      </w:r>
      <w:r>
        <w:rPr>
          <w:rFonts w:ascii="Consolas" w:hAnsi="Consolas"/>
          <w:b w:val="0"/>
          <w:i w:val="0"/>
          <w:color w:val="1A1A2E"/>
          <w:sz w:val="18"/>
        </w:rPr>
        <w:t>UPLOADED</w:t>
      </w:r>
      <w:r>
        <w:rPr>
          <w:rFonts w:ascii="Calibri" w:hAnsi="Calibri"/>
          <w:b w:val="0"/>
          <w:i w:val="0"/>
          <w:color w:val="333333"/>
          <w:sz w:val="21"/>
        </w:rPr>
        <w:t>, purges after configurable retention (default: 7 days)</w:t>
      </w:r>
    </w:p>
    <w:p>
      <w:pPr>
        <w:spacing w:before="20" w:after="20"/>
        <w:ind w:left="680"/>
      </w:pPr>
      <w:r>
        <w:rPr>
          <w:rFonts w:ascii="Calibri" w:hAnsi="Calibri"/>
          <w:b/>
          <w:i w:val="0"/>
          <w:color w:val="0C2D5A"/>
          <w:sz w:val="21"/>
        </w:rPr>
        <w:t xml:space="preserve">5. </w:t>
      </w:r>
      <w:r>
        <w:rPr>
          <w:rFonts w:ascii="Calibri" w:hAnsi="Calibri"/>
          <w:b w:val="0"/>
          <w:i w:val="0"/>
          <w:color w:val="333333"/>
          <w:sz w:val="21"/>
        </w:rPr>
        <w:t xml:space="preserve">On HTTP 4xx (client error): marks as </w:t>
      </w:r>
      <w:r>
        <w:rPr>
          <w:rFonts w:ascii="Consolas" w:hAnsi="Consolas"/>
          <w:b w:val="0"/>
          <w:i w:val="0"/>
          <w:color w:val="1A1A2E"/>
          <w:sz w:val="18"/>
        </w:rPr>
        <w:t>FAILED</w:t>
      </w:r>
      <w:r>
        <w:rPr>
          <w:rFonts w:ascii="Calibri" w:hAnsi="Calibri"/>
          <w:b w:val="0"/>
          <w:i w:val="0"/>
          <w:color w:val="333333"/>
          <w:sz w:val="21"/>
        </w:rPr>
        <w:t>, logs error, does not retry (data issue)</w:t>
      </w:r>
    </w:p>
    <w:p>
      <w:pPr>
        <w:spacing w:before="20" w:after="20"/>
        <w:ind w:left="680"/>
      </w:pPr>
      <w:r>
        <w:rPr>
          <w:rFonts w:ascii="Calibri" w:hAnsi="Calibri"/>
          <w:b/>
          <w:i w:val="0"/>
          <w:color w:val="0C2D5A"/>
          <w:sz w:val="21"/>
        </w:rPr>
        <w:t xml:space="preserve">6. </w:t>
      </w:r>
      <w:r>
        <w:rPr>
          <w:rFonts w:ascii="Calibri" w:hAnsi="Calibri"/>
          <w:b w:val="0"/>
          <w:i w:val="0"/>
          <w:color w:val="333333"/>
          <w:sz w:val="21"/>
        </w:rPr>
        <w:t xml:space="preserve">On HTTP 5xx or network error: increments </w:t>
      </w:r>
      <w:r>
        <w:rPr>
          <w:rFonts w:ascii="Consolas" w:hAnsi="Consolas"/>
          <w:b w:val="0"/>
          <w:i w:val="0"/>
          <w:color w:val="1A1A2E"/>
          <w:sz w:val="18"/>
        </w:rPr>
        <w:t>retry_count</w:t>
      </w:r>
      <w:r>
        <w:rPr>
          <w:rFonts w:ascii="Calibri" w:hAnsi="Calibri"/>
          <w:b w:val="0"/>
          <w:i w:val="0"/>
          <w:color w:val="333333"/>
          <w:sz w:val="21"/>
        </w:rPr>
        <w:t xml:space="preserve">, backs off exponentially, retries up to </w:t>
      </w:r>
      <w:r>
        <w:rPr>
          <w:rFonts w:ascii="Consolas" w:hAnsi="Consolas"/>
          <w:b w:val="0"/>
          <w:i w:val="0"/>
          <w:color w:val="1A1A2E"/>
          <w:sz w:val="18"/>
        </w:rPr>
        <w:t>MAX_RETRIES</w:t>
      </w:r>
      <w:r>
        <w:rPr>
          <w:rFonts w:ascii="Calibri" w:hAnsi="Calibri"/>
          <w:b w:val="0"/>
          <w:i w:val="0"/>
          <w:color w:val="333333"/>
          <w:sz w:val="21"/>
        </w:rPr>
        <w:t xml:space="preserve"> (default: 10)</w:t>
      </w:r>
    </w:p>
    <w:p>
      <w:pPr>
        <w:spacing w:before="20" w:after="20"/>
        <w:ind w:left="680"/>
      </w:pPr>
      <w:r>
        <w:rPr>
          <w:rFonts w:ascii="Calibri" w:hAnsi="Calibri"/>
          <w:b/>
          <w:i w:val="0"/>
          <w:color w:val="0C2D5A"/>
          <w:sz w:val="21"/>
        </w:rPr>
        <w:t xml:space="preserve">7. </w:t>
      </w:r>
      <w:r>
        <w:rPr>
          <w:rFonts w:ascii="Calibri" w:hAnsi="Calibri"/>
          <w:b w:val="0"/>
          <w:i w:val="0"/>
          <w:color w:val="333333"/>
          <w:sz w:val="21"/>
        </w:rPr>
        <w:t xml:space="preserve">Readings with </w:t>
      </w:r>
      <w:r>
        <w:rPr>
          <w:rFonts w:ascii="Consolas" w:hAnsi="Consolas"/>
          <w:b w:val="0"/>
          <w:i w:val="0"/>
          <w:color w:val="1A1A2E"/>
          <w:sz w:val="18"/>
        </w:rPr>
        <w:t>retry_count &gt; MAX_RETRIES</w:t>
      </w:r>
      <w:r>
        <w:rPr>
          <w:rFonts w:ascii="Calibri" w:hAnsi="Calibri"/>
          <w:b w:val="0"/>
          <w:i w:val="0"/>
          <w:color w:val="333333"/>
          <w:sz w:val="21"/>
        </w:rPr>
        <w:t xml:space="preserve"> are flagged for human review via the monitoring dashboard</w:t>
      </w:r>
    </w:p>
    <w:p>
      <w:pPr>
        <w:pStyle w:val="Heading3"/>
      </w:pPr>
      <w:r>
        <w:t>5.6 Configuration Management</w:t>
      </w:r>
    </w:p>
    <w:p>
      <w:r>
        <w:rPr>
          <w:rFonts w:ascii="Calibri" w:hAnsi="Calibri"/>
          <w:b w:val="0"/>
          <w:i w:val="0"/>
          <w:color w:val="333333"/>
          <w:sz w:val="21"/>
        </w:rPr>
        <w:t xml:space="preserve">All Box configuration is stored in YAML files under </w:t>
      </w:r>
      <w:r>
        <w:rPr>
          <w:rFonts w:ascii="Consolas" w:hAnsi="Consolas"/>
          <w:b w:val="0"/>
          <w:i w:val="0"/>
          <w:color w:val="1A1A2E"/>
          <w:sz w:val="18"/>
        </w:rPr>
        <w:t>/etc/bionexus/</w:t>
      </w:r>
      <w:r>
        <w:rPr>
          <w:rFonts w:ascii="Calibri" w:hAnsi="Calibri"/>
          <w:b w:val="0"/>
          <w:i w:val="0"/>
          <w:color w:val="333333"/>
          <w:sz w:val="21"/>
        </w:rPr>
        <w:t>:</w:t>
      </w:r>
    </w:p>
    <w:tbl>
      <w:tblPr>
        <w:tblW w:type="auto" w:w="0"/>
        <w:jc w:val="left"/>
        <w:tblLook w:firstColumn="1" w:firstRow="1" w:lastColumn="0" w:lastRow="0" w:noHBand="0" w:noVBand="1" w:val="04A0"/>
      </w:tblPr>
      <w:tblGrid>
        <w:gridCol w:w="9406"/>
      </w:tblGrid>
      <w:tr>
        <w:tc>
          <w:tcPr>
            <w:tcW w:type="dxa" w:w="9406"/>
            <w:shd w:fill="F0F2F5" w:val="clear"/>
            <w:tcBorders>
              <w:top w:val="single" w:sz="4" w:space="0" w:color="D0D5DD"/>
              <w:left w:val="single" w:sz="4" w:space="0" w:color="D0D5DD"/>
              <w:bottom w:val="single" w:sz="4" w:space="0" w:color="D0D5DD"/>
              <w:right w:val="single" w:sz="4" w:space="0" w:color="D0D5DD"/>
            </w:tcBorders>
            <w:tcMar>
              <w:top w:w="100" w:type="dxa"/>
              <w:bottom w:w="100" w:type="dxa"/>
              <w:left w:w="150" w:type="dxa"/>
              <w:right w:w="150" w:type="dxa"/>
            </w:tcMar>
          </w:tcPr>
          <w:p>
            <w:pPr>
              <w:spacing w:before="0" w:after="0" w:line="240" w:lineRule="auto"/>
            </w:pPr>
            <w:r>
              <w:rPr>
                <w:rFonts w:ascii="Consolas" w:hAnsi="Consolas"/>
                <w:color w:val="1A1A2E"/>
                <w:sz w:val="16"/>
              </w:rPr>
              <w:t># /etc/bionexus/config.yaml</w:t>
              <w:br/>
              <w:t>device:</w:t>
              <w:br/>
              <w:t xml:space="preserve">  device_id: "box-a1b2c3d4e5f6"          # Immutable UUID assigned at provisioning</w:t>
              <w:br/>
              <w:t xml:space="preserve">  tenant_id: "tenant-uuid-here"</w:t>
              <w:br/>
              <w:t xml:space="preserve">  site_id: "customer-lab-001"</w:t>
              <w:br/>
              <w:t xml:space="preserve">  firmware_version: "1.3.2"</w:t>
              <w:br/>
              <w:br/>
              <w:t>uplink:</w:t>
              <w:br/>
              <w:t xml:space="preserve">  api_endpoint: "https://api.bionexus.io/api/v1"</w:t>
              <w:br/>
              <w:t xml:space="preserve">  cert_pin_sha256: "sha256//AbCdEfGhIjKl..."   # Backend TLS cert pin</w:t>
              <w:br/>
              <w:t xml:space="preserve">  heartbeat_interval_seconds: 60</w:t>
              <w:br/>
              <w:t xml:space="preserve">  upload_batch_size: 50</w:t>
              <w:br/>
              <w:t xml:space="preserve">  max_retry_count: 10</w:t>
              <w:br/>
              <w:t xml:space="preserve">  retry_backoff_base_seconds: 5</w:t>
              <w:br/>
              <w:t xml:space="preserve">  retry_backoff_max_seconds: 300</w:t>
              <w:br/>
              <w:br/>
              <w:t>queue:</w:t>
              <w:br/>
              <w:t xml:space="preserve">  db_path: "/var/lib/bionexus/queue.db"</w:t>
              <w:br/>
              <w:t xml:space="preserve">  retention_days: 7</w:t>
              <w:br/>
              <w:t xml:space="preserve">  max_queue_size_mb: 500</w:t>
              <w:br/>
              <w:br/>
              <w:t>instruments:</w:t>
              <w:br/>
              <w:t xml:space="preserve">  - id: "instrument-hplc-001"</w:t>
              <w:br/>
              <w:t xml:space="preserve">    name: "Waters Alliance 2695 HPLC"</w:t>
              <w:br/>
              <w:t xml:space="preserve">    type: "hplc"</w:t>
              <w:br/>
              <w:t xml:space="preserve">    interface: "rs232"</w:t>
              <w:br/>
              <w:t xml:space="preserve">    port: "/dev/bionexus-hplc-1"</w:t>
              <w:br/>
              <w:t xml:space="preserve">    baud_rate: 9600</w:t>
              <w:br/>
              <w:t xml:space="preserve">    data_bits: 8</w:t>
              <w:br/>
              <w:t xml:space="preserve">    parity: "N"</w:t>
              <w:br/>
              <w:t xml:space="preserve">    stop_bits: 1</w:t>
              <w:br/>
              <w:t xml:space="preserve">    parser: "hplc.waters_arw"</w:t>
              <w:br/>
              <w:t xml:space="preserve">    timeout_seconds: 5</w:t>
              <w:br/>
              <w:br/>
              <w:t xml:space="preserve">  - id: "instrument-ph-001"</w:t>
              <w:br/>
              <w:t xml:space="preserve">    name: "Mettler Toledo SevenExcellence pH"</w:t>
              <w:br/>
              <w:t xml:space="preserve">    type: "ph_conductivity"</w:t>
              <w:br/>
              <w:t xml:space="preserve">    interface: "usb_serial"</w:t>
              <w:br/>
              <w:t xml:space="preserve">    port: "/dev/bionexus-ph-1"</w:t>
              <w:br/>
              <w:t xml:space="preserve">    baud_rate: 19200</w:t>
              <w:br/>
              <w:t xml:space="preserve">    parser: "ph_conductivity.mettler_seven"</w:t>
            </w:r>
          </w:p>
        </w:tc>
      </w:tr>
    </w:tbl>
    <w:p>
      <w:pPr>
        <w:spacing w:before="40" w:after="40"/>
      </w:pPr>
    </w:p>
    <w:p>
      <w:r>
        <w:rPr>
          <w:rFonts w:ascii="Calibri" w:hAnsi="Calibri"/>
          <w:b w:val="0"/>
          <w:i w:val="0"/>
          <w:color w:val="333333"/>
          <w:sz w:val="21"/>
        </w:rPr>
        <w:t xml:space="preserve">Configuration changes are applied via a </w:t>
      </w:r>
      <w:r>
        <w:rPr>
          <w:rFonts w:ascii="Consolas" w:hAnsi="Consolas"/>
          <w:b w:val="0"/>
          <w:i w:val="0"/>
          <w:color w:val="1A1A2E"/>
          <w:sz w:val="18"/>
        </w:rPr>
        <w:t>bionexus-config apply</w:t>
      </w:r>
      <w:r>
        <w:rPr>
          <w:rFonts w:ascii="Calibri" w:hAnsi="Calibri"/>
          <w:b w:val="0"/>
          <w:i w:val="0"/>
          <w:color w:val="333333"/>
          <w:sz w:val="21"/>
        </w:rPr>
        <w:t xml:space="preserve"> CLI command, which validates the YAML schema, writes the new config atomically (write to temp file, </w:t>
      </w:r>
      <w:r>
        <w:rPr>
          <w:rFonts w:ascii="Consolas" w:hAnsi="Consolas"/>
          <w:b w:val="0"/>
          <w:i w:val="0"/>
          <w:color w:val="1A1A2E"/>
          <w:sz w:val="18"/>
        </w:rPr>
        <w:t>rename()</w:t>
      </w:r>
      <w:r>
        <w:rPr>
          <w:rFonts w:ascii="Calibri" w:hAnsi="Calibri"/>
          <w:b w:val="0"/>
          <w:i w:val="0"/>
          <w:color w:val="333333"/>
          <w:sz w:val="21"/>
        </w:rPr>
        <w:t xml:space="preserve"> for atomicity), and creates a local audit log entry. Configuration is also pushed from the cloud management plane (see Section 11).</w:t>
      </w:r>
    </w:p>
    <w:p>
      <w:r>
        <w:br w:type="page"/>
      </w:r>
    </w:p>
    <w:p>
      <w:pPr>
        <w:pStyle w:val="Heading1"/>
      </w:pPr>
      <w:r>
        <w:t>6. Communication Protocol</w:t>
      </w:r>
    </w:p>
    <w:p>
      <w:pPr>
        <w:pStyle w:val="Heading3"/>
      </w:pPr>
      <w:r>
        <w:t>6.1 Authentication — Device Identity</w:t>
      </w:r>
    </w:p>
    <w:p>
      <w:r>
        <w:rPr>
          <w:rFonts w:ascii="Calibri" w:hAnsi="Calibri"/>
          <w:b w:val="0"/>
          <w:i w:val="0"/>
          <w:color w:val="333333"/>
          <w:sz w:val="21"/>
        </w:rPr>
        <w:t>Each BioNexus Box has a unique identity established at manufacturing/provisioning time:</w:t>
      </w:r>
    </w:p>
    <w:p>
      <w:pPr>
        <w:pStyle w:val="ListBullet"/>
        <w:spacing w:before="20" w:after="20"/>
        <w:ind w:left="680"/>
      </w:pPr>
      <w:r>
        <w:rPr>
          <w:rFonts w:ascii="Calibri" w:hAnsi="Calibri"/>
          <w:b/>
          <w:i w:val="0"/>
          <w:color w:val="333333"/>
          <w:sz w:val="21"/>
        </w:rPr>
        <w:t>Device Certificate (X.509)</w:t>
      </w:r>
      <w:r>
        <w:rPr>
          <w:rFonts w:ascii="Calibri" w:hAnsi="Calibri"/>
          <w:b w:val="0"/>
          <w:i w:val="0"/>
          <w:color w:val="333333"/>
          <w:sz w:val="21"/>
        </w:rPr>
        <w:t>: An RSA-4096 or EC-P256 client certificate issued by the BioNexus Certificate Authority (CA), stored in the TPM's non-volatile memory. The private key never leaves the TPM; all signing operations are performed inside the TPM.</w:t>
      </w:r>
    </w:p>
    <w:p>
      <w:pPr>
        <w:pStyle w:val="ListBullet"/>
        <w:spacing w:before="20" w:after="20"/>
        <w:ind w:left="680"/>
      </w:pPr>
      <w:r>
        <w:rPr>
          <w:rFonts w:ascii="Calibri" w:hAnsi="Calibri"/>
          <w:b/>
          <w:i w:val="0"/>
          <w:color w:val="333333"/>
          <w:sz w:val="21"/>
        </w:rPr>
        <w:t>Device ID</w:t>
      </w:r>
      <w:r>
        <w:rPr>
          <w:rFonts w:ascii="Calibri" w:hAnsi="Calibri"/>
          <w:b w:val="0"/>
          <w:i w:val="0"/>
          <w:color w:val="333333"/>
          <w:sz w:val="21"/>
        </w:rPr>
        <w:t xml:space="preserve">: A UUID derived from the certificate's serial number, stored in </w:t>
      </w:r>
      <w:r>
        <w:rPr>
          <w:rFonts w:ascii="Consolas" w:hAnsi="Consolas"/>
          <w:b w:val="0"/>
          <w:i w:val="0"/>
          <w:color w:val="1A1A2E"/>
          <w:sz w:val="18"/>
        </w:rPr>
        <w:t>/etc/bionexus/config.yaml</w:t>
      </w:r>
      <w:r>
        <w:rPr>
          <w:rFonts w:ascii="Calibri" w:hAnsi="Calibri"/>
          <w:b w:val="0"/>
          <w:i w:val="0"/>
          <w:color w:val="333333"/>
          <w:sz w:val="21"/>
        </w:rPr>
        <w:t>.</w:t>
      </w:r>
    </w:p>
    <w:p>
      <w:pPr>
        <w:pStyle w:val="ListBullet"/>
        <w:spacing w:before="20" w:after="20"/>
        <w:ind w:left="680"/>
      </w:pPr>
      <w:r>
        <w:rPr>
          <w:rFonts w:ascii="Calibri" w:hAnsi="Calibri"/>
          <w:b/>
          <w:i w:val="0"/>
          <w:color w:val="333333"/>
          <w:sz w:val="21"/>
        </w:rPr>
        <w:t>API Key (secondary)</w:t>
      </w:r>
      <w:r>
        <w:rPr>
          <w:rFonts w:ascii="Calibri" w:hAnsi="Calibri"/>
          <w:b w:val="0"/>
          <w:i w:val="0"/>
          <w:color w:val="333333"/>
          <w:sz w:val="21"/>
        </w:rPr>
        <w:t xml:space="preserve">: A 256-bit randomly generated API key stored in an encrypted file at </w:t>
      </w:r>
      <w:r>
        <w:rPr>
          <w:rFonts w:ascii="Consolas" w:hAnsi="Consolas"/>
          <w:b w:val="0"/>
          <w:i w:val="0"/>
          <w:color w:val="1A1A2E"/>
          <w:sz w:val="18"/>
        </w:rPr>
        <w:t>/var/lib/bionexus/secrets/api_key.enc</w:t>
      </w:r>
      <w:r>
        <w:rPr>
          <w:rFonts w:ascii="Calibri" w:hAnsi="Calibri"/>
          <w:b w:val="0"/>
          <w:i w:val="0"/>
          <w:color w:val="333333"/>
          <w:sz w:val="21"/>
        </w:rPr>
        <w:t>, decrypted at runtime using a TPM-sealed key.</w:t>
      </w:r>
    </w:p>
    <w:p>
      <w:r>
        <w:rPr>
          <w:rFonts w:ascii="Calibri" w:hAnsi="Calibri"/>
          <w:b w:val="0"/>
          <w:i w:val="0"/>
          <w:color w:val="333333"/>
          <w:sz w:val="21"/>
        </w:rPr>
        <w:t>For MVP (pre-TPM), device identity uses the API key stored in an encrypted file. The TPM upgrade is Phase 2.</w:t>
      </w:r>
    </w:p>
    <w:p>
      <w:r>
        <w:rPr>
          <w:rFonts w:ascii="Calibri" w:hAnsi="Calibri"/>
          <w:b/>
          <w:i w:val="0"/>
          <w:color w:val="333333"/>
          <w:sz w:val="21"/>
        </w:rPr>
        <w:t>Authentication flow for each upload batch:</w:t>
      </w:r>
    </w:p>
    <w:tbl>
      <w:tblPr>
        <w:tblW w:type="auto" w:w="0"/>
        <w:jc w:val="left"/>
        <w:tblLook w:firstColumn="1" w:firstRow="1" w:lastColumn="0" w:lastRow="0" w:noHBand="0" w:noVBand="1" w:val="04A0"/>
      </w:tblPr>
      <w:tblGrid>
        <w:gridCol w:w="9406"/>
      </w:tblGrid>
      <w:tr>
        <w:tc>
          <w:tcPr>
            <w:tcW w:type="dxa" w:w="9406"/>
            <w:shd w:fill="F0F2F5" w:val="clear"/>
            <w:tcBorders>
              <w:top w:val="single" w:sz="4" w:space="0" w:color="D0D5DD"/>
              <w:left w:val="single" w:sz="4" w:space="0" w:color="D0D5DD"/>
              <w:bottom w:val="single" w:sz="4" w:space="0" w:color="D0D5DD"/>
              <w:right w:val="single" w:sz="4" w:space="0" w:color="D0D5DD"/>
            </w:tcBorders>
            <w:tcMar>
              <w:top w:w="100" w:type="dxa"/>
              <w:bottom w:w="100" w:type="dxa"/>
              <w:left w:w="150" w:type="dxa"/>
              <w:right w:w="150" w:type="dxa"/>
            </w:tcMar>
          </w:tcPr>
          <w:p>
            <w:pPr>
              <w:spacing w:before="0" w:after="0" w:line="240" w:lineRule="auto"/>
            </w:pPr>
            <w:r>
              <w:rPr>
                <w:rFonts w:ascii="Consolas" w:hAnsi="Consolas"/>
                <w:color w:val="1A1A2E"/>
                <w:sz w:val="16"/>
              </w:rPr>
              <w:t>Box                                    GCP Backend</w:t>
              <w:br/>
              <w:t xml:space="preserve"> |                                         |</w:t>
              <w:br/>
              <w:t xml:space="preserve"> |  TLS ClientHello (SNI: api.bionexus.io) |</w:t>
              <w:br/>
              <w:t xml:space="preserve"> |----------------------------------------&gt;|</w:t>
              <w:br/>
              <w:t xml:space="preserve"> |                                         |</w:t>
              <w:br/>
              <w:t xml:space="preserve"> |  TLS: ServerCertificate                 |</w:t>
              <w:br/>
              <w:t xml:space="preserve"> |&lt;----------------------------------------|</w:t>
              <w:br/>
              <w:t xml:space="preserve"> |  [Box verifies cert against pinned SHA256]</w:t>
              <w:br/>
              <w:t xml:space="preserve"> |                                         |</w:t>
              <w:br/>
              <w:t xml:space="preserve"> |  TLS: ClientCertificate (device cert)   |</w:t>
              <w:br/>
              <w:t xml:space="preserve"> |----------------------------------------&gt;|</w:t>
              <w:br/>
              <w:t xml:space="preserve"> |  [Backend verifies cert against BioNexus CA]</w:t>
              <w:br/>
              <w:t xml:space="preserve"> |                                         |</w:t>
              <w:br/>
              <w:t xml:space="preserve"> |  POST /api/v1/ingest/readings/          |</w:t>
              <w:br/>
              <w:t xml:space="preserve"> |  Authorization: Bearer &lt;device-api-key&gt; |</w:t>
              <w:br/>
              <w:t xml:space="preserve"> |  X-Device-ID: box-a1b2c3d4e5f6         |</w:t>
              <w:br/>
              <w:t xml:space="preserve"> |  Content-Type: application/json         |</w:t>
              <w:br/>
              <w:t xml:space="preserve"> |  [Body: batch payload]                  |</w:t>
              <w:br/>
              <w:t xml:space="preserve"> |----------------------------------------&gt;|</w:t>
              <w:br/>
              <w:t xml:space="preserve"> |                                         |</w:t>
              <w:br/>
              <w:t xml:space="preserve"> |  HTTP 201 Created                       |</w:t>
              <w:br/>
              <w:t xml:space="preserve"> |  {"accepted": 50, "rejected": 0}        |</w:t>
              <w:br/>
              <w:t xml:space="preserve"> |&lt;----------------------------------------|</w:t>
            </w:r>
          </w:p>
        </w:tc>
      </w:tr>
    </w:tbl>
    <w:p>
      <w:pPr>
        <w:spacing w:before="40" w:after="40"/>
      </w:pPr>
    </w:p>
    <w:p>
      <w:pPr>
        <w:pStyle w:val="Heading3"/>
      </w:pPr>
      <w:r>
        <w:t>6.2 TLS Configuration</w:t>
      </w:r>
    </w:p>
    <w:p>
      <w:pPr>
        <w:pStyle w:val="ListBullet"/>
        <w:spacing w:before="20" w:after="20"/>
        <w:ind w:left="680"/>
      </w:pPr>
      <w:r>
        <w:rPr>
          <w:rFonts w:ascii="Calibri" w:hAnsi="Calibri"/>
          <w:b/>
          <w:i w:val="0"/>
          <w:color w:val="333333"/>
          <w:sz w:val="21"/>
        </w:rPr>
        <w:t>TLS Version</w:t>
      </w:r>
      <w:r>
        <w:rPr>
          <w:rFonts w:ascii="Calibri" w:hAnsi="Calibri"/>
          <w:b w:val="0"/>
          <w:i w:val="0"/>
          <w:color w:val="333333"/>
          <w:sz w:val="21"/>
        </w:rPr>
        <w:t>: TLS 1.3 required. TLS 1.2 with AEAD cipher suites permitted as fallback (for backward compatibility with older Python/OpenSSL).</w:t>
      </w:r>
    </w:p>
    <w:p>
      <w:pPr>
        <w:pStyle w:val="ListBullet"/>
        <w:spacing w:before="20" w:after="20"/>
        <w:ind w:left="680"/>
      </w:pPr>
      <w:r>
        <w:rPr>
          <w:rFonts w:ascii="Calibri" w:hAnsi="Calibri"/>
          <w:b/>
          <w:i w:val="0"/>
          <w:color w:val="333333"/>
          <w:sz w:val="21"/>
        </w:rPr>
        <w:t>TLS 1.3 Cipher Suites</w:t>
      </w:r>
      <w:r>
        <w:rPr>
          <w:rFonts w:ascii="Calibri" w:hAnsi="Calibri"/>
          <w:b w:val="0"/>
          <w:i w:val="0"/>
          <w:color w:val="333333"/>
          <w:sz w:val="21"/>
        </w:rPr>
        <w:t>: TLS_AES_256_GCM_SHA384, TLS_CHACHA20_POLY1305_SHA256</w:t>
      </w:r>
    </w:p>
    <w:p>
      <w:pPr>
        <w:pStyle w:val="ListBullet"/>
        <w:spacing w:before="20" w:after="20"/>
        <w:ind w:left="680"/>
      </w:pPr>
      <w:r>
        <w:rPr>
          <w:rFonts w:ascii="Calibri" w:hAnsi="Calibri"/>
          <w:b/>
          <w:i w:val="0"/>
          <w:color w:val="333333"/>
          <w:sz w:val="21"/>
        </w:rPr>
        <w:t>Certificate Pinning</w:t>
      </w:r>
      <w:r>
        <w:rPr>
          <w:rFonts w:ascii="Calibri" w:hAnsi="Calibri"/>
          <w:b w:val="0"/>
          <w:i w:val="0"/>
          <w:color w:val="333333"/>
          <w:sz w:val="21"/>
        </w:rPr>
        <w:t>: The Box stores the SHA-256 digest of the GCP backend's TLS certificate (or its CA certificate) in the configuration. If the presented certificate's digest does not match, the connection is refused and an alert is sent to the monitoring endpoint. Certificate rotation requires a coordinated firmware config update pushed via the management plane.</w:t>
      </w:r>
    </w:p>
    <w:p>
      <w:pPr>
        <w:pStyle w:val="ListBullet"/>
        <w:spacing w:before="20" w:after="20"/>
        <w:ind w:left="680"/>
      </w:pPr>
      <w:r>
        <w:rPr>
          <w:rFonts w:ascii="Calibri" w:hAnsi="Calibri"/>
          <w:b/>
          <w:i w:val="0"/>
          <w:color w:val="333333"/>
          <w:sz w:val="21"/>
        </w:rPr>
        <w:t>mTLS</w:t>
      </w:r>
      <w:r>
        <w:rPr>
          <w:rFonts w:ascii="Calibri" w:hAnsi="Calibri"/>
          <w:b w:val="0"/>
          <w:i w:val="0"/>
          <w:color w:val="333333"/>
          <w:sz w:val="21"/>
        </w:rPr>
        <w:t>: Mutual TLS (device client certificate + server certificate) is implemented in Phase 2. MVP uses API key in the Authorization header over server-authenticated TLS.</w:t>
      </w:r>
    </w:p>
    <w:p>
      <w:pPr>
        <w:pStyle w:val="Heading3"/>
      </w:pPr>
      <w:r>
        <w:t>6.3 Message Format</w:t>
      </w:r>
    </w:p>
    <w:p>
      <w:r>
        <w:rPr>
          <w:rFonts w:ascii="Calibri" w:hAnsi="Calibri"/>
          <w:b w:val="0"/>
          <w:i w:val="0"/>
          <w:color w:val="333333"/>
          <w:sz w:val="21"/>
        </w:rPr>
        <w:t>Each upload batch is a JSON document:</w:t>
      </w:r>
    </w:p>
    <w:tbl>
      <w:tblPr>
        <w:tblW w:type="auto" w:w="0"/>
        <w:jc w:val="left"/>
        <w:tblLook w:firstColumn="1" w:firstRow="1" w:lastColumn="0" w:lastRow="0" w:noHBand="0" w:noVBand="1" w:val="04A0"/>
      </w:tblPr>
      <w:tblGrid>
        <w:gridCol w:w="9406"/>
      </w:tblGrid>
      <w:tr>
        <w:tc>
          <w:tcPr>
            <w:tcW w:type="dxa" w:w="9406"/>
            <w:shd w:fill="F0F2F5" w:val="clear"/>
            <w:tcBorders>
              <w:top w:val="single" w:sz="4" w:space="0" w:color="D0D5DD"/>
              <w:left w:val="single" w:sz="4" w:space="0" w:color="D0D5DD"/>
              <w:bottom w:val="single" w:sz="4" w:space="0" w:color="D0D5DD"/>
              <w:right w:val="single" w:sz="4" w:space="0" w:color="D0D5DD"/>
            </w:tcBorders>
            <w:tcMar>
              <w:top w:w="100" w:type="dxa"/>
              <w:bottom w:w="100" w:type="dxa"/>
              <w:left w:w="150" w:type="dxa"/>
              <w:right w:w="150" w:type="dxa"/>
            </w:tcMar>
          </w:tcPr>
          <w:p>
            <w:pPr>
              <w:spacing w:before="0" w:after="0" w:line="240" w:lineRule="auto"/>
            </w:pPr>
            <w:r>
              <w:rPr>
                <w:rFonts w:ascii="Consolas" w:hAnsi="Consolas"/>
                <w:color w:val="1A1A2E"/>
                <w:sz w:val="16"/>
              </w:rPr>
              <w:t>{</w:t>
              <w:br/>
              <w:t xml:space="preserve">  "device_id": "box-a1b2c3d4e5f6",</w:t>
              <w:br/>
              <w:t xml:space="preserve">  "tenant_id": "tenant-uuid-here",</w:t>
              <w:br/>
              <w:t xml:space="preserve">  "batch_id": "batch-20260228-143022-001",</w:t>
              <w:br/>
              <w:t xml:space="preserve">  "batch_sha256": "e3b0c44298fc1c149afb...",</w:t>
              <w:br/>
              <w:t xml:space="preserve">  "sent_at": "2026-02-28T14:30:22.145Z",</w:t>
              <w:br/>
              <w:t xml:space="preserve">  "firmware_version": "1.3.2",</w:t>
              <w:br/>
              <w:t xml:space="preserve">  "readings": [</w:t>
              <w:br/>
              <w:t xml:space="preserve">    {</w:t>
              <w:br/>
              <w:t xml:space="preserve">      "queue_id": 1042,</w:t>
              <w:br/>
              <w:t xml:space="preserve">      "instrument_id": "instrument-hplc-001",</w:t>
              <w:br/>
              <w:t xml:space="preserve">      "captured_at": "2026-02-28T14:29:55.000Z",</w:t>
              <w:br/>
              <w:t xml:space="preserve">      "raw_bytes_b64": "RFVTU09MVVRJT04gVEVTVEVS...",</w:t>
              <w:br/>
              <w:t xml:space="preserve">      "raw_sha256": "a665a45920422f9d417e4867ef...",</w:t>
              <w:br/>
              <w:t xml:space="preserve">      "parsed_json": {</w:t>
              <w:br/>
              <w:t xml:space="preserve">        "instrument_type": "hplc",</w:t>
              <w:br/>
              <w:t xml:space="preserve">        "sample_id": "QC-2026-00451",</w:t>
              <w:br/>
              <w:t xml:space="preserve">        "method": "USP-HPLC-API-001",</w:t>
              <w:br/>
              <w:t xml:space="preserve">        "run_id": "R20260228-001",</w:t>
              <w:br/>
              <w:t xml:space="preserve">        "injection_volume_ul": 10.0,</w:t>
              <w:br/>
              <w:t xml:space="preserve">        "results": [</w:t>
              <w:br/>
              <w:t xml:space="preserve">          {</w:t>
              <w:br/>
              <w:t xml:space="preserve">            "peak_name": "Active API",</w:t>
              <w:br/>
              <w:t xml:space="preserve">            "retention_time_min": 4.823,</w:t>
              <w:br/>
              <w:t xml:space="preserve">            "peak_area": 1245678.3,</w:t>
              <w:br/>
              <w:t xml:space="preserve">            "peak_height": 98432.1,</w:t>
              <w:br/>
              <w:t xml:space="preserve">            "concentration_pct": 99.7,</w:t>
              <w:br/>
              <w:t xml:space="preserve">            "usp_tailing": 1.03,</w:t>
              <w:br/>
              <w:t xml:space="preserve">            "theoretical_plates": 8234</w:t>
              <w:br/>
              <w:t xml:space="preserve">          }</w:t>
              <w:br/>
              <w:t xml:space="preserve">        ],</w:t>
              <w:br/>
              <w:t xml:space="preserve">        "run_start": "2026-02-28T14:20:00Z",</w:t>
              <w:br/>
              <w:t xml:space="preserve">        "run_end": "2026-02-28T14:29:55Z"</w:t>
              <w:br/>
              <w:t xml:space="preserve">      },</w:t>
              <w:br/>
              <w:t xml:space="preserve">      "packet_sha256": "f4d9e8c7b6a5..."</w:t>
              <w:br/>
              <w:t xml:space="preserve">    }</w:t>
              <w:br/>
              <w:t xml:space="preserve">  ]</w:t>
              <w:br/>
              <w:t>}</w:t>
            </w:r>
          </w:p>
        </w:tc>
      </w:tr>
    </w:tbl>
    <w:p>
      <w:pPr>
        <w:spacing w:before="40" w:after="40"/>
      </w:pPr>
    </w:p>
    <w:p>
      <w:r>
        <w:rPr>
          <w:rFonts w:ascii="Calibri" w:hAnsi="Calibri"/>
          <w:b/>
          <w:i w:val="0"/>
          <w:color w:val="333333"/>
          <w:sz w:val="21"/>
        </w:rPr>
        <w:t>`batch_sha256`</w:t>
      </w:r>
      <w:r>
        <w:rPr>
          <w:rFonts w:ascii="Calibri" w:hAnsi="Calibri"/>
          <w:b w:val="0"/>
          <w:i w:val="0"/>
          <w:color w:val="333333"/>
          <w:sz w:val="21"/>
        </w:rPr>
        <w:t xml:space="preserve">: SHA-256 of the entire </w:t>
      </w:r>
      <w:r>
        <w:rPr>
          <w:rFonts w:ascii="Consolas" w:hAnsi="Consolas"/>
          <w:b w:val="0"/>
          <w:i w:val="0"/>
          <w:color w:val="1A1A2E"/>
          <w:sz w:val="18"/>
        </w:rPr>
        <w:t>readings</w:t>
      </w:r>
      <w:r>
        <w:rPr>
          <w:rFonts w:ascii="Calibri" w:hAnsi="Calibri"/>
          <w:b w:val="0"/>
          <w:i w:val="0"/>
          <w:color w:val="333333"/>
          <w:sz w:val="21"/>
        </w:rPr>
        <w:t xml:space="preserve"> array serialized as canonical JSON (sorted keys, no extra whitespace). Computed on the Box before sending; verified on the backend before ingestion.</w:t>
      </w:r>
    </w:p>
    <w:p>
      <w:pPr>
        <w:pStyle w:val="Heading3"/>
      </w:pPr>
      <w:r>
        <w:t>6.4 Retry Logic</w:t>
      </w:r>
    </w:p>
    <w:tbl>
      <w:tblPr>
        <w:tblW w:type="auto" w:w="0"/>
        <w:jc w:val="left"/>
        <w:tblLook w:firstColumn="1" w:firstRow="1" w:lastColumn="0" w:lastRow="0" w:noHBand="0" w:noVBand="1" w:val="04A0"/>
      </w:tblPr>
      <w:tblGrid>
        <w:gridCol w:w="9406"/>
      </w:tblGrid>
      <w:tr>
        <w:tc>
          <w:tcPr>
            <w:tcW w:type="dxa" w:w="9406"/>
            <w:shd w:fill="F0F2F5" w:val="clear"/>
            <w:tcBorders>
              <w:top w:val="single" w:sz="4" w:space="0" w:color="D0D5DD"/>
              <w:left w:val="single" w:sz="4" w:space="0" w:color="D0D5DD"/>
              <w:bottom w:val="single" w:sz="4" w:space="0" w:color="D0D5DD"/>
              <w:right w:val="single" w:sz="4" w:space="0" w:color="D0D5DD"/>
            </w:tcBorders>
            <w:tcMar>
              <w:top w:w="100" w:type="dxa"/>
              <w:bottom w:w="100" w:type="dxa"/>
              <w:left w:w="150" w:type="dxa"/>
              <w:right w:w="150" w:type="dxa"/>
            </w:tcMar>
          </w:tcPr>
          <w:p>
            <w:pPr>
              <w:spacing w:before="0" w:after="0" w:line="240" w:lineRule="auto"/>
            </w:pPr>
            <w:r>
              <w:rPr>
                <w:rFonts w:ascii="Consolas" w:hAnsi="Consolas"/>
                <w:color w:val="1A1A2E"/>
                <w:sz w:val="16"/>
              </w:rPr>
              <w:t>Upload attempt  →  HTTP 201  →  Mark UPLOADED, done</w:t>
              <w:br/>
              <w:t xml:space="preserve">                →  HTTP 400  →  Mark FAILED (schema error — log, do not retry)</w:t>
              <w:br/>
              <w:t xml:space="preserve">                →  HTTP 401  →  Mark FAILED (auth error — alert operations)</w:t>
              <w:br/>
              <w:t xml:space="preserve">                →  HTTP 409  →  Mark UPLOADED (duplicate — already received)</w:t>
              <w:br/>
              <w:t xml:space="preserve">                →  HTTP 5xx  →  Increment retry_count, schedule retry:</w:t>
              <w:br/>
              <w:t xml:space="preserve">                                  delay = min(base * 2^retry_count, max_delay)</w:t>
              <w:br/>
              <w:t xml:space="preserve">                                  base=5s, max=300s</w:t>
              <w:br/>
              <w:t xml:space="preserve">                →  Timeout   →  Same as HTTP 5xx</w:t>
              <w:br/>
              <w:t xml:space="preserve">                →  retry_count &gt; 10  →  Mark FAILED, alert operations dashboard</w:t>
            </w:r>
          </w:p>
        </w:tc>
      </w:tr>
    </w:tbl>
    <w:p>
      <w:pPr>
        <w:spacing w:before="40" w:after="40"/>
      </w:pPr>
    </w:p>
    <w:p>
      <w:r>
        <w:rPr>
          <w:rFonts w:ascii="Calibri" w:hAnsi="Calibri"/>
          <w:b w:val="0"/>
          <w:i w:val="0"/>
          <w:color w:val="333333"/>
          <w:sz w:val="21"/>
        </w:rPr>
        <w:t>Exponential backoff with jitter (±10% of computed delay) prevents thundering herd during backend maintenance windows affecting many Boxes simultaneously.</w:t>
      </w:r>
    </w:p>
    <w:p>
      <w:r>
        <w:br w:type="page"/>
      </w:r>
    </w:p>
    <w:p>
      <w:pPr>
        <w:pStyle w:val="Heading1"/>
      </w:pPr>
      <w:r>
        <w:t>7. Data Flow</w:t>
      </w:r>
    </w:p>
    <w:p>
      <w:pPr>
        <w:pStyle w:val="Heading3"/>
      </w:pPr>
      <w:r>
        <w:t>7.1 End-to-End Data Flow</w:t>
      </w:r>
    </w:p>
    <w:tbl>
      <w:tblPr>
        <w:tblW w:type="auto" w:w="0"/>
        <w:jc w:val="left"/>
        <w:tblLook w:firstColumn="1" w:firstRow="1" w:lastColumn="0" w:lastRow="0" w:noHBand="0" w:noVBand="1" w:val="04A0"/>
      </w:tblPr>
      <w:tblGrid>
        <w:gridCol w:w="9406"/>
      </w:tblGrid>
      <w:tr>
        <w:tc>
          <w:tcPr>
            <w:tcW w:type="dxa" w:w="9406"/>
            <w:shd w:fill="F0F2F5" w:val="clear"/>
            <w:tcBorders>
              <w:top w:val="single" w:sz="4" w:space="0" w:color="D0D5DD"/>
              <w:left w:val="single" w:sz="4" w:space="0" w:color="D0D5DD"/>
              <w:bottom w:val="single" w:sz="4" w:space="0" w:color="D0D5DD"/>
              <w:right w:val="single" w:sz="4" w:space="0" w:color="D0D5DD"/>
            </w:tcBorders>
            <w:tcMar>
              <w:top w:w="100" w:type="dxa"/>
              <w:bottom w:w="100" w:type="dxa"/>
              <w:left w:w="150" w:type="dxa"/>
              <w:right w:w="150" w:type="dxa"/>
            </w:tcMar>
          </w:tcPr>
          <w:p>
            <w:pPr>
              <w:spacing w:before="0" w:after="0" w:line="240" w:lineRule="auto"/>
            </w:pPr>
            <w:r>
              <w:rPr>
                <w:rFonts w:ascii="Consolas" w:hAnsi="Consolas"/>
                <w:color w:val="1A1A2E"/>
                <w:sz w:val="16"/>
              </w:rPr>
              <w:t>+------------------+</w:t>
              <w:br/>
              <w:t>| Lab Instrument   |</w:t>
              <w:br/>
              <w:t>| (e.g., HPLC)     |</w:t>
              <w:br/>
              <w:t>+--------+---------+</w:t>
              <w:br/>
              <w:t xml:space="preserve">         |</w:t>
              <w:br/>
              <w:t xml:space="preserve">         | RS232 serial bytes (raw ASCII/binary instrument output)</w:t>
              <w:br/>
              <w:t xml:space="preserve">         |</w:t>
              <w:br/>
              <w:t>+--------v---------+</w:t>
              <w:br/>
              <w:t>| Serial Port      |</w:t>
              <w:br/>
              <w:t>| /dev/ttyS0 or    |</w:t>
              <w:br/>
              <w:t>| /dev/ttyUSB0     |</w:t>
              <w:br/>
              <w:t>+--------+---------+</w:t>
              <w:br/>
              <w:t xml:space="preserve">         |</w:t>
              <w:br/>
              <w:t xml:space="preserve">         | pyserial read()</w:t>
              <w:br/>
              <w:t xml:space="preserve">         |</w:t>
              <w:br/>
              <w:t>+--------v---------+       +-----------------+</w:t>
              <w:br/>
              <w:t>| Collector        |       | Parser Module   |</w:t>
              <w:br/>
              <w:t>| Service          +------&gt;| (e.g., waters_  |</w:t>
              <w:br/>
              <w:t>| (Thread per      |       | arw.py)         |</w:t>
              <w:br/>
              <w:t>| instrument)      |&lt;------+                 |</w:t>
              <w:br/>
              <w:t>+--------+---------+       | ParsedReading{} |</w:t>
              <w:br/>
              <w:t xml:space="preserve">         |                 +-----------------+</w:t>
              <w:br/>
              <w:t xml:space="preserve">         | SHA-256(raw_bytes)</w:t>
              <w:br/>
              <w:t xml:space="preserve">         | SHA-256(instrument_id|captured_at|parsed_json)</w:t>
              <w:br/>
              <w:t xml:space="preserve">         |</w:t>
              <w:br/>
              <w:t>+--------v---------+</w:t>
              <w:br/>
              <w:t>| Local SQLite     |</w:t>
              <w:br/>
              <w:t>| Queue            |</w:t>
              <w:br/>
              <w:t>| (WAL mode)       |</w:t>
              <w:br/>
              <w:t>| status=PENDING   |</w:t>
              <w:br/>
              <w:t>+--------+---------+</w:t>
              <w:br/>
              <w:t xml:space="preserve">         |</w:t>
              <w:br/>
              <w:t xml:space="preserve">         | Poll for PENDING readings (batch of up to 50)</w:t>
              <w:br/>
              <w:t xml:space="preserve">         |</w:t>
              <w:br/>
              <w:t>+--------v---------+</w:t>
              <w:br/>
              <w:t>| Uplink Agent     |</w:t>
              <w:br/>
              <w:t>| (Thread)         |</w:t>
              <w:br/>
              <w:t>| - Build batch    |</w:t>
              <w:br/>
              <w:t>| - Sign batch     |</w:t>
              <w:br/>
              <w:t>| - TLS connect    |</w:t>
              <w:br/>
              <w:t>+--------+---------+</w:t>
              <w:br/>
              <w:t xml:space="preserve">         |</w:t>
              <w:br/>
              <w:t xml:space="preserve">         | HTTPS POST /api/v1/ingest/readings/</w:t>
              <w:br/>
              <w:t xml:space="preserve">         | (TLS 1.3 + API key auth)</w:t>
              <w:br/>
              <w:t xml:space="preserve">         |</w:t>
              <w:br/>
              <w:t>+--------v----------+</w:t>
              <w:br/>
              <w:t>| GCP Backend       |</w:t>
              <w:br/>
              <w:t>| Django REST API   |</w:t>
              <w:br/>
              <w:t>+--------+----------+</w:t>
              <w:br/>
              <w:t xml:space="preserve">         |</w:t>
              <w:br/>
              <w:t xml:space="preserve">         | IngestView:</w:t>
              <w:br/>
              <w:t xml:space="preserve">         | 1. Verify device_id + API key</w:t>
              <w:br/>
              <w:t xml:space="preserve">         | 2. Verify batch_sha256</w:t>
              <w:br/>
              <w:t xml:space="preserve">         | 3. Verify packet_sha256 per reading</w:t>
              <w:br/>
              <w:t xml:space="preserve">         | 4. Create RawFile record per reading</w:t>
              <w:br/>
              <w:t xml:space="preserve">         |    (file_hash = raw_sha256)</w:t>
              <w:br/>
              <w:t xml:space="preserve">         | 5. Create AuditLog (entity=RawFile, op=CREATE)</w:t>
              <w:br/>
              <w:t xml:space="preserve">         | 6. Enqueue async parse task (Celery)</w:t>
              <w:br/>
              <w:t xml:space="preserve">         | 7. Return HTTP 201</w:t>
              <w:br/>
              <w:t xml:space="preserve">         |</w:t>
              <w:br/>
              <w:t>+--------v----------+</w:t>
              <w:br/>
              <w:t>| PostgreSQL        |</w:t>
              <w:br/>
              <w:t>| RawFile table     |</w:t>
              <w:br/>
              <w:t>| AuditLog table    |</w:t>
              <w:br/>
              <w:t>+-------------------+</w:t>
              <w:br/>
              <w:t xml:space="preserve">         |</w:t>
              <w:br/>
              <w:t xml:space="preserve">         | (async, via Celery)</w:t>
              <w:br/>
              <w:t xml:space="preserve">         |</w:t>
              <w:br/>
              <w:t>+--------v----------+</w:t>
              <w:br/>
              <w:t>| ParsingService    |</w:t>
              <w:br/>
              <w:t>| - AI extraction   |</w:t>
              <w:br/>
              <w:t>| - Pydantic valid. |</w:t>
              <w:br/>
              <w:t>| - PENDING state   |</w:t>
              <w:br/>
              <w:t>| - Human review    |</w:t>
              <w:br/>
              <w:t>|   required        |</w:t>
              <w:br/>
              <w:t>+-------------------+</w:t>
            </w:r>
          </w:p>
        </w:tc>
      </w:tr>
    </w:tbl>
    <w:p>
      <w:pPr>
        <w:spacing w:before="40" w:after="40"/>
      </w:pPr>
    </w:p>
    <w:p>
      <w:pPr>
        <w:pStyle w:val="Heading3"/>
      </w:pPr>
      <w:r>
        <w:t>7.2 Timestamp Chain</w:t>
      </w:r>
    </w:p>
    <w:p>
      <w:r>
        <w:rPr>
          <w:rFonts w:ascii="Calibri" w:hAnsi="Calibri"/>
          <w:b w:val="0"/>
          <w:i w:val="0"/>
          <w:color w:val="333333"/>
          <w:sz w:val="21"/>
        </w:rPr>
        <w:t>Timestamps are captured at four points, forming a tamper-evident chain:</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2351"/>
            <w:shd w:fill="0C2D5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i w:val="0"/>
                <w:color w:val="FFFFFF"/>
                <w:sz w:val="19"/>
              </w:rPr>
              <w:t>#</w:t>
            </w:r>
          </w:p>
        </w:tc>
        <w:tc>
          <w:tcPr>
            <w:tcW w:type="dxa" w:w="2351"/>
            <w:shd w:fill="0C2D5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i w:val="0"/>
                <w:color w:val="FFFFFF"/>
                <w:sz w:val="19"/>
              </w:rPr>
              <w:t>Timestamp</w:t>
            </w:r>
          </w:p>
        </w:tc>
        <w:tc>
          <w:tcPr>
            <w:tcW w:type="dxa" w:w="2351"/>
            <w:shd w:fill="0C2D5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i w:val="0"/>
                <w:color w:val="FFFFFF"/>
                <w:sz w:val="19"/>
              </w:rPr>
              <w:t>Source</w:t>
            </w:r>
          </w:p>
        </w:tc>
        <w:tc>
          <w:tcPr>
            <w:tcW w:type="dxa" w:w="2351"/>
            <w:shd w:fill="0C2D5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i w:val="0"/>
                <w:color w:val="FFFFFF"/>
                <w:sz w:val="19"/>
              </w:rPr>
              <w:t>Description</w:t>
            </w:r>
          </w:p>
        </w:tc>
      </w:tr>
      <w:tr>
        <w:tc>
          <w:tcPr>
            <w:tcW w:type="dxa" w:w="2351"/>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1</w:t>
            </w:r>
          </w:p>
        </w:tc>
        <w:tc>
          <w:tcPr>
            <w:tcW w:type="dxa" w:w="2351"/>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onsolas" w:hAnsi="Consolas"/>
                <w:b w:val="0"/>
                <w:i w:val="0"/>
                <w:color w:val="1A1A2E"/>
                <w:sz w:val="18"/>
              </w:rPr>
              <w:t>instrument_time</w:t>
            </w:r>
          </w:p>
        </w:tc>
        <w:tc>
          <w:tcPr>
            <w:tcW w:type="dxa" w:w="2351"/>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Instrument RTC</w:t>
            </w:r>
          </w:p>
        </w:tc>
        <w:tc>
          <w:tcPr>
            <w:tcW w:type="dxa" w:w="2351"/>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Time embedded in instrument output (if present)</w:t>
            </w:r>
          </w:p>
        </w:tc>
      </w:tr>
      <w:tr>
        <w:tc>
          <w:tcPr>
            <w:tcW w:type="dxa" w:w="2351"/>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2</w:t>
            </w:r>
          </w:p>
        </w:tc>
        <w:tc>
          <w:tcPr>
            <w:tcW w:type="dxa" w:w="2351"/>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onsolas" w:hAnsi="Consolas"/>
                <w:b w:val="0"/>
                <w:i w:val="0"/>
                <w:color w:val="1A1A2E"/>
                <w:sz w:val="18"/>
              </w:rPr>
              <w:t>captured_at</w:t>
            </w:r>
          </w:p>
        </w:tc>
        <w:tc>
          <w:tcPr>
            <w:tcW w:type="dxa" w:w="2351"/>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Box RTC (hardware RTC with battery, NTP-synced)</w:t>
            </w:r>
          </w:p>
        </w:tc>
        <w:tc>
          <w:tcPr>
            <w:tcW w:type="dxa" w:w="2351"/>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Time the serial bytes were received by the Collector</w:t>
            </w:r>
          </w:p>
        </w:tc>
      </w:tr>
      <w:tr>
        <w:tc>
          <w:tcPr>
            <w:tcW w:type="dxa" w:w="2351"/>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3</w:t>
            </w:r>
          </w:p>
        </w:tc>
        <w:tc>
          <w:tcPr>
            <w:tcW w:type="dxa" w:w="2351"/>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onsolas" w:hAnsi="Consolas"/>
                <w:b w:val="0"/>
                <w:i w:val="0"/>
                <w:color w:val="1A1A2E"/>
                <w:sz w:val="18"/>
              </w:rPr>
              <w:t>sent_at</w:t>
            </w:r>
          </w:p>
        </w:tc>
        <w:tc>
          <w:tcPr>
            <w:tcW w:type="dxa" w:w="2351"/>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Box clock</w:t>
            </w:r>
          </w:p>
        </w:tc>
        <w:tc>
          <w:tcPr>
            <w:tcW w:type="dxa" w:w="2351"/>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Time the batch was assembled and POSTed</w:t>
            </w:r>
          </w:p>
        </w:tc>
      </w:tr>
      <w:tr>
        <w:tc>
          <w:tcPr>
            <w:tcW w:type="dxa" w:w="2351"/>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4</w:t>
            </w:r>
          </w:p>
        </w:tc>
        <w:tc>
          <w:tcPr>
            <w:tcW w:type="dxa" w:w="2351"/>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onsolas" w:hAnsi="Consolas"/>
                <w:b w:val="0"/>
                <w:i w:val="0"/>
                <w:color w:val="1A1A2E"/>
                <w:sz w:val="18"/>
              </w:rPr>
              <w:t>received_at</w:t>
            </w:r>
          </w:p>
        </w:tc>
        <w:tc>
          <w:tcPr>
            <w:tcW w:type="dxa" w:w="2351"/>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GCP backend</w:t>
            </w:r>
          </w:p>
        </w:tc>
        <w:tc>
          <w:tcPr>
            <w:tcW w:type="dxa" w:w="2351"/>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onsolas" w:hAnsi="Consolas"/>
                <w:b w:val="0"/>
                <w:i w:val="0"/>
                <w:color w:val="1A1A2E"/>
                <w:sz w:val="18"/>
              </w:rPr>
              <w:t>django.utils.timezone.now()</w:t>
            </w:r>
            <w:r>
              <w:rPr>
                <w:rFonts w:ascii="Calibri" w:hAnsi="Calibri"/>
                <w:b w:val="0"/>
                <w:i w:val="0"/>
                <w:color w:val="333333"/>
                <w:sz w:val="19"/>
              </w:rPr>
              <w:t xml:space="preserve"> at request receipt</w:t>
            </w:r>
          </w:p>
        </w:tc>
      </w:tr>
    </w:tbl>
    <w:p/>
    <w:p>
      <w:r>
        <w:rPr>
          <w:rFonts w:ascii="Calibri" w:hAnsi="Calibri"/>
          <w:b w:val="0"/>
          <w:i w:val="0"/>
          <w:color w:val="333333"/>
          <w:sz w:val="21"/>
        </w:rPr>
        <w:t>The Box RTC is synchronized via NTP (pool.ntp.org or a customer-provided NTP server) with a maximum allowed drift of 2 seconds. If NTP sync fails for more than 15 minutes, the Collector logs a warning but continues capturing. If drift exceeds 30 seconds, the Box halts uploads and alerts operations (timestamp integrity compromise — 21 CFR Part 11 requires accurate, contemporaneous timestamps).</w:t>
      </w:r>
    </w:p>
    <w:p>
      <w:r>
        <w:br w:type="page"/>
      </w:r>
    </w:p>
    <w:p>
      <w:pPr>
        <w:pStyle w:val="Heading1"/>
      </w:pPr>
      <w:r>
        <w:t>8. Offline and Disconnected Mode</w:t>
      </w:r>
    </w:p>
    <w:p>
      <w:pPr>
        <w:pStyle w:val="Heading3"/>
      </w:pPr>
      <w:r>
        <w:t>8.1 Store-and-Forward Design</w:t>
      </w:r>
    </w:p>
    <w:p>
      <w:r>
        <w:rPr>
          <w:rFonts w:ascii="Calibri" w:hAnsi="Calibri"/>
          <w:b w:val="0"/>
          <w:i w:val="0"/>
          <w:color w:val="333333"/>
          <w:sz w:val="21"/>
        </w:rPr>
        <w:t>The BioNexus Box is designed to tolerate indefinite network outages without data loss. The local SQLite queue is the primary mechanism:</w:t>
      </w:r>
    </w:p>
    <w:tbl>
      <w:tblPr>
        <w:tblW w:type="auto" w:w="0"/>
        <w:jc w:val="left"/>
        <w:tblLook w:firstColumn="1" w:firstRow="1" w:lastColumn="0" w:lastRow="0" w:noHBand="0" w:noVBand="1" w:val="04A0"/>
      </w:tblPr>
      <w:tblGrid>
        <w:gridCol w:w="9406"/>
      </w:tblGrid>
      <w:tr>
        <w:tc>
          <w:tcPr>
            <w:tcW w:type="dxa" w:w="9406"/>
            <w:shd w:fill="F0F2F5" w:val="clear"/>
            <w:tcBorders>
              <w:top w:val="single" w:sz="4" w:space="0" w:color="D0D5DD"/>
              <w:left w:val="single" w:sz="4" w:space="0" w:color="D0D5DD"/>
              <w:bottom w:val="single" w:sz="4" w:space="0" w:color="D0D5DD"/>
              <w:right w:val="single" w:sz="4" w:space="0" w:color="D0D5DD"/>
            </w:tcBorders>
            <w:tcMar>
              <w:top w:w="100" w:type="dxa"/>
              <w:bottom w:w="100" w:type="dxa"/>
              <w:left w:w="150" w:type="dxa"/>
              <w:right w:w="150" w:type="dxa"/>
            </w:tcMar>
          </w:tcPr>
          <w:p>
            <w:pPr>
              <w:spacing w:before="0" w:after="0" w:line="240" w:lineRule="auto"/>
            </w:pPr>
            <w:r>
              <w:rPr>
                <w:rFonts w:ascii="Consolas" w:hAnsi="Consolas"/>
                <w:color w:val="1A1A2E"/>
                <w:sz w:val="16"/>
              </w:rPr>
              <w:t>Network      Collector       Queue          Uplink Agent</w:t>
              <w:br/>
              <w:t>state                        state</w:t>
              <w:br/>
              <w:t xml:space="preserve">  |              |              |                |</w:t>
              <w:br/>
              <w:t>ONLINE       capturing   PENDING → UPLOADED   uploading in near-real-time</w:t>
              <w:br/>
              <w:t xml:space="preserve">  |              |              |                |</w:t>
              <w:br/>
              <w:t>OFFLINE      continues   PENDING (growing)   paused, retrying with backoff</w:t>
              <w:br/>
              <w:t xml:space="preserve">  |          capturing        ...             ...</w:t>
              <w:br/>
              <w:t xml:space="preserve">  |              |              |                |</w:t>
              <w:br/>
              <w:t xml:space="preserve">  |              |         [7 days of data       |</w:t>
              <w:br/>
              <w:t xml:space="preserve">  |              |          stored safely]        |</w:t>
              <w:br/>
              <w:t xml:space="preserve">  |              |              |                |</w:t>
              <w:br/>
              <w:t>ONLINE           |         PENDING (backlog)  resumes, uploads backlog</w:t>
              <w:br/>
              <w:t>reconnect        |              |              in batches of 50</w:t>
            </w:r>
          </w:p>
        </w:tc>
      </w:tr>
    </w:tbl>
    <w:p>
      <w:pPr>
        <w:spacing w:before="40" w:after="40"/>
      </w:pPr>
    </w:p>
    <w:p>
      <w:r>
        <w:rPr>
          <w:rFonts w:ascii="Calibri" w:hAnsi="Calibri"/>
          <w:b/>
          <w:i w:val="0"/>
          <w:color w:val="333333"/>
          <w:sz w:val="21"/>
        </w:rPr>
        <w:t>Queue capacity</w:t>
      </w:r>
      <w:r>
        <w:rPr>
          <w:rFonts w:ascii="Calibri" w:hAnsi="Calibri"/>
          <w:b w:val="0"/>
          <w:i w:val="0"/>
          <w:color w:val="333333"/>
          <w:sz w:val="21"/>
        </w:rPr>
        <w:t>: Default SQLite database limited to 500 MB on the eMMC/NVMe. At typical instrument sampling rates (one reading per minute per instrument), this represents:</w:t>
      </w:r>
    </w:p>
    <w:p>
      <w:pPr>
        <w:pStyle w:val="ListBullet"/>
        <w:spacing w:before="20" w:after="20"/>
        <w:ind w:left="680"/>
      </w:pPr>
      <w:r>
        <w:rPr>
          <w:rFonts w:ascii="Calibri" w:hAnsi="Calibri"/>
          <w:b w:val="0"/>
          <w:i w:val="0"/>
          <w:color w:val="333333"/>
          <w:sz w:val="21"/>
        </w:rPr>
        <w:t>1 instrument: approximately 6 months of offline storage</w:t>
      </w:r>
    </w:p>
    <w:p>
      <w:pPr>
        <w:pStyle w:val="ListBullet"/>
        <w:spacing w:before="20" w:after="20"/>
        <w:ind w:left="680"/>
      </w:pPr>
      <w:r>
        <w:rPr>
          <w:rFonts w:ascii="Calibri" w:hAnsi="Calibri"/>
          <w:b w:val="0"/>
          <w:i w:val="0"/>
          <w:color w:val="333333"/>
          <w:sz w:val="21"/>
        </w:rPr>
        <w:t>4 instruments: approximately 6 weeks of offline storage</w:t>
      </w:r>
    </w:p>
    <w:p>
      <w:pPr>
        <w:pStyle w:val="ListBullet"/>
        <w:spacing w:before="20" w:after="20"/>
        <w:ind w:left="680"/>
      </w:pPr>
      <w:r>
        <w:rPr>
          <w:rFonts w:ascii="Calibri" w:hAnsi="Calibri"/>
          <w:b w:val="0"/>
          <w:i w:val="0"/>
          <w:color w:val="333333"/>
          <w:sz w:val="21"/>
        </w:rPr>
        <w:t>NVMe option: configurable up to 10 GB, extending this to years</w:t>
      </w:r>
    </w:p>
    <w:p>
      <w:r>
        <w:rPr>
          <w:rFonts w:ascii="Calibri" w:hAnsi="Calibri"/>
          <w:b w:val="0"/>
          <w:i w:val="0"/>
          <w:color w:val="333333"/>
          <w:sz w:val="21"/>
        </w:rPr>
        <w:t>If the queue approaches the size limit (at 80% capacity), an alert is sent via alternative channel (SMS/email to the configured operations contact, triggered by the next successful heartbeat).</w:t>
      </w:r>
    </w:p>
    <w:p>
      <w:pPr>
        <w:pStyle w:val="Heading3"/>
      </w:pPr>
      <w:r>
        <w:t>8.2 Data Integrity During Network Outage</w:t>
      </w:r>
    </w:p>
    <w:p>
      <w:r>
        <w:rPr>
          <w:rFonts w:ascii="Calibri" w:hAnsi="Calibri"/>
          <w:b w:val="0"/>
          <w:i w:val="0"/>
          <w:color w:val="333333"/>
          <w:sz w:val="21"/>
        </w:rPr>
        <w:t>Every reading queued locally contains two SHA-256 hashes computed before network transmission:</w:t>
      </w:r>
    </w:p>
    <w:p>
      <w:pPr>
        <w:spacing w:before="20" w:after="20"/>
        <w:ind w:left="680"/>
      </w:pPr>
      <w:r>
        <w:rPr>
          <w:rFonts w:ascii="Calibri" w:hAnsi="Calibri"/>
          <w:b/>
          <w:i w:val="0"/>
          <w:color w:val="0C2D5A"/>
          <w:sz w:val="21"/>
        </w:rPr>
        <w:t xml:space="preserve">1. </w:t>
      </w:r>
      <w:r>
        <w:rPr>
          <w:rFonts w:ascii="Calibri" w:hAnsi="Calibri"/>
          <w:b/>
          <w:i w:val="0"/>
          <w:color w:val="333333"/>
          <w:sz w:val="21"/>
        </w:rPr>
        <w:t>`raw_sha256`</w:t>
      </w:r>
      <w:r>
        <w:rPr>
          <w:rFonts w:ascii="Calibri" w:hAnsi="Calibri"/>
          <w:b w:val="0"/>
          <w:i w:val="0"/>
          <w:color w:val="333333"/>
          <w:sz w:val="21"/>
        </w:rPr>
        <w:t>: Hash of the raw bytes received from the instrument. Verifies no corruption of the raw capture.</w:t>
      </w:r>
    </w:p>
    <w:p>
      <w:pPr>
        <w:spacing w:before="20" w:after="20"/>
        <w:ind w:left="680"/>
      </w:pPr>
      <w:r>
        <w:rPr>
          <w:rFonts w:ascii="Calibri" w:hAnsi="Calibri"/>
          <w:b/>
          <w:i w:val="0"/>
          <w:color w:val="0C2D5A"/>
          <w:sz w:val="21"/>
        </w:rPr>
        <w:t xml:space="preserve">2. </w:t>
      </w:r>
      <w:r>
        <w:rPr>
          <w:rFonts w:ascii="Calibri" w:hAnsi="Calibri"/>
          <w:b/>
          <w:i w:val="0"/>
          <w:color w:val="333333"/>
          <w:sz w:val="21"/>
        </w:rPr>
        <w:t>`packet_sha256`</w:t>
      </w:r>
      <w:r>
        <w:rPr>
          <w:rFonts w:ascii="Calibri" w:hAnsi="Calibri"/>
          <w:b w:val="0"/>
          <w:i w:val="0"/>
          <w:color w:val="333333"/>
          <w:sz w:val="21"/>
        </w:rPr>
        <w:t xml:space="preserve">: Hash of the canonical JSON of </w:t>
      </w:r>
      <w:r>
        <w:rPr>
          <w:rFonts w:ascii="Consolas" w:hAnsi="Consolas"/>
          <w:b w:val="0"/>
          <w:i w:val="0"/>
          <w:color w:val="1A1A2E"/>
          <w:sz w:val="18"/>
        </w:rPr>
        <w:t>(instrument_id, captured_at, parsed_json)</w:t>
      </w:r>
      <w:r>
        <w:rPr>
          <w:rFonts w:ascii="Calibri" w:hAnsi="Calibri"/>
          <w:b w:val="0"/>
          <w:i w:val="0"/>
          <w:color w:val="333333"/>
          <w:sz w:val="21"/>
        </w:rPr>
        <w:t>. Verifies no tampering of the parsed/interpreted data.</w:t>
      </w:r>
    </w:p>
    <w:p>
      <w:r>
        <w:rPr>
          <w:rFonts w:ascii="Calibri" w:hAnsi="Calibri"/>
          <w:b w:val="0"/>
          <w:i w:val="0"/>
          <w:color w:val="333333"/>
          <w:sz w:val="21"/>
        </w:rPr>
        <w:t>When the Box reconnects and uploads the backlog, the GCP backend verifies both hashes. Any mismatch causes the reading to be rejected with HTTP 422 and flagged for investigation. This ensures that data stored locally during an outage cannot be silently modified before upload.</w:t>
      </w:r>
    </w:p>
    <w:p>
      <w:pPr>
        <w:pStyle w:val="Heading3"/>
      </w:pPr>
      <w:r>
        <w:t>8.3 Sync Reconciliation</w:t>
      </w:r>
    </w:p>
    <w:p>
      <w:r>
        <w:rPr>
          <w:rFonts w:ascii="Calibri" w:hAnsi="Calibri"/>
          <w:b w:val="0"/>
          <w:i w:val="0"/>
          <w:color w:val="333333"/>
          <w:sz w:val="21"/>
        </w:rPr>
        <w:t>After a prolonged offline period, the backend performs a reconciliation check:</w:t>
      </w:r>
    </w:p>
    <w:p>
      <w:pPr>
        <w:spacing w:before="20" w:after="20"/>
        <w:ind w:left="680"/>
      </w:pPr>
      <w:r>
        <w:rPr>
          <w:rFonts w:ascii="Calibri" w:hAnsi="Calibri"/>
          <w:b/>
          <w:i w:val="0"/>
          <w:color w:val="0C2D5A"/>
          <w:sz w:val="21"/>
        </w:rPr>
        <w:t xml:space="preserve">1. </w:t>
      </w:r>
      <w:r>
        <w:rPr>
          <w:rFonts w:ascii="Calibri" w:hAnsi="Calibri"/>
          <w:b w:val="0"/>
          <w:i w:val="0"/>
          <w:color w:val="333333"/>
          <w:sz w:val="21"/>
        </w:rPr>
        <w:t>The Box reports the IDs and timestamps of all readings uploaded in the reconnection batch.</w:t>
      </w:r>
    </w:p>
    <w:p>
      <w:pPr>
        <w:spacing w:before="20" w:after="20"/>
        <w:ind w:left="680"/>
      </w:pPr>
      <w:r>
        <w:rPr>
          <w:rFonts w:ascii="Calibri" w:hAnsi="Calibri"/>
          <w:b/>
          <w:i w:val="0"/>
          <w:color w:val="0C2D5A"/>
          <w:sz w:val="21"/>
        </w:rPr>
        <w:t xml:space="preserve">2. </w:t>
      </w:r>
      <w:r>
        <w:rPr>
          <w:rFonts w:ascii="Calibri" w:hAnsi="Calibri"/>
          <w:b w:val="0"/>
          <w:i w:val="0"/>
          <w:color w:val="333333"/>
          <w:sz w:val="21"/>
        </w:rPr>
        <w:t xml:space="preserve">The backend checks for any gaps in the </w:t>
      </w:r>
      <w:r>
        <w:rPr>
          <w:rFonts w:ascii="Consolas" w:hAnsi="Consolas"/>
          <w:b w:val="0"/>
          <w:i w:val="0"/>
          <w:color w:val="1A1A2E"/>
          <w:sz w:val="18"/>
        </w:rPr>
        <w:t>captured_at</w:t>
      </w:r>
      <w:r>
        <w:rPr>
          <w:rFonts w:ascii="Calibri" w:hAnsi="Calibri"/>
          <w:b w:val="0"/>
          <w:i w:val="0"/>
          <w:color w:val="333333"/>
          <w:sz w:val="21"/>
        </w:rPr>
        <w:t xml:space="preserve"> sequence per instrument.</w:t>
      </w:r>
    </w:p>
    <w:p>
      <w:pPr>
        <w:spacing w:before="20" w:after="20"/>
        <w:ind w:left="680"/>
      </w:pPr>
      <w:r>
        <w:rPr>
          <w:rFonts w:ascii="Calibri" w:hAnsi="Calibri"/>
          <w:b/>
          <w:i w:val="0"/>
          <w:color w:val="0C2D5A"/>
          <w:sz w:val="21"/>
        </w:rPr>
        <w:t xml:space="preserve">3. </w:t>
      </w:r>
      <w:r>
        <w:rPr>
          <w:rFonts w:ascii="Calibri" w:hAnsi="Calibri"/>
          <w:b w:val="0"/>
          <w:i w:val="0"/>
          <w:color w:val="333333"/>
          <w:sz w:val="21"/>
        </w:rPr>
        <w:t>If gaps exist (readings missing without a corresponding error log), the backend generates a gap alert in the audit trail noting the missing time range.</w:t>
      </w:r>
    </w:p>
    <w:p>
      <w:pPr>
        <w:spacing w:before="20" w:after="20"/>
        <w:ind w:left="680"/>
      </w:pPr>
      <w:r>
        <w:rPr>
          <w:rFonts w:ascii="Calibri" w:hAnsi="Calibri"/>
          <w:b/>
          <w:i w:val="0"/>
          <w:color w:val="0C2D5A"/>
          <w:sz w:val="21"/>
        </w:rPr>
        <w:t xml:space="preserve">4. </w:t>
      </w:r>
      <w:r>
        <w:rPr>
          <w:rFonts w:ascii="Calibri" w:hAnsi="Calibri"/>
          <w:b w:val="0"/>
          <w:i w:val="0"/>
          <w:color w:val="333333"/>
          <w:sz w:val="21"/>
        </w:rPr>
        <w:t>This gap alert is reportable to auditors and must be explained during a 21 CFR Part 11 audit.</w:t>
      </w:r>
    </w:p>
    <w:p>
      <w:pPr>
        <w:pStyle w:val="Heading3"/>
      </w:pPr>
      <w:r>
        <w:t>8.4 Power Loss Recovery</w:t>
      </w:r>
    </w:p>
    <w:p>
      <w:r>
        <w:rPr>
          <w:rFonts w:ascii="Calibri" w:hAnsi="Calibri"/>
          <w:b w:val="0"/>
          <w:i w:val="0"/>
          <w:color w:val="333333"/>
          <w:sz w:val="21"/>
        </w:rPr>
        <w:t xml:space="preserve">The SQLite WAL mode with </w:t>
      </w:r>
      <w:r>
        <w:rPr>
          <w:rFonts w:ascii="Consolas" w:hAnsi="Consolas"/>
          <w:b w:val="0"/>
          <w:i w:val="0"/>
          <w:color w:val="1A1A2E"/>
          <w:sz w:val="18"/>
        </w:rPr>
        <w:t>PRAGMA synchronous=FULL</w:t>
      </w:r>
      <w:r>
        <w:rPr>
          <w:rFonts w:ascii="Calibri" w:hAnsi="Calibri"/>
          <w:b w:val="0"/>
          <w:i w:val="0"/>
          <w:color w:val="333333"/>
          <w:sz w:val="21"/>
        </w:rPr>
        <w:t xml:space="preserve"> ensures that any writing committed to the queue database survives a power loss. The WAL file is flushed to disk before the transaction is acknowledged. This prevents data loss from unexpected power cuts (common in lab environments during equipment moves).</w:t>
      </w:r>
    </w:p>
    <w:p>
      <w:r>
        <w:rPr>
          <w:rFonts w:ascii="Calibri" w:hAnsi="Calibri"/>
          <w:b w:val="0"/>
          <w:i w:val="0"/>
          <w:color w:val="333333"/>
          <w:sz w:val="21"/>
        </w:rPr>
        <w:t>On Box reboot after unexpected power loss:</w:t>
      </w:r>
    </w:p>
    <w:p>
      <w:pPr>
        <w:spacing w:before="20" w:after="20"/>
        <w:ind w:left="680"/>
      </w:pPr>
      <w:r>
        <w:rPr>
          <w:rFonts w:ascii="Calibri" w:hAnsi="Calibri"/>
          <w:b/>
          <w:i w:val="0"/>
          <w:color w:val="0C2D5A"/>
          <w:sz w:val="21"/>
        </w:rPr>
        <w:t xml:space="preserve">1. </w:t>
      </w:r>
      <w:r>
        <w:rPr>
          <w:rFonts w:ascii="Consolas" w:hAnsi="Consolas"/>
          <w:b w:val="0"/>
          <w:i w:val="0"/>
          <w:color w:val="1A1A2E"/>
          <w:sz w:val="18"/>
        </w:rPr>
        <w:t>bionexus-agent</w:t>
      </w:r>
      <w:r>
        <w:rPr>
          <w:rFonts w:ascii="Calibri" w:hAnsi="Calibri"/>
          <w:b w:val="0"/>
          <w:i w:val="0"/>
          <w:color w:val="333333"/>
          <w:sz w:val="21"/>
        </w:rPr>
        <w:t xml:space="preserve"> checks SQLite integrity (</w:t>
      </w:r>
      <w:r>
        <w:rPr>
          <w:rFonts w:ascii="Consolas" w:hAnsi="Consolas"/>
          <w:b w:val="0"/>
          <w:i w:val="0"/>
          <w:color w:val="1A1A2E"/>
          <w:sz w:val="18"/>
        </w:rPr>
        <w:t>PRAGMA integrity_check</w:t>
      </w:r>
      <w:r>
        <w:rPr>
          <w:rFonts w:ascii="Calibri" w:hAnsi="Calibri"/>
          <w:b w:val="0"/>
          <w:i w:val="0"/>
          <w:color w:val="333333"/>
          <w:sz w:val="21"/>
        </w:rPr>
        <w:t>) at startup.</w:t>
      </w:r>
    </w:p>
    <w:p>
      <w:pPr>
        <w:spacing w:before="20" w:after="20"/>
        <w:ind w:left="680"/>
      </w:pPr>
      <w:r>
        <w:rPr>
          <w:rFonts w:ascii="Calibri" w:hAnsi="Calibri"/>
          <w:b/>
          <w:i w:val="0"/>
          <w:color w:val="0C2D5A"/>
          <w:sz w:val="21"/>
        </w:rPr>
        <w:t xml:space="preserve">2. </w:t>
      </w:r>
      <w:r>
        <w:rPr>
          <w:rFonts w:ascii="Calibri" w:hAnsi="Calibri"/>
          <w:b w:val="0"/>
          <w:i w:val="0"/>
          <w:color w:val="333333"/>
          <w:sz w:val="21"/>
        </w:rPr>
        <w:t>If integrity check fails, the corrupted database is moved aside and a new empty queue is started. An alert is sent and a local audit event records the data loss event.</w:t>
      </w:r>
    </w:p>
    <w:p>
      <w:pPr>
        <w:spacing w:before="20" w:after="20"/>
        <w:ind w:left="680"/>
      </w:pPr>
      <w:r>
        <w:rPr>
          <w:rFonts w:ascii="Calibri" w:hAnsi="Calibri"/>
          <w:b/>
          <w:i w:val="0"/>
          <w:color w:val="0C2D5A"/>
          <w:sz w:val="21"/>
        </w:rPr>
        <w:t xml:space="preserve">3. </w:t>
      </w:r>
      <w:r>
        <w:rPr>
          <w:rFonts w:ascii="Calibri" w:hAnsi="Calibri"/>
          <w:b w:val="0"/>
          <w:i w:val="0"/>
          <w:color w:val="333333"/>
          <w:sz w:val="21"/>
        </w:rPr>
        <w:t xml:space="preserve">All </w:t>
      </w:r>
      <w:r>
        <w:rPr>
          <w:rFonts w:ascii="Consolas" w:hAnsi="Consolas"/>
          <w:b w:val="0"/>
          <w:i w:val="0"/>
          <w:color w:val="1A1A2E"/>
          <w:sz w:val="18"/>
        </w:rPr>
        <w:t>status='UPLOADING'</w:t>
      </w:r>
      <w:r>
        <w:rPr>
          <w:rFonts w:ascii="Calibri" w:hAnsi="Calibri"/>
          <w:b w:val="0"/>
          <w:i w:val="0"/>
          <w:color w:val="333333"/>
          <w:sz w:val="21"/>
        </w:rPr>
        <w:t xml:space="preserve"> records (were in-flight at crash time) are reset to </w:t>
      </w:r>
      <w:r>
        <w:rPr>
          <w:rFonts w:ascii="Consolas" w:hAnsi="Consolas"/>
          <w:b w:val="0"/>
          <w:i w:val="0"/>
          <w:color w:val="1A1A2E"/>
          <w:sz w:val="18"/>
        </w:rPr>
        <w:t>status='PENDING'</w:t>
      </w:r>
      <w:r>
        <w:rPr>
          <w:rFonts w:ascii="Calibri" w:hAnsi="Calibri"/>
          <w:b w:val="0"/>
          <w:i w:val="0"/>
          <w:color w:val="333333"/>
          <w:sz w:val="21"/>
        </w:rPr>
        <w:t xml:space="preserve"> and re-uploaded. The backend deduplicates by </w:t>
      </w:r>
      <w:r>
        <w:rPr>
          <w:rFonts w:ascii="Consolas" w:hAnsi="Consolas"/>
          <w:b w:val="0"/>
          <w:i w:val="0"/>
          <w:color w:val="1A1A2E"/>
          <w:sz w:val="18"/>
        </w:rPr>
        <w:t>packet_sha256</w:t>
      </w:r>
      <w:r>
        <w:rPr>
          <w:rFonts w:ascii="Calibri" w:hAnsi="Calibri"/>
          <w:b w:val="0"/>
          <w:i w:val="0"/>
          <w:color w:val="333333"/>
          <w:sz w:val="21"/>
        </w:rPr>
        <w:t>, so there are no duplicate records created.</w:t>
      </w:r>
    </w:p>
    <w:p>
      <w:r>
        <w:br w:type="page"/>
      </w:r>
    </w:p>
    <w:p>
      <w:pPr>
        <w:pStyle w:val="Heading1"/>
      </w:pPr>
      <w:r>
        <w:t>9. Security Model</w:t>
      </w:r>
    </w:p>
    <w:p>
      <w:pPr>
        <w:pStyle w:val="Heading3"/>
      </w:pPr>
      <w:r>
        <w:t>9.1 Device Identity</w:t>
      </w:r>
    </w:p>
    <w:p>
      <w:r>
        <w:rPr>
          <w:rFonts w:ascii="Calibri" w:hAnsi="Calibri"/>
          <w:b w:val="0"/>
          <w:i w:val="0"/>
          <w:color w:val="333333"/>
          <w:sz w:val="21"/>
        </w:rPr>
        <w:t>Each Box has a unique, non-forgeable identity:</w:t>
      </w:r>
    </w:p>
    <w:p>
      <w:r>
        <w:rPr>
          <w:rFonts w:ascii="Calibri" w:hAnsi="Calibri"/>
          <w:b/>
          <w:i w:val="0"/>
          <w:color w:val="333333"/>
          <w:sz w:val="21"/>
        </w:rPr>
        <w:t>MVP (Phase 1):</w:t>
      </w:r>
    </w:p>
    <w:p>
      <w:pPr>
        <w:pStyle w:val="ListBullet"/>
        <w:spacing w:before="20" w:after="20"/>
        <w:ind w:left="680"/>
      </w:pPr>
      <w:r>
        <w:rPr>
          <w:rFonts w:ascii="Calibri" w:hAnsi="Calibri"/>
          <w:b w:val="0"/>
          <w:i w:val="0"/>
          <w:color w:val="333333"/>
          <w:sz w:val="21"/>
        </w:rPr>
        <w:t xml:space="preserve">Unique </w:t>
      </w:r>
      <w:r>
        <w:rPr>
          <w:rFonts w:ascii="Consolas" w:hAnsi="Consolas"/>
          <w:b w:val="0"/>
          <w:i w:val="0"/>
          <w:color w:val="1A1A2E"/>
          <w:sz w:val="18"/>
        </w:rPr>
        <w:t>device_id</w:t>
      </w:r>
      <w:r>
        <w:rPr>
          <w:rFonts w:ascii="Calibri" w:hAnsi="Calibri"/>
          <w:b w:val="0"/>
          <w:i w:val="0"/>
          <w:color w:val="333333"/>
          <w:sz w:val="21"/>
        </w:rPr>
        <w:t xml:space="preserve"> (UUID) assigned at cloud provisioning</w:t>
      </w:r>
    </w:p>
    <w:p>
      <w:pPr>
        <w:pStyle w:val="ListBullet"/>
        <w:spacing w:before="20" w:after="20"/>
        <w:ind w:left="680"/>
      </w:pPr>
      <w:r>
        <w:rPr>
          <w:rFonts w:ascii="Calibri" w:hAnsi="Calibri"/>
          <w:b w:val="0"/>
          <w:i w:val="0"/>
          <w:color w:val="333333"/>
          <w:sz w:val="21"/>
        </w:rPr>
        <w:t>256-bit API key stored in encrypted file (</w:t>
      </w:r>
      <w:r>
        <w:rPr>
          <w:rFonts w:ascii="Consolas" w:hAnsi="Consolas"/>
          <w:b w:val="0"/>
          <w:i w:val="0"/>
          <w:color w:val="1A1A2E"/>
          <w:sz w:val="18"/>
        </w:rPr>
        <w:t>/var/lib/bionexus/secrets/api_key.enc</w:t>
      </w:r>
      <w:r>
        <w:rPr>
          <w:rFonts w:ascii="Calibri" w:hAnsi="Calibri"/>
          <w:b w:val="0"/>
          <w:i w:val="0"/>
          <w:color w:val="333333"/>
          <w:sz w:val="21"/>
        </w:rPr>
        <w:t>)</w:t>
      </w:r>
    </w:p>
    <w:p>
      <w:pPr>
        <w:pStyle w:val="ListBullet"/>
        <w:spacing w:before="20" w:after="20"/>
        <w:ind w:left="680"/>
      </w:pPr>
      <w:r>
        <w:rPr>
          <w:rFonts w:ascii="Calibri" w:hAnsi="Calibri"/>
          <w:b w:val="0"/>
          <w:i w:val="0"/>
          <w:color w:val="333333"/>
          <w:sz w:val="21"/>
        </w:rPr>
        <w:t>Encryption key derived from device serial number + provisioning secret (HKDF-SHA256)</w:t>
      </w:r>
    </w:p>
    <w:p>
      <w:pPr>
        <w:pStyle w:val="ListBullet"/>
        <w:spacing w:before="20" w:after="20"/>
        <w:ind w:left="680"/>
      </w:pPr>
      <w:r>
        <w:rPr>
          <w:rFonts w:ascii="Calibri" w:hAnsi="Calibri"/>
          <w:b w:val="0"/>
          <w:i w:val="0"/>
          <w:color w:val="333333"/>
          <w:sz w:val="21"/>
        </w:rPr>
        <w:t>API key rotation supported via management plane push</w:t>
      </w:r>
    </w:p>
    <w:p>
      <w:r>
        <w:rPr>
          <w:rFonts w:ascii="Calibri" w:hAnsi="Calibri"/>
          <w:b/>
          <w:i w:val="0"/>
          <w:color w:val="333333"/>
          <w:sz w:val="21"/>
        </w:rPr>
        <w:t>Production (Phase 2):</w:t>
      </w:r>
    </w:p>
    <w:p>
      <w:pPr>
        <w:pStyle w:val="ListBullet"/>
        <w:spacing w:before="20" w:after="20"/>
        <w:ind w:left="680"/>
      </w:pPr>
      <w:r>
        <w:rPr>
          <w:rFonts w:ascii="Calibri" w:hAnsi="Calibri"/>
          <w:b w:val="0"/>
          <w:i w:val="0"/>
          <w:color w:val="333333"/>
          <w:sz w:val="21"/>
        </w:rPr>
        <w:t>X.509 device certificate issued by BioNexus CA, stored in TPM 2.0</w:t>
      </w:r>
    </w:p>
    <w:p>
      <w:pPr>
        <w:pStyle w:val="ListBullet"/>
        <w:spacing w:before="20" w:after="20"/>
        <w:ind w:left="680"/>
      </w:pPr>
      <w:r>
        <w:rPr>
          <w:rFonts w:ascii="Calibri" w:hAnsi="Calibri"/>
          <w:b w:val="0"/>
          <w:i w:val="0"/>
          <w:color w:val="333333"/>
          <w:sz w:val="21"/>
        </w:rPr>
        <w:t>Private key is TPM-resident; never exported; all signing operations are in-TPM</w:t>
      </w:r>
    </w:p>
    <w:p>
      <w:pPr>
        <w:pStyle w:val="ListBullet"/>
        <w:spacing w:before="20" w:after="20"/>
        <w:ind w:left="680"/>
      </w:pPr>
      <w:r>
        <w:rPr>
          <w:rFonts w:ascii="Calibri" w:hAnsi="Calibri"/>
          <w:b w:val="0"/>
          <w:i w:val="0"/>
          <w:color w:val="333333"/>
          <w:sz w:val="21"/>
        </w:rPr>
        <w:t>Mutual TLS (mTLS) for all communication with backend</w:t>
      </w:r>
    </w:p>
    <w:p>
      <w:pPr>
        <w:pStyle w:val="ListBullet"/>
        <w:spacing w:before="20" w:after="20"/>
        <w:ind w:left="680"/>
      </w:pPr>
      <w:r>
        <w:rPr>
          <w:rFonts w:ascii="Calibri" w:hAnsi="Calibri"/>
          <w:b w:val="0"/>
          <w:i w:val="0"/>
          <w:color w:val="333333"/>
          <w:sz w:val="21"/>
        </w:rPr>
        <w:t>Certificate revocation via OCSP; revocation list checked at every connection</w:t>
      </w:r>
    </w:p>
    <w:p>
      <w:pPr>
        <w:pStyle w:val="Heading3"/>
      </w:pPr>
      <w:r>
        <w:t>9.2 Secure Boot</w:t>
      </w:r>
    </w:p>
    <w:p>
      <w:r>
        <w:rPr>
          <w:rFonts w:ascii="Calibri" w:hAnsi="Calibri"/>
          <w:b w:val="0"/>
          <w:i w:val="0"/>
          <w:color w:val="333333"/>
          <w:sz w:val="21"/>
        </w:rPr>
        <w:t>Secure boot (Phase 2) ensures only signed firmware runs on the Box:</w:t>
      </w:r>
    </w:p>
    <w:tbl>
      <w:tblPr>
        <w:tblW w:type="auto" w:w="0"/>
        <w:jc w:val="left"/>
        <w:tblLook w:firstColumn="1" w:firstRow="1" w:lastColumn="0" w:lastRow="0" w:noHBand="0" w:noVBand="1" w:val="04A0"/>
      </w:tblPr>
      <w:tblGrid>
        <w:gridCol w:w="9406"/>
      </w:tblGrid>
      <w:tr>
        <w:tc>
          <w:tcPr>
            <w:tcW w:type="dxa" w:w="9406"/>
            <w:shd w:fill="F0F2F5" w:val="clear"/>
            <w:tcBorders>
              <w:top w:val="single" w:sz="4" w:space="0" w:color="D0D5DD"/>
              <w:left w:val="single" w:sz="4" w:space="0" w:color="D0D5DD"/>
              <w:bottom w:val="single" w:sz="4" w:space="0" w:color="D0D5DD"/>
              <w:right w:val="single" w:sz="4" w:space="0" w:color="D0D5DD"/>
            </w:tcBorders>
            <w:tcMar>
              <w:top w:w="100" w:type="dxa"/>
              <w:bottom w:w="100" w:type="dxa"/>
              <w:left w:w="150" w:type="dxa"/>
              <w:right w:w="150" w:type="dxa"/>
            </w:tcMar>
          </w:tcPr>
          <w:p>
            <w:pPr>
              <w:spacing w:before="0" w:after="0" w:line="240" w:lineRule="auto"/>
            </w:pPr>
            <w:r>
              <w:rPr>
                <w:rFonts w:ascii="Consolas" w:hAnsi="Consolas"/>
                <w:color w:val="1A1A2E"/>
                <w:sz w:val="16"/>
              </w:rPr>
              <w:t>Power-on → UEFI / ARM TrustZone → verify bootloader signature (BioNexus root key)</w:t>
              <w:br/>
              <w:t xml:space="preserve">         → bootloader verifies kernel signature</w:t>
              <w:br/>
              <w:t xml:space="preserve">         → kernel verifies initrd signature</w:t>
              <w:br/>
              <w:t xml:space="preserve">         → initrd mounts dm-verity protected root filesystem</w:t>
              <w:br/>
              <w:t xml:space="preserve">         → systemd starts bionexus services</w:t>
            </w:r>
          </w:p>
        </w:tc>
      </w:tr>
    </w:tbl>
    <w:p>
      <w:pPr>
        <w:spacing w:before="40" w:after="40"/>
      </w:pPr>
    </w:p>
    <w:p>
      <w:r>
        <w:rPr>
          <w:rFonts w:ascii="Calibri" w:hAnsi="Calibri"/>
          <w:b w:val="0"/>
          <w:i w:val="0"/>
          <w:color w:val="333333"/>
          <w:sz w:val="21"/>
        </w:rPr>
        <w:t>For Raspberry Pi CM4 (which lacks UEFI secure boot natively), a combination of:</w:t>
      </w:r>
    </w:p>
    <w:p>
      <w:pPr>
        <w:pStyle w:val="ListBullet"/>
        <w:spacing w:before="20" w:after="20"/>
        <w:ind w:left="680"/>
      </w:pPr>
      <w:r>
        <w:rPr>
          <w:rFonts w:ascii="Consolas" w:hAnsi="Consolas"/>
          <w:b w:val="0"/>
          <w:i w:val="0"/>
          <w:color w:val="1A1A2E"/>
          <w:sz w:val="18"/>
        </w:rPr>
        <w:t>rpi-eeprom</w:t>
      </w:r>
      <w:r>
        <w:rPr>
          <w:rFonts w:ascii="Calibri" w:hAnsi="Calibri"/>
          <w:b w:val="0"/>
          <w:i w:val="0"/>
          <w:color w:val="333333"/>
          <w:sz w:val="21"/>
        </w:rPr>
        <w:t xml:space="preserve"> firmware with HAT EEPROM attestation (Phase 2)</w:t>
      </w:r>
    </w:p>
    <w:p>
      <w:pPr>
        <w:pStyle w:val="ListBullet"/>
        <w:spacing w:before="20" w:after="20"/>
        <w:ind w:left="680"/>
      </w:pPr>
      <w:r>
        <w:rPr>
          <w:rFonts w:ascii="Consolas" w:hAnsi="Consolas"/>
          <w:b w:val="0"/>
          <w:i w:val="0"/>
          <w:color w:val="1A1A2E"/>
          <w:sz w:val="18"/>
        </w:rPr>
        <w:t>dm-verity</w:t>
      </w:r>
      <w:r>
        <w:rPr>
          <w:rFonts w:ascii="Calibri" w:hAnsi="Calibri"/>
          <w:b w:val="0"/>
          <w:i w:val="0"/>
          <w:color w:val="333333"/>
          <w:sz w:val="21"/>
        </w:rPr>
        <w:t xml:space="preserve"> for read-only root filesystem integrity</w:t>
      </w:r>
    </w:p>
    <w:p>
      <w:pPr>
        <w:pStyle w:val="ListBullet"/>
        <w:spacing w:before="20" w:after="20"/>
        <w:ind w:left="680"/>
      </w:pPr>
      <w:r>
        <w:rPr>
          <w:rFonts w:ascii="Calibri" w:hAnsi="Calibri"/>
          <w:b w:val="0"/>
          <w:i w:val="0"/>
          <w:color w:val="333333"/>
          <w:sz w:val="21"/>
        </w:rPr>
        <w:t>Custom bootloader verification script in EEPROM</w:t>
      </w:r>
    </w:p>
    <w:p>
      <w:r>
        <w:rPr>
          <w:rFonts w:ascii="Calibri" w:hAnsi="Calibri"/>
          <w:b w:val="0"/>
          <w:i w:val="0"/>
          <w:color w:val="333333"/>
          <w:sz w:val="21"/>
        </w:rPr>
        <w:t>For industrial x86 alternatives (Advantech, Kontron): full UEFI Secure Boot with BioNexus-enrolled MOK (Machine Owner Key).</w:t>
      </w:r>
    </w:p>
    <w:p>
      <w:pPr>
        <w:pStyle w:val="Heading3"/>
      </w:pPr>
      <w:r>
        <w:t>9.3 Encrypted Local Storage</w:t>
      </w:r>
    </w:p>
    <w:p>
      <w:r>
        <w:rPr>
          <w:rFonts w:ascii="Calibri" w:hAnsi="Calibri"/>
          <w:b/>
          <w:i w:val="0"/>
          <w:color w:val="333333"/>
          <w:sz w:val="21"/>
        </w:rPr>
        <w:t>Root filesystem</w:t>
      </w:r>
      <w:r>
        <w:rPr>
          <w:rFonts w:ascii="Calibri" w:hAnsi="Calibri"/>
          <w:b w:val="0"/>
          <w:i w:val="0"/>
          <w:color w:val="333333"/>
          <w:sz w:val="21"/>
        </w:rPr>
        <w:t>: Read-only (</w:t>
      </w:r>
      <w:r>
        <w:rPr>
          <w:rFonts w:ascii="Consolas" w:hAnsi="Consolas"/>
          <w:b w:val="0"/>
          <w:i w:val="0"/>
          <w:color w:val="1A1A2E"/>
          <w:sz w:val="18"/>
        </w:rPr>
        <w:t>dm-verity</w:t>
      </w:r>
      <w:r>
        <w:rPr>
          <w:rFonts w:ascii="Calibri" w:hAnsi="Calibri"/>
          <w:b w:val="0"/>
          <w:i w:val="0"/>
          <w:color w:val="333333"/>
          <w:sz w:val="21"/>
        </w:rPr>
        <w:t>). Mount integrity verified on every read.</w:t>
      </w:r>
    </w:p>
    <w:p>
      <w:r>
        <w:rPr>
          <w:rFonts w:ascii="Calibri" w:hAnsi="Calibri"/>
          <w:b/>
          <w:i w:val="0"/>
          <w:color w:val="333333"/>
          <w:sz w:val="21"/>
        </w:rPr>
        <w:t>Data partition</w:t>
      </w:r>
      <w:r>
        <w:rPr>
          <w:rFonts w:ascii="Calibri" w:hAnsi="Calibri"/>
          <w:b w:val="0"/>
          <w:i w:val="0"/>
          <w:color w:val="333333"/>
          <w:sz w:val="21"/>
        </w:rPr>
        <w:t xml:space="preserve"> (</w:t>
      </w:r>
      <w:r>
        <w:rPr>
          <w:rFonts w:ascii="Consolas" w:hAnsi="Consolas"/>
          <w:b w:val="0"/>
          <w:i w:val="0"/>
          <w:color w:val="1A1A2E"/>
          <w:sz w:val="18"/>
        </w:rPr>
        <w:t>/var/lib/bionexus</w:t>
      </w:r>
      <w:r>
        <w:rPr>
          <w:rFonts w:ascii="Calibri" w:hAnsi="Calibri"/>
          <w:b w:val="0"/>
          <w:i w:val="0"/>
          <w:color w:val="333333"/>
          <w:sz w:val="21"/>
        </w:rPr>
        <w:t>): Encrypted with LUKS2 (AES-256-XTS). The LUKS key is sealed in the TPM, released only when boot measurements (PCR values) match expected values. If firmware is tampered (modified kernel, modified initrd), PCR values change and the LUKS key is not released — the data partition is inaccessible.</w:t>
      </w:r>
    </w:p>
    <w:p>
      <w:r>
        <w:rPr>
          <w:rFonts w:ascii="Calibri" w:hAnsi="Calibri"/>
          <w:b/>
          <w:i w:val="0"/>
          <w:color w:val="333333"/>
          <w:sz w:val="21"/>
        </w:rPr>
        <w:t>MVP (pre-TPM)</w:t>
      </w:r>
      <w:r>
        <w:rPr>
          <w:rFonts w:ascii="Calibri" w:hAnsi="Calibri"/>
          <w:b w:val="0"/>
          <w:i w:val="0"/>
          <w:color w:val="333333"/>
          <w:sz w:val="21"/>
        </w:rPr>
        <w:t>: Data partition encrypted with LUKS2; key stored in a file encrypted using the device serial number + provisioning secret. Less secure than TPM sealing but provides protection against drive theft.</w:t>
      </w:r>
    </w:p>
    <w:p>
      <w:r>
        <w:rPr>
          <w:rFonts w:ascii="Calibri" w:hAnsi="Calibri"/>
          <w:b/>
          <w:i w:val="0"/>
          <w:color w:val="333333"/>
          <w:sz w:val="21"/>
        </w:rPr>
        <w:t>Secrets file</w:t>
      </w:r>
      <w:r>
        <w:rPr>
          <w:rFonts w:ascii="Calibri" w:hAnsi="Calibri"/>
          <w:b w:val="0"/>
          <w:i w:val="0"/>
          <w:color w:val="333333"/>
          <w:sz w:val="21"/>
        </w:rPr>
        <w:t xml:space="preserve"> (</w:t>
      </w:r>
      <w:r>
        <w:rPr>
          <w:rFonts w:ascii="Consolas" w:hAnsi="Consolas"/>
          <w:b w:val="0"/>
          <w:i w:val="0"/>
          <w:color w:val="1A1A2E"/>
          <w:sz w:val="18"/>
        </w:rPr>
        <w:t>api_key.enc</w:t>
      </w:r>
      <w:r>
        <w:rPr>
          <w:rFonts w:ascii="Calibri" w:hAnsi="Calibri"/>
          <w:b w:val="0"/>
          <w:i w:val="0"/>
          <w:color w:val="333333"/>
          <w:sz w:val="21"/>
        </w:rPr>
        <w:t xml:space="preserve">, </w:t>
      </w:r>
      <w:r>
        <w:rPr>
          <w:rFonts w:ascii="Consolas" w:hAnsi="Consolas"/>
          <w:b w:val="0"/>
          <w:i w:val="0"/>
          <w:color w:val="1A1A2E"/>
          <w:sz w:val="18"/>
        </w:rPr>
        <w:t>device_cert.p12</w:t>
      </w:r>
      <w:r>
        <w:rPr>
          <w:rFonts w:ascii="Calibri" w:hAnsi="Calibri"/>
          <w:b w:val="0"/>
          <w:i w:val="0"/>
          <w:color w:val="333333"/>
          <w:sz w:val="21"/>
        </w:rPr>
        <w:t>): Encrypted with AES-256-GCM using the device-specific encryption key.</w:t>
      </w:r>
    </w:p>
    <w:p>
      <w:pPr>
        <w:pStyle w:val="Heading3"/>
      </w:pPr>
      <w:r>
        <w:t>9.4 Physical Tamper Considerations</w:t>
      </w:r>
    </w:p>
    <w:p>
      <w:r>
        <w:rPr>
          <w:rFonts w:ascii="Calibri" w:hAnsi="Calibri"/>
          <w:b w:val="0"/>
          <w:i w:val="0"/>
          <w:color w:val="333333"/>
          <w:sz w:val="21"/>
        </w:rPr>
        <w:t>The GxP physical security requirements for edge devices are addressed as follows:</w:t>
      </w:r>
    </w:p>
    <w:tbl>
      <w:tblPr>
        <w:tblW w:type="auto" w:w="0"/>
        <w:jc w:val="center"/>
        <w:tblLayout w:type="autofit"/>
        <w:tblLook w:firstColumn="1" w:firstRow="1" w:lastColumn="0" w:lastRow="0" w:noHBand="0" w:noVBand="1" w:val="04A0"/>
      </w:tblPr>
      <w:tblGrid>
        <w:gridCol w:w="4703"/>
        <w:gridCol w:w="4703"/>
      </w:tblGrid>
      <w:tr>
        <w:tc>
          <w:tcPr>
            <w:tcW w:type="dxa" w:w="4703"/>
            <w:shd w:fill="0C2D5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i w:val="0"/>
                <w:color w:val="FFFFFF"/>
                <w:sz w:val="19"/>
              </w:rPr>
              <w:t>Threat</w:t>
            </w:r>
          </w:p>
        </w:tc>
        <w:tc>
          <w:tcPr>
            <w:tcW w:type="dxa" w:w="4703"/>
            <w:shd w:fill="0C2D5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i w:val="0"/>
                <w:color w:val="FFFFFF"/>
                <w:sz w:val="19"/>
              </w:rPr>
              <w:t>Mitigation</w:t>
            </w:r>
          </w:p>
        </w:tc>
      </w:tr>
      <w:tr>
        <w:tc>
          <w:tcPr>
            <w:tcW w:type="dxa" w:w="4703"/>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Physical access to USB/HDMI ports</w:t>
            </w:r>
          </w:p>
        </w:tc>
        <w:tc>
          <w:tcPr>
            <w:tcW w:type="dxa" w:w="4703"/>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Ports sealed with tamper-evident labels; HDMI port disabled in device tree</w:t>
            </w:r>
          </w:p>
        </w:tc>
      </w:tr>
      <w:tr>
        <w:tc>
          <w:tcPr>
            <w:tcW w:type="dxa" w:w="4703"/>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SD card removal / substitution</w:t>
            </w:r>
          </w:p>
        </w:tc>
        <w:tc>
          <w:tcPr>
            <w:tcW w:type="dxa" w:w="4703"/>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eMMC (onboard, not removable); no SD card slot on production carrier</w:t>
            </w:r>
          </w:p>
        </w:tc>
      </w:tr>
      <w:tr>
        <w:tc>
          <w:tcPr>
            <w:tcW w:type="dxa" w:w="4703"/>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Drive extraction + data theft</w:t>
            </w:r>
          </w:p>
        </w:tc>
        <w:tc>
          <w:tcPr>
            <w:tcW w:type="dxa" w:w="4703"/>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LUKS2 encryption on data partition</w:t>
            </w:r>
          </w:p>
        </w:tc>
      </w:tr>
      <w:tr>
        <w:tc>
          <w:tcPr>
            <w:tcW w:type="dxa" w:w="4703"/>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Firmware replacement via SD card</w:t>
            </w:r>
          </w:p>
        </w:tc>
        <w:tc>
          <w:tcPr>
            <w:tcW w:type="dxa" w:w="4703"/>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No SD card; eMMC reflash requires physical USB boot mode + serial console access</w:t>
            </w:r>
          </w:p>
        </w:tc>
      </w:tr>
      <w:tr>
        <w:tc>
          <w:tcPr>
            <w:tcW w:type="dxa" w:w="4703"/>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Box replacement with rogue device</w:t>
            </w:r>
          </w:p>
        </w:tc>
        <w:tc>
          <w:tcPr>
            <w:tcW w:type="dxa" w:w="4703"/>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mTLS: rogue device has no valid BioNexus CA-signed certificate</w:t>
            </w:r>
          </w:p>
        </w:tc>
      </w:tr>
      <w:tr>
        <w:tc>
          <w:tcPr>
            <w:tcW w:type="dxa" w:w="4703"/>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Physical reset button</w:t>
            </w:r>
          </w:p>
        </w:tc>
        <w:tc>
          <w:tcPr>
            <w:tcW w:type="dxa" w:w="4703"/>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Recessed pin-reset; reset event logged to cloud before execution</w:t>
            </w:r>
          </w:p>
        </w:tc>
      </w:tr>
      <w:tr>
        <w:tc>
          <w:tcPr>
            <w:tcW w:type="dxa" w:w="4703"/>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Enclosure opening</w:t>
            </w:r>
          </w:p>
        </w:tc>
        <w:tc>
          <w:tcPr>
            <w:tcW w:type="dxa" w:w="4703"/>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Tamper-evident screws + optional chassis intrusion switch wired to GPIO → audit log event</w:t>
            </w:r>
          </w:p>
        </w:tc>
      </w:tr>
    </w:tbl>
    <w:p/>
    <w:p>
      <w:r>
        <w:rPr>
          <w:rFonts w:ascii="Calibri" w:hAnsi="Calibri"/>
          <w:b w:val="0"/>
          <w:i w:val="0"/>
          <w:color w:val="333333"/>
          <w:sz w:val="21"/>
        </w:rPr>
        <w:t>Enclosures used in Class C/D cleanroom environments use IP54-rated sealed enclosures (see Section 14) that further restrict physical access.</w:t>
      </w:r>
    </w:p>
    <w:p>
      <w:pPr>
        <w:pStyle w:val="Heading3"/>
      </w:pPr>
      <w:r>
        <w:t>9.5 Network Security</w:t>
      </w:r>
    </w:p>
    <w:p>
      <w:pPr>
        <w:pStyle w:val="ListBullet"/>
        <w:spacing w:before="20" w:after="20"/>
        <w:ind w:left="680"/>
      </w:pPr>
      <w:r>
        <w:rPr>
          <w:rFonts w:ascii="Calibri" w:hAnsi="Calibri"/>
          <w:b w:val="0"/>
          <w:i w:val="0"/>
          <w:color w:val="333333"/>
          <w:sz w:val="21"/>
        </w:rPr>
        <w:t xml:space="preserve">All outbound traffic from the Box goes to </w:t>
      </w:r>
      <w:r>
        <w:rPr>
          <w:rFonts w:ascii="Consolas" w:hAnsi="Consolas"/>
          <w:b w:val="0"/>
          <w:i w:val="0"/>
          <w:color w:val="1A1A2E"/>
          <w:sz w:val="18"/>
        </w:rPr>
        <w:t>api.bionexus.io</w:t>
      </w:r>
      <w:r>
        <w:rPr>
          <w:rFonts w:ascii="Calibri" w:hAnsi="Calibri"/>
          <w:b w:val="0"/>
          <w:i w:val="0"/>
          <w:color w:val="333333"/>
          <w:sz w:val="21"/>
        </w:rPr>
        <w:t xml:space="preserve"> (HTTPS, port 443) only.</w:t>
      </w:r>
    </w:p>
    <w:p>
      <w:pPr>
        <w:pStyle w:val="ListBullet"/>
        <w:spacing w:before="20" w:after="20"/>
        <w:ind w:left="680"/>
      </w:pPr>
      <w:r>
        <w:rPr>
          <w:rFonts w:ascii="Consolas" w:hAnsi="Consolas"/>
          <w:b w:val="0"/>
          <w:i w:val="0"/>
          <w:color w:val="1A1A2E"/>
          <w:sz w:val="18"/>
        </w:rPr>
        <w:t>nftables</w:t>
      </w:r>
      <w:r>
        <w:rPr>
          <w:rFonts w:ascii="Calibri" w:hAnsi="Calibri"/>
          <w:b w:val="0"/>
          <w:i w:val="0"/>
          <w:color w:val="333333"/>
          <w:sz w:val="21"/>
        </w:rPr>
        <w:t xml:space="preserve"> blocks all other outbound traffic except NTP (UDP 123) and DNS (UDP/TCP 53).</w:t>
      </w:r>
    </w:p>
    <w:p>
      <w:pPr>
        <w:pStyle w:val="ListBullet"/>
        <w:spacing w:before="20" w:after="20"/>
        <w:ind w:left="680"/>
      </w:pPr>
      <w:r>
        <w:rPr>
          <w:rFonts w:ascii="Calibri" w:hAnsi="Calibri"/>
          <w:b w:val="0"/>
          <w:i w:val="0"/>
          <w:color w:val="333333"/>
          <w:sz w:val="21"/>
        </w:rPr>
        <w:t>No inbound ports except SSH (TCP 22) restricted to BioNexus management IP range (</w:t>
      </w:r>
      <w:r>
        <w:rPr>
          <w:rFonts w:ascii="Consolas" w:hAnsi="Consolas"/>
          <w:b w:val="0"/>
          <w:i w:val="0"/>
          <w:color w:val="1A1A2E"/>
          <w:sz w:val="18"/>
        </w:rPr>
        <w:t>10.0.0.0/8</w:t>
      </w:r>
      <w:r>
        <w:rPr>
          <w:rFonts w:ascii="Calibri" w:hAnsi="Calibri"/>
          <w:b w:val="0"/>
          <w:i w:val="0"/>
          <w:color w:val="333333"/>
          <w:sz w:val="21"/>
        </w:rPr>
        <w:t xml:space="preserve"> or customer-specific allowlist).</w:t>
      </w:r>
    </w:p>
    <w:p>
      <w:pPr>
        <w:pStyle w:val="ListBullet"/>
        <w:spacing w:before="20" w:after="20"/>
        <w:ind w:left="680"/>
      </w:pPr>
      <w:r>
        <w:rPr>
          <w:rFonts w:ascii="Calibri" w:hAnsi="Calibri"/>
          <w:b w:val="0"/>
          <w:i w:val="0"/>
          <w:color w:val="333333"/>
          <w:sz w:val="21"/>
        </w:rPr>
        <w:t>SSH uses key-based authentication; RSA-4096 or ED25519 keys only. Password auth disabled.</w:t>
      </w:r>
    </w:p>
    <w:p>
      <w:pPr>
        <w:pStyle w:val="ListBullet"/>
        <w:spacing w:before="20" w:after="20"/>
        <w:ind w:left="680"/>
      </w:pPr>
      <w:r>
        <w:rPr>
          <w:rFonts w:ascii="Calibri" w:hAnsi="Calibri"/>
          <w:b w:val="0"/>
          <w:i w:val="0"/>
          <w:color w:val="333333"/>
          <w:sz w:val="21"/>
        </w:rPr>
        <w:t>SSH keys for remote diagnostics are rotated monthly.</w:t>
      </w:r>
    </w:p>
    <w:p>
      <w:r>
        <w:br w:type="page"/>
      </w:r>
    </w:p>
    <w:p>
      <w:pPr>
        <w:pStyle w:val="Heading1"/>
      </w:pPr>
      <w:r>
        <w:t>10. Firmware Update Strategy</w:t>
      </w:r>
    </w:p>
    <w:p>
      <w:pPr>
        <w:pStyle w:val="Heading3"/>
      </w:pPr>
      <w:r>
        <w:t>10.1 OTA Update Mechanism</w:t>
      </w:r>
    </w:p>
    <w:p>
      <w:r>
        <w:rPr>
          <w:rFonts w:ascii="Calibri" w:hAnsi="Calibri"/>
          <w:b w:val="0"/>
          <w:i w:val="0"/>
          <w:color w:val="333333"/>
          <w:sz w:val="21"/>
        </w:rPr>
        <w:t>BioNexus Box firmware (the entire OS image + software stack) is updated over-the-air via a two-partition A/B update scheme:</w:t>
      </w:r>
    </w:p>
    <w:tbl>
      <w:tblPr>
        <w:tblW w:type="auto" w:w="0"/>
        <w:jc w:val="left"/>
        <w:tblLook w:firstColumn="1" w:firstRow="1" w:lastColumn="0" w:lastRow="0" w:noHBand="0" w:noVBand="1" w:val="04A0"/>
      </w:tblPr>
      <w:tblGrid>
        <w:gridCol w:w="9406"/>
      </w:tblGrid>
      <w:tr>
        <w:tc>
          <w:tcPr>
            <w:tcW w:type="dxa" w:w="9406"/>
            <w:shd w:fill="F0F2F5" w:val="clear"/>
            <w:tcBorders>
              <w:top w:val="single" w:sz="4" w:space="0" w:color="D0D5DD"/>
              <w:left w:val="single" w:sz="4" w:space="0" w:color="D0D5DD"/>
              <w:bottom w:val="single" w:sz="4" w:space="0" w:color="D0D5DD"/>
              <w:right w:val="single" w:sz="4" w:space="0" w:color="D0D5DD"/>
            </w:tcBorders>
            <w:tcMar>
              <w:top w:w="100" w:type="dxa"/>
              <w:bottom w:w="100" w:type="dxa"/>
              <w:left w:w="150" w:type="dxa"/>
              <w:right w:w="150" w:type="dxa"/>
            </w:tcMar>
          </w:tcPr>
          <w:p>
            <w:pPr>
              <w:spacing w:before="0" w:after="0" w:line="240" w:lineRule="auto"/>
            </w:pPr>
            <w:r>
              <w:rPr>
                <w:rFonts w:ascii="Consolas" w:hAnsi="Consolas"/>
                <w:color w:val="1A1A2E"/>
                <w:sz w:val="16"/>
              </w:rPr>
              <w:t>eMMC Layout:</w:t>
              <w:br/>
              <w:t>+------------------+------------------+------------------+------------------+</w:t>
              <w:br/>
              <w:t>| Boot partition   | System-A (active)| System-B (standby| Data partition   |</w:t>
              <w:br/>
              <w:t>| (read-only)      | Firmware 1.3.2   | Firmware 1.3.3   | LUKS encrypted   |</w:t>
              <w:br/>
              <w:t>| 256 MB           | 4 GB (dm-verity) | 4 GB (dm-verity) | remainder        |</w:t>
              <w:br/>
              <w:t>+------------------+------------------+------------------+------------------+</w:t>
              <w:br/>
              <w:t xml:space="preserve">         ^                   ^                   ^</w:t>
              <w:br/>
              <w:t xml:space="preserve">    Shared GRUB         Currently booted    Update written here,</w:t>
              <w:br/>
              <w:t xml:space="preserve">    / RPi bootloader    read-only rootfs    verified, then set active</w:t>
            </w:r>
          </w:p>
        </w:tc>
      </w:tr>
    </w:tbl>
    <w:p>
      <w:pPr>
        <w:spacing w:before="40" w:after="40"/>
      </w:pPr>
    </w:p>
    <w:p>
      <w:r>
        <w:rPr>
          <w:rFonts w:ascii="Calibri" w:hAnsi="Calibri"/>
          <w:b/>
          <w:i w:val="0"/>
          <w:color w:val="333333"/>
          <w:sz w:val="21"/>
        </w:rPr>
        <w:t>Update process:</w:t>
      </w:r>
    </w:p>
    <w:p>
      <w:pPr>
        <w:spacing w:before="20" w:after="20"/>
        <w:ind w:left="680"/>
      </w:pPr>
      <w:r>
        <w:rPr>
          <w:rFonts w:ascii="Calibri" w:hAnsi="Calibri"/>
          <w:b/>
          <w:i w:val="0"/>
          <w:color w:val="0C2D5A"/>
          <w:sz w:val="21"/>
        </w:rPr>
        <w:t xml:space="preserve">1. </w:t>
      </w:r>
      <w:r>
        <w:rPr>
          <w:rFonts w:ascii="Calibri" w:hAnsi="Calibri"/>
          <w:b w:val="0"/>
          <w:i w:val="0"/>
          <w:color w:val="333333"/>
          <w:sz w:val="21"/>
        </w:rPr>
        <w:t>Backend management plane pushes update notification to Box via next heartbeat response</w:t>
      </w:r>
    </w:p>
    <w:p>
      <w:pPr>
        <w:spacing w:before="20" w:after="20"/>
        <w:ind w:left="680"/>
      </w:pPr>
      <w:r>
        <w:rPr>
          <w:rFonts w:ascii="Calibri" w:hAnsi="Calibri"/>
          <w:b/>
          <w:i w:val="0"/>
          <w:color w:val="0C2D5A"/>
          <w:sz w:val="21"/>
        </w:rPr>
        <w:t xml:space="preserve">2. </w:t>
      </w:r>
      <w:r>
        <w:rPr>
          <w:rFonts w:ascii="Calibri" w:hAnsi="Calibri"/>
          <w:b w:val="0"/>
          <w:i w:val="0"/>
          <w:color w:val="333333"/>
          <w:sz w:val="21"/>
        </w:rPr>
        <w:t>Box Updater downloads firmware bundle from a signed GCS bucket URL (time-limited, pre-signed)</w:t>
      </w:r>
    </w:p>
    <w:p>
      <w:pPr>
        <w:spacing w:before="20" w:after="20"/>
        <w:ind w:left="680"/>
      </w:pPr>
      <w:r>
        <w:rPr>
          <w:rFonts w:ascii="Calibri" w:hAnsi="Calibri"/>
          <w:b/>
          <w:i w:val="0"/>
          <w:color w:val="0C2D5A"/>
          <w:sz w:val="21"/>
        </w:rPr>
        <w:t xml:space="preserve">3. </w:t>
      </w:r>
      <w:r>
        <w:rPr>
          <w:rFonts w:ascii="Calibri" w:hAnsi="Calibri"/>
          <w:b w:val="0"/>
          <w:i w:val="0"/>
          <w:color w:val="333333"/>
          <w:sz w:val="21"/>
        </w:rPr>
        <w:t>Bundle signature verified (Ed25519, BioNexus Firmware Signing Key)</w:t>
      </w:r>
    </w:p>
    <w:p>
      <w:pPr>
        <w:spacing w:before="20" w:after="20"/>
        <w:ind w:left="680"/>
      </w:pPr>
      <w:r>
        <w:rPr>
          <w:rFonts w:ascii="Calibri" w:hAnsi="Calibri"/>
          <w:b/>
          <w:i w:val="0"/>
          <w:color w:val="0C2D5A"/>
          <w:sz w:val="21"/>
        </w:rPr>
        <w:t xml:space="preserve">4. </w:t>
      </w:r>
      <w:r>
        <w:rPr>
          <w:rFonts w:ascii="Calibri" w:hAnsi="Calibri"/>
          <w:b w:val="0"/>
          <w:i w:val="0"/>
          <w:color w:val="333333"/>
          <w:sz w:val="21"/>
        </w:rPr>
        <w:t>Bundle SHA-256 checksum verified</w:t>
      </w:r>
    </w:p>
    <w:p>
      <w:pPr>
        <w:spacing w:before="20" w:after="20"/>
        <w:ind w:left="680"/>
      </w:pPr>
      <w:r>
        <w:rPr>
          <w:rFonts w:ascii="Calibri" w:hAnsi="Calibri"/>
          <w:b/>
          <w:i w:val="0"/>
          <w:color w:val="0C2D5A"/>
          <w:sz w:val="21"/>
        </w:rPr>
        <w:t xml:space="preserve">5. </w:t>
      </w:r>
      <w:r>
        <w:rPr>
          <w:rFonts w:ascii="Calibri" w:hAnsi="Calibri"/>
          <w:b w:val="0"/>
          <w:i w:val="0"/>
          <w:color w:val="333333"/>
          <w:sz w:val="21"/>
        </w:rPr>
        <w:t>New firmware written to the standby partition (System-B)</w:t>
      </w:r>
    </w:p>
    <w:p>
      <w:pPr>
        <w:spacing w:before="20" w:after="20"/>
        <w:ind w:left="680"/>
      </w:pPr>
      <w:r>
        <w:rPr>
          <w:rFonts w:ascii="Calibri" w:hAnsi="Calibri"/>
          <w:b/>
          <w:i w:val="0"/>
          <w:color w:val="0C2D5A"/>
          <w:sz w:val="21"/>
        </w:rPr>
        <w:t xml:space="preserve">6. </w:t>
      </w:r>
      <w:r>
        <w:rPr>
          <w:rFonts w:ascii="Consolas" w:hAnsi="Consolas"/>
          <w:b w:val="0"/>
          <w:i w:val="0"/>
          <w:color w:val="1A1A2E"/>
          <w:sz w:val="18"/>
        </w:rPr>
        <w:t>dm-verity</w:t>
      </w:r>
      <w:r>
        <w:rPr>
          <w:rFonts w:ascii="Calibri" w:hAnsi="Calibri"/>
          <w:b w:val="0"/>
          <w:i w:val="0"/>
          <w:color w:val="333333"/>
          <w:sz w:val="21"/>
        </w:rPr>
        <w:t xml:space="preserve"> hash tree computed and stored for standby partition</w:t>
      </w:r>
    </w:p>
    <w:p>
      <w:pPr>
        <w:spacing w:before="20" w:after="20"/>
        <w:ind w:left="680"/>
      </w:pPr>
      <w:r>
        <w:rPr>
          <w:rFonts w:ascii="Calibri" w:hAnsi="Calibri"/>
          <w:b/>
          <w:i w:val="0"/>
          <w:color w:val="0C2D5A"/>
          <w:sz w:val="21"/>
        </w:rPr>
        <w:t xml:space="preserve">7. </w:t>
      </w:r>
      <w:r>
        <w:rPr>
          <w:rFonts w:ascii="Calibri" w:hAnsi="Calibri"/>
          <w:b w:val="0"/>
          <w:i w:val="0"/>
          <w:color w:val="333333"/>
          <w:sz w:val="21"/>
        </w:rPr>
        <w:t>Standby partition hash verified before marking bootable</w:t>
      </w:r>
    </w:p>
    <w:p>
      <w:pPr>
        <w:spacing w:before="20" w:after="20"/>
        <w:ind w:left="680"/>
      </w:pPr>
      <w:r>
        <w:rPr>
          <w:rFonts w:ascii="Calibri" w:hAnsi="Calibri"/>
          <w:b/>
          <w:i w:val="0"/>
          <w:color w:val="0C2D5A"/>
          <w:sz w:val="21"/>
        </w:rPr>
        <w:t xml:space="preserve">8. </w:t>
      </w:r>
      <w:r>
        <w:rPr>
          <w:rFonts w:ascii="Calibri" w:hAnsi="Calibri"/>
          <w:b w:val="0"/>
          <w:i w:val="0"/>
          <w:color w:val="333333"/>
          <w:sz w:val="21"/>
        </w:rPr>
        <w:t>Box scheduled for reboot at next maintenance window (configurable: immediate, next maintenance window, or manual trigger)</w:t>
      </w:r>
    </w:p>
    <w:p>
      <w:pPr>
        <w:spacing w:before="20" w:after="20"/>
        <w:ind w:left="680"/>
      </w:pPr>
      <w:r>
        <w:rPr>
          <w:rFonts w:ascii="Calibri" w:hAnsi="Calibri"/>
          <w:b/>
          <w:i w:val="0"/>
          <w:color w:val="0C2D5A"/>
          <w:sz w:val="21"/>
        </w:rPr>
        <w:t xml:space="preserve">9. </w:t>
      </w:r>
      <w:r>
        <w:rPr>
          <w:rFonts w:ascii="Calibri" w:hAnsi="Calibri"/>
          <w:b w:val="0"/>
          <w:i w:val="0"/>
          <w:color w:val="333333"/>
          <w:sz w:val="21"/>
        </w:rPr>
        <w:t>Bootloader updated to boot from System-B</w:t>
      </w:r>
    </w:p>
    <w:p>
      <w:pPr>
        <w:spacing w:before="20" w:after="20"/>
        <w:ind w:left="680"/>
      </w:pPr>
      <w:r>
        <w:rPr>
          <w:rFonts w:ascii="Calibri" w:hAnsi="Calibri"/>
          <w:b/>
          <w:i w:val="0"/>
          <w:color w:val="0C2D5A"/>
          <w:sz w:val="21"/>
        </w:rPr>
        <w:t xml:space="preserve">10. </w:t>
      </w:r>
      <w:r>
        <w:rPr>
          <w:rFonts w:ascii="Calibri" w:hAnsi="Calibri"/>
          <w:b w:val="0"/>
          <w:i w:val="0"/>
          <w:color w:val="333333"/>
          <w:sz w:val="21"/>
        </w:rPr>
        <w:t>On first successful boot from B: System-B marked permanent active</w:t>
      </w:r>
    </w:p>
    <w:p>
      <w:pPr>
        <w:spacing w:before="20" w:after="20"/>
        <w:ind w:left="680"/>
      </w:pPr>
      <w:r>
        <w:rPr>
          <w:rFonts w:ascii="Calibri" w:hAnsi="Calibri"/>
          <w:b/>
          <w:i w:val="0"/>
          <w:color w:val="0C2D5A"/>
          <w:sz w:val="21"/>
        </w:rPr>
        <w:t xml:space="preserve">11. </w:t>
      </w:r>
      <w:r>
        <w:rPr>
          <w:rFonts w:ascii="Calibri" w:hAnsi="Calibri"/>
          <w:b w:val="0"/>
          <w:i w:val="0"/>
          <w:color w:val="333333"/>
          <w:sz w:val="21"/>
        </w:rPr>
        <w:t>If boot fails (timeout, watchdog trigger): bootloader reverts to System-A automatically</w:t>
      </w:r>
    </w:p>
    <w:p>
      <w:pPr>
        <w:pStyle w:val="Heading3"/>
      </w:pPr>
      <w:r>
        <w:t>10.2 Rollback Capability</w:t>
      </w:r>
    </w:p>
    <w:p>
      <w:r>
        <w:rPr>
          <w:rFonts w:ascii="Calibri" w:hAnsi="Calibri"/>
          <w:b w:val="0"/>
          <w:i w:val="0"/>
          <w:color w:val="333333"/>
          <w:sz w:val="21"/>
        </w:rPr>
        <w:t>The A/B partition scheme guarantees automatic rollback:</w:t>
      </w:r>
    </w:p>
    <w:p>
      <w:pPr>
        <w:pStyle w:val="ListBullet"/>
        <w:spacing w:before="20" w:after="20"/>
        <w:ind w:left="680"/>
      </w:pPr>
      <w:r>
        <w:rPr>
          <w:rFonts w:ascii="Calibri" w:hAnsi="Calibri"/>
          <w:b w:val="0"/>
          <w:i w:val="0"/>
          <w:color w:val="333333"/>
          <w:sz w:val="21"/>
        </w:rPr>
        <w:t>If System-B fails to boot within a configurable timeout (default: 3 minutes), the hardware watchdog fires and the bootloader reverts to System-A.</w:t>
      </w:r>
    </w:p>
    <w:p>
      <w:pPr>
        <w:pStyle w:val="ListBullet"/>
        <w:spacing w:before="20" w:after="20"/>
        <w:ind w:left="680"/>
      </w:pPr>
      <w:r>
        <w:rPr>
          <w:rFonts w:ascii="Calibri" w:hAnsi="Calibri"/>
          <w:b w:val="0"/>
          <w:i w:val="0"/>
          <w:color w:val="333333"/>
          <w:sz w:val="21"/>
        </w:rPr>
        <w:t xml:space="preserve">A "boot success" confirmation is written to the bootloader environment after the </w:t>
      </w:r>
      <w:r>
        <w:rPr>
          <w:rFonts w:ascii="Consolas" w:hAnsi="Consolas"/>
          <w:b w:val="0"/>
          <w:i w:val="0"/>
          <w:color w:val="1A1A2E"/>
          <w:sz w:val="18"/>
        </w:rPr>
        <w:t>bionexus-agent</w:t>
      </w:r>
      <w:r>
        <w:rPr>
          <w:rFonts w:ascii="Calibri" w:hAnsi="Calibri"/>
          <w:b w:val="0"/>
          <w:i w:val="0"/>
          <w:color w:val="333333"/>
          <w:sz w:val="21"/>
        </w:rPr>
        <w:t xml:space="preserve"> service starts successfully.</w:t>
      </w:r>
    </w:p>
    <w:p>
      <w:pPr>
        <w:pStyle w:val="ListBullet"/>
        <w:spacing w:before="20" w:after="20"/>
        <w:ind w:left="680"/>
      </w:pPr>
      <w:r>
        <w:rPr>
          <w:rFonts w:ascii="Calibri" w:hAnsi="Calibri"/>
          <w:b w:val="0"/>
          <w:i w:val="0"/>
          <w:color w:val="333333"/>
          <w:sz w:val="21"/>
        </w:rPr>
        <w:t>Manual rollback is available via the management plane ("revert to previous firmware") which triggers the same bootloader switch.</w:t>
      </w:r>
    </w:p>
    <w:p>
      <w:pPr>
        <w:pStyle w:val="ListBullet"/>
        <w:spacing w:before="20" w:after="20"/>
        <w:ind w:left="680"/>
      </w:pPr>
      <w:r>
        <w:rPr>
          <w:rFonts w:ascii="Calibri" w:hAnsi="Calibri"/>
          <w:b w:val="0"/>
          <w:i w:val="0"/>
          <w:color w:val="333333"/>
          <w:sz w:val="21"/>
        </w:rPr>
        <w:t>All firmware versions are retained for 3 rollback generations in the management plane (can redeploy any of the last 3 versions).</w:t>
      </w:r>
    </w:p>
    <w:p>
      <w:pPr>
        <w:pStyle w:val="Heading3"/>
      </w:pPr>
      <w:r>
        <w:t>10.3 Change Control Compliance</w:t>
      </w:r>
    </w:p>
    <w:p>
      <w:r>
        <w:rPr>
          <w:rFonts w:ascii="Calibri" w:hAnsi="Calibri"/>
          <w:b w:val="0"/>
          <w:i w:val="0"/>
          <w:color w:val="333333"/>
          <w:sz w:val="21"/>
        </w:rPr>
        <w:t>Every firmware release must pass the following gate before deployment to customer Boxes:</w:t>
      </w:r>
    </w:p>
    <w:tbl>
      <w:tblPr>
        <w:tblW w:type="auto" w:w="0"/>
        <w:jc w:val="center"/>
        <w:tblLayout w:type="autofit"/>
        <w:tblLook w:firstColumn="1" w:firstRow="1" w:lastColumn="0" w:lastRow="0" w:noHBand="0" w:noVBand="1" w:val="04A0"/>
      </w:tblPr>
      <w:tblGrid>
        <w:gridCol w:w="4703"/>
        <w:gridCol w:w="4703"/>
      </w:tblGrid>
      <w:tr>
        <w:tc>
          <w:tcPr>
            <w:tcW w:type="dxa" w:w="4703"/>
            <w:shd w:fill="0C2D5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i w:val="0"/>
                <w:color w:val="FFFFFF"/>
                <w:sz w:val="19"/>
              </w:rPr>
              <w:t>Gate</w:t>
            </w:r>
          </w:p>
        </w:tc>
        <w:tc>
          <w:tcPr>
            <w:tcW w:type="dxa" w:w="4703"/>
            <w:shd w:fill="0C2D5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i w:val="0"/>
                <w:color w:val="FFFFFF"/>
                <w:sz w:val="19"/>
              </w:rPr>
              <w:t>Description</w:t>
            </w:r>
          </w:p>
        </w:tc>
      </w:tr>
      <w:tr>
        <w:tc>
          <w:tcPr>
            <w:tcW w:type="dxa" w:w="4703"/>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Version increment</w:t>
            </w:r>
          </w:p>
        </w:tc>
        <w:tc>
          <w:tcPr>
            <w:tcW w:type="dxa" w:w="4703"/>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Semantic versioning (MAJOR.MINOR.PATCH); version embedded in signed bundle</w:t>
            </w:r>
          </w:p>
        </w:tc>
      </w:tr>
      <w:tr>
        <w:tc>
          <w:tcPr>
            <w:tcW w:type="dxa" w:w="4703"/>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Changelog</w:t>
            </w:r>
          </w:p>
        </w:tc>
        <w:tc>
          <w:tcPr>
            <w:tcW w:type="dxa" w:w="4703"/>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Human-readable list of changes (required for GxP change control documentation)</w:t>
            </w:r>
          </w:p>
        </w:tc>
      </w:tr>
      <w:tr>
        <w:tc>
          <w:tcPr>
            <w:tcW w:type="dxa" w:w="4703"/>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Regression test suite</w:t>
            </w:r>
          </w:p>
        </w:tc>
        <w:tc>
          <w:tcPr>
            <w:tcW w:type="dxa" w:w="4703"/>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Automated tests run against firmware in CI/CD pipeline</w:t>
            </w:r>
          </w:p>
        </w:tc>
      </w:tr>
      <w:tr>
        <w:tc>
          <w:tcPr>
            <w:tcW w:type="dxa" w:w="4703"/>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Signing</w:t>
            </w:r>
          </w:p>
        </w:tc>
        <w:tc>
          <w:tcPr>
            <w:tcW w:type="dxa" w:w="4703"/>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Ed25519 signature by authorized BioNexus firmware signing officer</w:t>
            </w:r>
          </w:p>
        </w:tc>
      </w:tr>
      <w:tr>
        <w:tc>
          <w:tcPr>
            <w:tcW w:type="dxa" w:w="4703"/>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Staged rollout</w:t>
            </w:r>
          </w:p>
        </w:tc>
        <w:tc>
          <w:tcPr>
            <w:tcW w:type="dxa" w:w="4703"/>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5% → 25% → 100% of Boxes, with 24-hour hold between stages</w:t>
            </w:r>
          </w:p>
        </w:tc>
      </w:tr>
      <w:tr>
        <w:tc>
          <w:tcPr>
            <w:tcW w:type="dxa" w:w="4703"/>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Audit record</w:t>
            </w:r>
          </w:p>
        </w:tc>
        <w:tc>
          <w:tcPr>
            <w:tcW w:type="dxa" w:w="4703"/>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Firmware deployment recorded in cloud audit trail with version, deployer, timestamp</w:t>
            </w:r>
          </w:p>
        </w:tc>
      </w:tr>
    </w:tbl>
    <w:p/>
    <w:p>
      <w:r>
        <w:rPr>
          <w:rFonts w:ascii="Calibri" w:hAnsi="Calibri"/>
          <w:b w:val="0"/>
          <w:i w:val="0"/>
          <w:color w:val="333333"/>
          <w:sz w:val="21"/>
        </w:rPr>
        <w:t>For customer sites under validated computer system (CSV) status, firmware updates may require customer approval (change request) before deployment. The management plane supports a "hold" flag per tenant that prevents automatic updates; the customer's QA team approves updates manually.</w:t>
      </w:r>
    </w:p>
    <w:p>
      <w:pPr>
        <w:pStyle w:val="Heading3"/>
      </w:pPr>
      <w:r>
        <w:t>10.4 Update Verification</w:t>
      </w:r>
    </w:p>
    <w:p>
      <w:r>
        <w:rPr>
          <w:rFonts w:ascii="Calibri" w:hAnsi="Calibri"/>
          <w:b w:val="0"/>
          <w:i w:val="0"/>
          <w:color w:val="333333"/>
          <w:sz w:val="21"/>
        </w:rPr>
        <w:t>After each successful update:</w:t>
      </w:r>
    </w:p>
    <w:p>
      <w:pPr>
        <w:spacing w:before="20" w:after="20"/>
        <w:ind w:left="680"/>
      </w:pPr>
      <w:r>
        <w:rPr>
          <w:rFonts w:ascii="Calibri" w:hAnsi="Calibri"/>
          <w:b/>
          <w:i w:val="0"/>
          <w:color w:val="0C2D5A"/>
          <w:sz w:val="21"/>
        </w:rPr>
        <w:t xml:space="preserve">1. </w:t>
      </w:r>
      <w:r>
        <w:rPr>
          <w:rFonts w:ascii="Calibri" w:hAnsi="Calibri"/>
          <w:b w:val="0"/>
          <w:i w:val="0"/>
          <w:color w:val="333333"/>
          <w:sz w:val="21"/>
        </w:rPr>
        <w:t>Box reports firmware version in next heartbeat</w:t>
      </w:r>
    </w:p>
    <w:p>
      <w:pPr>
        <w:spacing w:before="20" w:after="20"/>
        <w:ind w:left="680"/>
      </w:pPr>
      <w:r>
        <w:rPr>
          <w:rFonts w:ascii="Calibri" w:hAnsi="Calibri"/>
          <w:b/>
          <w:i w:val="0"/>
          <w:color w:val="0C2D5A"/>
          <w:sz w:val="21"/>
        </w:rPr>
        <w:t xml:space="preserve">2. </w:t>
      </w:r>
      <w:r>
        <w:rPr>
          <w:rFonts w:ascii="Calibri" w:hAnsi="Calibri"/>
          <w:b w:val="0"/>
          <w:i w:val="0"/>
          <w:color w:val="333333"/>
          <w:sz w:val="21"/>
        </w:rPr>
        <w:t>Management plane verifies reported version matches intended version</w:t>
      </w:r>
    </w:p>
    <w:p>
      <w:pPr>
        <w:spacing w:before="20" w:after="20"/>
        <w:ind w:left="680"/>
      </w:pPr>
      <w:r>
        <w:rPr>
          <w:rFonts w:ascii="Calibri" w:hAnsi="Calibri"/>
          <w:b/>
          <w:i w:val="0"/>
          <w:color w:val="0C2D5A"/>
          <w:sz w:val="21"/>
        </w:rPr>
        <w:t xml:space="preserve">3. </w:t>
      </w:r>
      <w:r>
        <w:rPr>
          <w:rFonts w:ascii="Calibri" w:hAnsi="Calibri"/>
          <w:b w:val="0"/>
          <w:i w:val="0"/>
          <w:color w:val="333333"/>
          <w:sz w:val="21"/>
        </w:rPr>
        <w:t>If mismatch, Box is flagged for investigation (possible update failure or tampered version)</w:t>
      </w:r>
    </w:p>
    <w:p>
      <w:pPr>
        <w:spacing w:before="20" w:after="20"/>
        <w:ind w:left="680"/>
      </w:pPr>
      <w:r>
        <w:rPr>
          <w:rFonts w:ascii="Calibri" w:hAnsi="Calibri"/>
          <w:b/>
          <w:i w:val="0"/>
          <w:color w:val="0C2D5A"/>
          <w:sz w:val="21"/>
        </w:rPr>
        <w:t xml:space="preserve">4. </w:t>
      </w:r>
      <w:r>
        <w:rPr>
          <w:rFonts w:ascii="Calibri" w:hAnsi="Calibri"/>
          <w:b w:val="0"/>
          <w:i w:val="0"/>
          <w:color w:val="333333"/>
          <w:sz w:val="21"/>
        </w:rPr>
        <w:t xml:space="preserve">Box reports </w:t>
      </w:r>
      <w:r>
        <w:rPr>
          <w:rFonts w:ascii="Consolas" w:hAnsi="Consolas"/>
          <w:b w:val="0"/>
          <w:i w:val="0"/>
          <w:color w:val="1A1A2E"/>
          <w:sz w:val="18"/>
        </w:rPr>
        <w:t>dm-verity</w:t>
      </w:r>
      <w:r>
        <w:rPr>
          <w:rFonts w:ascii="Calibri" w:hAnsi="Calibri"/>
          <w:b w:val="0"/>
          <w:i w:val="0"/>
          <w:color w:val="333333"/>
          <w:sz w:val="21"/>
        </w:rPr>
        <w:t xml:space="preserve"> status for the active partition (passes/fails); failure triggers immediate alert</w:t>
      </w:r>
    </w:p>
    <w:p>
      <w:r>
        <w:br w:type="page"/>
      </w:r>
    </w:p>
    <w:p>
      <w:pPr>
        <w:pStyle w:val="Heading1"/>
      </w:pPr>
      <w:r>
        <w:t>11. Deployment and Provisioning</w:t>
      </w:r>
    </w:p>
    <w:p>
      <w:pPr>
        <w:pStyle w:val="Heading3"/>
      </w:pPr>
      <w:r>
        <w:t>11.1 Overview</w:t>
      </w:r>
    </w:p>
    <w:p>
      <w:r>
        <w:rPr>
          <w:rFonts w:ascii="Calibri" w:hAnsi="Calibri"/>
          <w:b w:val="0"/>
          <w:i w:val="0"/>
          <w:color w:val="333333"/>
          <w:sz w:val="21"/>
        </w:rPr>
        <w:t>The BioNexus Box is shipped to the customer site as a pre-provisioned device. The provisioning workflow is:</w:t>
      </w:r>
    </w:p>
    <w:tbl>
      <w:tblPr>
        <w:tblW w:type="auto" w:w="0"/>
        <w:jc w:val="left"/>
        <w:tblLook w:firstColumn="1" w:firstRow="1" w:lastColumn="0" w:lastRow="0" w:noHBand="0" w:noVBand="1" w:val="04A0"/>
      </w:tblPr>
      <w:tblGrid>
        <w:gridCol w:w="9406"/>
      </w:tblGrid>
      <w:tr>
        <w:tc>
          <w:tcPr>
            <w:tcW w:type="dxa" w:w="9406"/>
            <w:shd w:fill="F0F2F5" w:val="clear"/>
            <w:tcBorders>
              <w:top w:val="single" w:sz="4" w:space="0" w:color="D0D5DD"/>
              <w:left w:val="single" w:sz="4" w:space="0" w:color="D0D5DD"/>
              <w:bottom w:val="single" w:sz="4" w:space="0" w:color="D0D5DD"/>
              <w:right w:val="single" w:sz="4" w:space="0" w:color="D0D5DD"/>
            </w:tcBorders>
            <w:tcMar>
              <w:top w:w="100" w:type="dxa"/>
              <w:bottom w:w="100" w:type="dxa"/>
              <w:left w:w="150" w:type="dxa"/>
              <w:right w:w="150" w:type="dxa"/>
            </w:tcMar>
          </w:tcPr>
          <w:p>
            <w:pPr>
              <w:spacing w:before="0" w:after="0" w:line="240" w:lineRule="auto"/>
            </w:pPr>
            <w:r>
              <w:rPr>
                <w:rFonts w:ascii="Consolas" w:hAnsi="Consolas"/>
                <w:color w:val="1A1A2E"/>
                <w:sz w:val="16"/>
              </w:rPr>
              <w:t>BioNexus Factory/Lab                          Customer Site</w:t>
              <w:br/>
              <w:t xml:space="preserve">        |                                           |</w:t>
              <w:br/>
              <w:t>1. Flash base OS image to eMMC                     |</w:t>
              <w:br/>
              <w:t>2. Generate device_id (UUID)                       |</w:t>
              <w:br/>
              <w:t>3. Generate API key, encrypt and store             |</w:t>
              <w:br/>
              <w:t>4. Register device in cloud (device_id, tenant_id)|</w:t>
              <w:br/>
              <w:t>5. Write config.yaml with device_id + endpoint    |</w:t>
              <w:br/>
              <w:t>6. Run pre-ship diagnostics (all LEDs, serial     |</w:t>
              <w:br/>
              <w:t xml:space="preserve">   loopback, network connectivity)                |</w:t>
              <w:br/>
              <w:t>7. Apply tamper-evident seals to enclosure        |</w:t>
              <w:br/>
              <w:t>8. Ship Box + RS232 cable + power supply          |</w:t>
              <w:br/>
              <w:t xml:space="preserve">        |                                           |</w:t>
              <w:br/>
              <w:t xml:space="preserve">        +-----------[physical delivery]------------&gt;|</w:t>
              <w:br/>
              <w:t xml:space="preserve">                                                    |</w:t>
              <w:br/>
              <w:t xml:space="preserve">                                    9. Customer plugs into:</w:t>
              <w:br/>
              <w:t xml:space="preserve">                                       - Power (USB-C)</w:t>
              <w:br/>
              <w:t xml:space="preserve">                                       - Ethernet (to lab network)</w:t>
              <w:br/>
              <w:t xml:space="preserve">                                       - RS232/USB to instrument</w:t>
              <w:br/>
              <w:t xml:space="preserve">                                                    |</w:t>
              <w:br/>
              <w:t xml:space="preserve">                                    10. Box boots, connects to cloud</w:t>
              <w:br/>
              <w:t xml:space="preserve">                                        LED: blue (network OK)</w:t>
              <w:br/>
              <w:t xml:space="preserve">                                                    |</w:t>
              <w:br/>
              <w:t xml:space="preserve">                                    11. BioNexus tech (remote) confirms</w:t>
              <w:br/>
              <w:t xml:space="preserve">                                        device is online in management console</w:t>
              <w:br/>
              <w:t xml:space="preserve">                                    12. Configure instrument in cloud UI:</w:t>
              <w:br/>
              <w:t xml:space="preserve">                                        - Select instrument type</w:t>
              <w:br/>
              <w:t xml:space="preserve">                                        - Set serial params (baud, parity, etc.)</w:t>
              <w:br/>
              <w:t xml:space="preserve">                                        - Assign parser module</w:t>
              <w:br/>
              <w:t xml:space="preserve">                                    13. Push config to Box via management plane</w:t>
              <w:br/>
              <w:t xml:space="preserve">                                    14. Box restarts Collector with new config</w:t>
              <w:br/>
              <w:t xml:space="preserve">                                    15. First readings arrive in cloud dashboard</w:t>
              <w:br/>
              <w:t xml:space="preserve">                                        LED: amber (instrument active)</w:t>
              <w:br/>
              <w:t xml:space="preserve">                                                    |</w:t>
              <w:br/>
              <w:t xml:space="preserve">                                    16. Customer validates first batch of readings</w:t>
              <w:br/>
              <w:t xml:space="preserve">                                        against known instrument output (IQ step)</w:t>
              <w:br/>
              <w:t xml:space="preserve">                                    17. Installation complete — Box operational</w:t>
            </w:r>
          </w:p>
        </w:tc>
      </w:tr>
    </w:tbl>
    <w:p>
      <w:pPr>
        <w:spacing w:before="40" w:after="40"/>
      </w:pPr>
    </w:p>
    <w:p>
      <w:r>
        <w:rPr>
          <w:rFonts w:ascii="Calibri" w:hAnsi="Calibri"/>
          <w:b w:val="0"/>
          <w:i w:val="0"/>
          <w:color w:val="333333"/>
          <w:sz w:val="21"/>
        </w:rPr>
        <w:t>Total installation time target: under 60 minutes from box unpacking to first data in dashboard.</w:t>
      </w:r>
    </w:p>
    <w:p>
      <w:pPr>
        <w:pStyle w:val="Heading3"/>
      </w:pPr>
      <w:r>
        <w:t>11.2 Device Registration (Cloud Side)</w:t>
      </w:r>
    </w:p>
    <w:p>
      <w:r>
        <w:rPr>
          <w:rFonts w:ascii="Calibri" w:hAnsi="Calibri"/>
          <w:b w:val="0"/>
          <w:i w:val="0"/>
          <w:color w:val="333333"/>
          <w:sz w:val="21"/>
        </w:rPr>
        <w:t>When a Box first connects (using its provisioned API key), the GCP backend:</w:t>
      </w:r>
    </w:p>
    <w:p>
      <w:pPr>
        <w:spacing w:before="20" w:after="20"/>
        <w:ind w:left="680"/>
      </w:pPr>
      <w:r>
        <w:rPr>
          <w:rFonts w:ascii="Calibri" w:hAnsi="Calibri"/>
          <w:b/>
          <w:i w:val="0"/>
          <w:color w:val="0C2D5A"/>
          <w:sz w:val="21"/>
        </w:rPr>
        <w:t xml:space="preserve">1. </w:t>
      </w:r>
      <w:r>
        <w:rPr>
          <w:rFonts w:ascii="Calibri" w:hAnsi="Calibri"/>
          <w:b w:val="0"/>
          <w:i w:val="0"/>
          <w:color w:val="333333"/>
          <w:sz w:val="21"/>
        </w:rPr>
        <w:t xml:space="preserve">Validates the </w:t>
      </w:r>
      <w:r>
        <w:rPr>
          <w:rFonts w:ascii="Consolas" w:hAnsi="Consolas"/>
          <w:b w:val="0"/>
          <w:i w:val="0"/>
          <w:color w:val="1A1A2E"/>
          <w:sz w:val="18"/>
        </w:rPr>
        <w:t>device_id</w:t>
      </w:r>
      <w:r>
        <w:rPr>
          <w:rFonts w:ascii="Calibri" w:hAnsi="Calibri"/>
          <w:b w:val="0"/>
          <w:i w:val="0"/>
          <w:color w:val="333333"/>
          <w:sz w:val="21"/>
        </w:rPr>
        <w:t xml:space="preserve"> exists in the device registry</w:t>
      </w:r>
    </w:p>
    <w:p>
      <w:pPr>
        <w:spacing w:before="20" w:after="20"/>
        <w:ind w:left="680"/>
      </w:pPr>
      <w:r>
        <w:rPr>
          <w:rFonts w:ascii="Calibri" w:hAnsi="Calibri"/>
          <w:b/>
          <w:i w:val="0"/>
          <w:color w:val="0C2D5A"/>
          <w:sz w:val="21"/>
        </w:rPr>
        <w:t xml:space="preserve">2. </w:t>
      </w:r>
      <w:r>
        <w:rPr>
          <w:rFonts w:ascii="Calibri" w:hAnsi="Calibri"/>
          <w:b w:val="0"/>
          <w:i w:val="0"/>
          <w:color w:val="333333"/>
          <w:sz w:val="21"/>
        </w:rPr>
        <w:t xml:space="preserve">Sets the device status to </w:t>
      </w:r>
      <w:r>
        <w:rPr>
          <w:rFonts w:ascii="Consolas" w:hAnsi="Consolas"/>
          <w:b w:val="0"/>
          <w:i w:val="0"/>
          <w:color w:val="1A1A2E"/>
          <w:sz w:val="18"/>
        </w:rPr>
        <w:t>ONLINE</w:t>
      </w:r>
    </w:p>
    <w:p>
      <w:pPr>
        <w:spacing w:before="20" w:after="20"/>
        <w:ind w:left="680"/>
      </w:pPr>
      <w:r>
        <w:rPr>
          <w:rFonts w:ascii="Calibri" w:hAnsi="Calibri"/>
          <w:b/>
          <w:i w:val="0"/>
          <w:color w:val="0C2D5A"/>
          <w:sz w:val="21"/>
        </w:rPr>
        <w:t xml:space="preserve">3. </w:t>
      </w:r>
      <w:r>
        <w:rPr>
          <w:rFonts w:ascii="Calibri" w:hAnsi="Calibri"/>
          <w:b w:val="0"/>
          <w:i w:val="0"/>
          <w:color w:val="333333"/>
          <w:sz w:val="21"/>
        </w:rPr>
        <w:t xml:space="preserve">Records </w:t>
      </w:r>
      <w:r>
        <w:rPr>
          <w:rFonts w:ascii="Consolas" w:hAnsi="Consolas"/>
          <w:b w:val="0"/>
          <w:i w:val="0"/>
          <w:color w:val="1A1A2E"/>
          <w:sz w:val="18"/>
        </w:rPr>
        <w:t>first_seen_at</w:t>
      </w:r>
      <w:r>
        <w:rPr>
          <w:rFonts w:ascii="Calibri" w:hAnsi="Calibri"/>
          <w:b w:val="0"/>
          <w:i w:val="0"/>
          <w:color w:val="333333"/>
          <w:sz w:val="21"/>
        </w:rPr>
        <w:t xml:space="preserve">, </w:t>
      </w:r>
      <w:r>
        <w:rPr>
          <w:rFonts w:ascii="Consolas" w:hAnsi="Consolas"/>
          <w:b w:val="0"/>
          <w:i w:val="0"/>
          <w:color w:val="1A1A2E"/>
          <w:sz w:val="18"/>
        </w:rPr>
        <w:t>last_seen_at</w:t>
      </w:r>
      <w:r>
        <w:rPr>
          <w:rFonts w:ascii="Calibri" w:hAnsi="Calibri"/>
          <w:b w:val="0"/>
          <w:i w:val="0"/>
          <w:color w:val="333333"/>
          <w:sz w:val="21"/>
        </w:rPr>
        <w:t xml:space="preserve">, </w:t>
      </w:r>
      <w:r>
        <w:rPr>
          <w:rFonts w:ascii="Consolas" w:hAnsi="Consolas"/>
          <w:b w:val="0"/>
          <w:i w:val="0"/>
          <w:color w:val="1A1A2E"/>
          <w:sz w:val="18"/>
        </w:rPr>
        <w:t>firmware_version</w:t>
      </w:r>
      <w:r>
        <w:rPr>
          <w:rFonts w:ascii="Calibri" w:hAnsi="Calibri"/>
          <w:b w:val="0"/>
          <w:i w:val="0"/>
          <w:color w:val="333333"/>
          <w:sz w:val="21"/>
        </w:rPr>
        <w:t xml:space="preserve">, </w:t>
      </w:r>
      <w:r>
        <w:rPr>
          <w:rFonts w:ascii="Consolas" w:hAnsi="Consolas"/>
          <w:b w:val="0"/>
          <w:i w:val="0"/>
          <w:color w:val="1A1A2E"/>
          <w:sz w:val="18"/>
        </w:rPr>
        <w:t>ip_address</w:t>
      </w:r>
      <w:r>
        <w:rPr>
          <w:rFonts w:ascii="Calibri" w:hAnsi="Calibri"/>
          <w:b w:val="0"/>
          <w:i w:val="0"/>
          <w:color w:val="333333"/>
          <w:sz w:val="21"/>
        </w:rPr>
        <w:t xml:space="preserve"> (for diagnostics)</w:t>
      </w:r>
    </w:p>
    <w:p>
      <w:pPr>
        <w:spacing w:before="20" w:after="20"/>
        <w:ind w:left="680"/>
      </w:pPr>
      <w:r>
        <w:rPr>
          <w:rFonts w:ascii="Calibri" w:hAnsi="Calibri"/>
          <w:b/>
          <w:i w:val="0"/>
          <w:color w:val="0C2D5A"/>
          <w:sz w:val="21"/>
        </w:rPr>
        <w:t xml:space="preserve">4. </w:t>
      </w:r>
      <w:r>
        <w:rPr>
          <w:rFonts w:ascii="Calibri" w:hAnsi="Calibri"/>
          <w:b w:val="0"/>
          <w:i w:val="0"/>
          <w:color w:val="333333"/>
          <w:sz w:val="21"/>
        </w:rPr>
        <w:t>Returns any pending configuration updates in the heartbeat response</w:t>
      </w:r>
    </w:p>
    <w:tbl>
      <w:tblPr>
        <w:tblW w:type="auto" w:w="0"/>
        <w:jc w:val="left"/>
        <w:tblLook w:firstColumn="1" w:firstRow="1" w:lastColumn="0" w:lastRow="0" w:noHBand="0" w:noVBand="1" w:val="04A0"/>
      </w:tblPr>
      <w:tblGrid>
        <w:gridCol w:w="9406"/>
      </w:tblGrid>
      <w:tr>
        <w:tc>
          <w:tcPr>
            <w:tcW w:type="dxa" w:w="9406"/>
            <w:shd w:fill="F0F2F5" w:val="clear"/>
            <w:tcBorders>
              <w:top w:val="single" w:sz="4" w:space="0" w:color="D0D5DD"/>
              <w:left w:val="single" w:sz="4" w:space="0" w:color="D0D5DD"/>
              <w:bottom w:val="single" w:sz="4" w:space="0" w:color="D0D5DD"/>
              <w:right w:val="single" w:sz="4" w:space="0" w:color="D0D5DD"/>
            </w:tcBorders>
            <w:tcMar>
              <w:top w:w="100" w:type="dxa"/>
              <w:bottom w:w="100" w:type="dxa"/>
              <w:left w:w="150" w:type="dxa"/>
              <w:right w:w="150" w:type="dxa"/>
            </w:tcMar>
          </w:tcPr>
          <w:p>
            <w:pPr>
              <w:spacing w:before="0" w:after="0" w:line="240" w:lineRule="auto"/>
            </w:pPr>
            <w:r>
              <w:rPr>
                <w:rFonts w:ascii="Consolas" w:hAnsi="Consolas"/>
                <w:color w:val="1A1A2E"/>
                <w:sz w:val="16"/>
              </w:rPr>
              <w:t># Django model — Device registry</w:t>
              <w:br/>
              <w:t>class BoxDevice(models.Model):</w:t>
              <w:br/>
              <w:t xml:space="preserve">    device_id       = models.UUIDField(primary_key=True)</w:t>
              <w:br/>
              <w:t xml:space="preserve">    tenant          = models.ForeignKey(Tenant, on_delete=models.PROTECT)</w:t>
              <w:br/>
              <w:t xml:space="preserve">    site_id         = models.CharField(max_length=100)</w:t>
              <w:br/>
              <w:t xml:space="preserve">    api_key_hash    = models.CharField(max_length=64)   # SHA-256 of API key</w:t>
              <w:br/>
              <w:t xml:space="preserve">    firmware_version = models.CharField(max_length=20)</w:t>
              <w:br/>
              <w:t xml:space="preserve">    status          = models.CharField(max_length=20)   # ONLINE | OFFLINE | DEGRADED | PROVISIONED</w:t>
              <w:br/>
              <w:t xml:space="preserve">    first_seen_at   = models.DateTimeField(null=True)</w:t>
              <w:br/>
              <w:t xml:space="preserve">    last_seen_at    = models.DateTimeField(null=True)</w:t>
              <w:br/>
              <w:t xml:space="preserve">    last_ip_address = models.GenericIPAddressField(null=True)</w:t>
              <w:br/>
              <w:t xml:space="preserve">    config_version  = models.IntegerField(default=1)</w:t>
              <w:br/>
              <w:t xml:space="preserve">    is_update_held  = models.BooleanField(default=False)  # CSV validation hold</w:t>
              <w:br/>
              <w:t xml:space="preserve">    created_at      = models.DateTimeField(auto_now_add=True)</w:t>
            </w:r>
          </w:p>
        </w:tc>
      </w:tr>
    </w:tbl>
    <w:p>
      <w:pPr>
        <w:spacing w:before="40" w:after="40"/>
      </w:pPr>
    </w:p>
    <w:p>
      <w:pPr>
        <w:pStyle w:val="Heading3"/>
      </w:pPr>
      <w:r>
        <w:t>11.3 Instrument Pairing</w:t>
      </w:r>
    </w:p>
    <w:p>
      <w:r>
        <w:rPr>
          <w:rFonts w:ascii="Calibri" w:hAnsi="Calibri"/>
          <w:b w:val="0"/>
          <w:i w:val="0"/>
          <w:color w:val="333333"/>
          <w:sz w:val="21"/>
        </w:rPr>
        <w:t>Instrument configuration is managed in the cloud and pushed to the Box. The pairing process:</w:t>
      </w:r>
    </w:p>
    <w:p>
      <w:pPr>
        <w:spacing w:before="20" w:after="20"/>
        <w:ind w:left="680"/>
      </w:pPr>
      <w:r>
        <w:rPr>
          <w:rFonts w:ascii="Calibri" w:hAnsi="Calibri"/>
          <w:b/>
          <w:i w:val="0"/>
          <w:color w:val="0C2D5A"/>
          <w:sz w:val="21"/>
        </w:rPr>
        <w:t xml:space="preserve">1. </w:t>
      </w:r>
      <w:r>
        <w:rPr>
          <w:rFonts w:ascii="Calibri" w:hAnsi="Calibri"/>
          <w:b w:val="0"/>
          <w:i w:val="0"/>
          <w:color w:val="333333"/>
          <w:sz w:val="21"/>
        </w:rPr>
        <w:t>QA Administrator creates an instrument record in the cloud UI (instrument type, make, model, serial number, calibration due date)</w:t>
      </w:r>
    </w:p>
    <w:p>
      <w:pPr>
        <w:spacing w:before="20" w:after="20"/>
        <w:ind w:left="680"/>
      </w:pPr>
      <w:r>
        <w:rPr>
          <w:rFonts w:ascii="Calibri" w:hAnsi="Calibri"/>
          <w:b/>
          <w:i w:val="0"/>
          <w:color w:val="0C2D5A"/>
          <w:sz w:val="21"/>
        </w:rPr>
        <w:t xml:space="preserve">2. </w:t>
      </w:r>
      <w:r>
        <w:rPr>
          <w:rFonts w:ascii="Calibri" w:hAnsi="Calibri"/>
          <w:b w:val="0"/>
          <w:i w:val="0"/>
          <w:color w:val="333333"/>
          <w:sz w:val="21"/>
        </w:rPr>
        <w:t>Assigns the instrument to a Box device</w:t>
      </w:r>
    </w:p>
    <w:p>
      <w:pPr>
        <w:spacing w:before="20" w:after="20"/>
        <w:ind w:left="680"/>
      </w:pPr>
      <w:r>
        <w:rPr>
          <w:rFonts w:ascii="Calibri" w:hAnsi="Calibri"/>
          <w:b/>
          <w:i w:val="0"/>
          <w:color w:val="0C2D5A"/>
          <w:sz w:val="21"/>
        </w:rPr>
        <w:t xml:space="preserve">3. </w:t>
      </w:r>
      <w:r>
        <w:rPr>
          <w:rFonts w:ascii="Calibri" w:hAnsi="Calibri"/>
          <w:b w:val="0"/>
          <w:i w:val="0"/>
          <w:color w:val="333333"/>
          <w:sz w:val="21"/>
        </w:rPr>
        <w:t>Specifies the physical port (RS232-1, USB-1, etc.) and serial parameters</w:t>
      </w:r>
    </w:p>
    <w:p>
      <w:pPr>
        <w:spacing w:before="20" w:after="20"/>
        <w:ind w:left="680"/>
      </w:pPr>
      <w:r>
        <w:rPr>
          <w:rFonts w:ascii="Calibri" w:hAnsi="Calibri"/>
          <w:b/>
          <w:i w:val="0"/>
          <w:color w:val="0C2D5A"/>
          <w:sz w:val="21"/>
        </w:rPr>
        <w:t xml:space="preserve">4. </w:t>
      </w:r>
      <w:r>
        <w:rPr>
          <w:rFonts w:ascii="Calibri" w:hAnsi="Calibri"/>
          <w:b w:val="0"/>
          <w:i w:val="0"/>
          <w:color w:val="333333"/>
          <w:sz w:val="21"/>
        </w:rPr>
        <w:t xml:space="preserve">Cloud pushes the updated </w:t>
      </w:r>
      <w:r>
        <w:rPr>
          <w:rFonts w:ascii="Consolas" w:hAnsi="Consolas"/>
          <w:b w:val="0"/>
          <w:i w:val="0"/>
          <w:color w:val="1A1A2E"/>
          <w:sz w:val="18"/>
        </w:rPr>
        <w:t>instruments</w:t>
      </w:r>
      <w:r>
        <w:rPr>
          <w:rFonts w:ascii="Calibri" w:hAnsi="Calibri"/>
          <w:b w:val="0"/>
          <w:i w:val="0"/>
          <w:color w:val="333333"/>
          <w:sz w:val="21"/>
        </w:rPr>
        <w:t xml:space="preserve"> section of </w:t>
      </w:r>
      <w:r>
        <w:rPr>
          <w:rFonts w:ascii="Consolas" w:hAnsi="Consolas"/>
          <w:b w:val="0"/>
          <w:i w:val="0"/>
          <w:color w:val="1A1A2E"/>
          <w:sz w:val="18"/>
        </w:rPr>
        <w:t>config.yaml</w:t>
      </w:r>
      <w:r>
        <w:rPr>
          <w:rFonts w:ascii="Calibri" w:hAnsi="Calibri"/>
          <w:b w:val="0"/>
          <w:i w:val="0"/>
          <w:color w:val="333333"/>
          <w:sz w:val="21"/>
        </w:rPr>
        <w:t xml:space="preserve"> to the Box (delivered in the next heartbeat response, or immediately via a management push)</w:t>
      </w:r>
    </w:p>
    <w:p>
      <w:pPr>
        <w:spacing w:before="20" w:after="20"/>
        <w:ind w:left="680"/>
      </w:pPr>
      <w:r>
        <w:rPr>
          <w:rFonts w:ascii="Calibri" w:hAnsi="Calibri"/>
          <w:b/>
          <w:i w:val="0"/>
          <w:color w:val="0C2D5A"/>
          <w:sz w:val="21"/>
        </w:rPr>
        <w:t xml:space="preserve">5. </w:t>
      </w:r>
      <w:r>
        <w:rPr>
          <w:rFonts w:ascii="Calibri" w:hAnsi="Calibri"/>
          <w:b w:val="0"/>
          <w:i w:val="0"/>
          <w:color w:val="333333"/>
          <w:sz w:val="21"/>
        </w:rPr>
        <w:t>Box Collector restarts the affected instrument thread with the new configuration</w:t>
      </w:r>
    </w:p>
    <w:p>
      <w:pPr>
        <w:spacing w:before="20" w:after="20"/>
        <w:ind w:left="680"/>
      </w:pPr>
      <w:r>
        <w:rPr>
          <w:rFonts w:ascii="Calibri" w:hAnsi="Calibri"/>
          <w:b/>
          <w:i w:val="0"/>
          <w:color w:val="0C2D5A"/>
          <w:sz w:val="21"/>
        </w:rPr>
        <w:t xml:space="preserve">6. </w:t>
      </w:r>
      <w:r>
        <w:rPr>
          <w:rFonts w:ascii="Calibri" w:hAnsi="Calibri"/>
          <w:b w:val="0"/>
          <w:i w:val="0"/>
          <w:color w:val="333333"/>
          <w:sz w:val="21"/>
        </w:rPr>
        <w:t>The instrument pairing is recorded in the audit trail (entity: BoxDevice, operation: CONFIG_UPDATE)</w:t>
      </w:r>
    </w:p>
    <w:p>
      <w:r>
        <w:br w:type="page"/>
      </w:r>
    </w:p>
    <w:p>
      <w:pPr>
        <w:pStyle w:val="Heading1"/>
      </w:pPr>
      <w:r>
        <w:t>12. Monitoring and Diagnostics</w:t>
      </w:r>
    </w:p>
    <w:p>
      <w:pPr>
        <w:pStyle w:val="Heading3"/>
      </w:pPr>
      <w:r>
        <w:t>12.1 Heartbeat</w:t>
      </w:r>
    </w:p>
    <w:p>
      <w:r>
        <w:rPr>
          <w:rFonts w:ascii="Calibri" w:hAnsi="Calibri"/>
          <w:b w:val="0"/>
          <w:i w:val="0"/>
          <w:color w:val="333333"/>
          <w:sz w:val="21"/>
        </w:rPr>
        <w:t>The Box sends a heartbeat to the backend every 60 seconds (configurable). The heartbeat payload:</w:t>
      </w:r>
    </w:p>
    <w:tbl>
      <w:tblPr>
        <w:tblW w:type="auto" w:w="0"/>
        <w:jc w:val="left"/>
        <w:tblLook w:firstColumn="1" w:firstRow="1" w:lastColumn="0" w:lastRow="0" w:noHBand="0" w:noVBand="1" w:val="04A0"/>
      </w:tblPr>
      <w:tblGrid>
        <w:gridCol w:w="9406"/>
      </w:tblGrid>
      <w:tr>
        <w:tc>
          <w:tcPr>
            <w:tcW w:type="dxa" w:w="9406"/>
            <w:shd w:fill="F0F2F5" w:val="clear"/>
            <w:tcBorders>
              <w:top w:val="single" w:sz="4" w:space="0" w:color="D0D5DD"/>
              <w:left w:val="single" w:sz="4" w:space="0" w:color="D0D5DD"/>
              <w:bottom w:val="single" w:sz="4" w:space="0" w:color="D0D5DD"/>
              <w:right w:val="single" w:sz="4" w:space="0" w:color="D0D5DD"/>
            </w:tcBorders>
            <w:tcMar>
              <w:top w:w="100" w:type="dxa"/>
              <w:bottom w:w="100" w:type="dxa"/>
              <w:left w:w="150" w:type="dxa"/>
              <w:right w:w="150" w:type="dxa"/>
            </w:tcMar>
          </w:tcPr>
          <w:p>
            <w:pPr>
              <w:spacing w:before="0" w:after="0" w:line="240" w:lineRule="auto"/>
            </w:pPr>
            <w:r>
              <w:rPr>
                <w:rFonts w:ascii="Consolas" w:hAnsi="Consolas"/>
                <w:color w:val="1A1A2E"/>
                <w:sz w:val="16"/>
              </w:rPr>
              <w:t>{</w:t>
              <w:br/>
              <w:t xml:space="preserve">  "device_id": "box-a1b2c3d4e5f6",</w:t>
              <w:br/>
              <w:t xml:space="preserve">  "firmware_version": "1.3.2",</w:t>
              <w:br/>
              <w:t xml:space="preserve">  "uptime_seconds": 1209600,</w:t>
              <w:br/>
              <w:t xml:space="preserve">  "timestamp": "2026-02-28T14:30:00Z",</w:t>
              <w:br/>
              <w:t xml:space="preserve">  "queue_depth": 0,</w:t>
              <w:br/>
              <w:t xml:space="preserve">  "queue_size_bytes": 12288,</w:t>
              <w:br/>
              <w:t xml:space="preserve">  "instruments": [</w:t>
              <w:br/>
              <w:t xml:space="preserve">    {</w:t>
              <w:br/>
              <w:t xml:space="preserve">      "instrument_id": "instrument-hplc-001",</w:t>
              <w:br/>
              <w:t xml:space="preserve">      "status": "ACTIVE",</w:t>
              <w:br/>
              <w:t xml:space="preserve">      "last_reading_at": "2026-02-28T14:29:55Z",</w:t>
              <w:br/>
              <w:t xml:space="preserve">      "readings_today": 48,</w:t>
              <w:br/>
              <w:t xml:space="preserve">      "error_count_today": 0</w:t>
              <w:br/>
              <w:t xml:space="preserve">    },</w:t>
              <w:br/>
              <w:t xml:space="preserve">    {</w:t>
              <w:br/>
              <w:t xml:space="preserve">      "instrument_id": "instrument-ph-001",</w:t>
              <w:br/>
              <w:t xml:space="preserve">      "status": "NO_DATA",</w:t>
              <w:br/>
              <w:t xml:space="preserve">      "last_reading_at": "2026-02-27T18:00:00Z",</w:t>
              <w:br/>
              <w:t xml:space="preserve">      "readings_today": 0,</w:t>
              <w:br/>
              <w:t xml:space="preserve">      "error_count_today": 0</w:t>
              <w:br/>
              <w:t xml:space="preserve">    }</w:t>
              <w:br/>
              <w:t xml:space="preserve">  ],</w:t>
              <w:br/>
              <w:t xml:space="preserve">  "system": {</w:t>
              <w:br/>
              <w:t xml:space="preserve">    "cpu_pct": 8.2,</w:t>
              <w:br/>
              <w:t xml:space="preserve">    "mem_used_pct": 31.4,</w:t>
              <w:br/>
              <w:t xml:space="preserve">    "disk_used_pct": 12.7,</w:t>
              <w:br/>
              <w:t xml:space="preserve">    "ntp_synced": true,</w:t>
              <w:br/>
              <w:t xml:space="preserve">    "ntp_offset_ms": 12,</w:t>
              <w:br/>
              <w:t xml:space="preserve">    "last_successful_upload_at": "2026-02-28T14:29:58Z",</w:t>
              <w:br/>
              <w:t xml:space="preserve">    "failed_uploads_count": 0,</w:t>
              <w:br/>
              <w:t xml:space="preserve">    "dm_verity_active": true,</w:t>
              <w:br/>
              <w:t xml:space="preserve">    "dm_verity_ok": true</w:t>
              <w:br/>
              <w:t xml:space="preserve">  }</w:t>
              <w:br/>
              <w:t>}</w:t>
            </w:r>
          </w:p>
        </w:tc>
      </w:tr>
    </w:tbl>
    <w:p>
      <w:pPr>
        <w:spacing w:before="40" w:after="40"/>
      </w:pPr>
    </w:p>
    <w:p>
      <w:r>
        <w:rPr>
          <w:rFonts w:ascii="Calibri" w:hAnsi="Calibri"/>
          <w:b w:val="0"/>
          <w:i w:val="0"/>
          <w:color w:val="333333"/>
          <w:sz w:val="21"/>
        </w:rPr>
        <w:t>The backend responds to heartbeat with any pending configuration updates or commands (firmware update notification, config push, remote diagnostic request).</w:t>
      </w:r>
    </w:p>
    <w:p>
      <w:pPr>
        <w:pStyle w:val="Heading3"/>
      </w:pPr>
      <w:r>
        <w:t>12.2 Alerting Thresholds</w:t>
      </w:r>
    </w:p>
    <w:p>
      <w:r>
        <w:rPr>
          <w:rFonts w:ascii="Calibri" w:hAnsi="Calibri"/>
          <w:b w:val="0"/>
          <w:i w:val="0"/>
          <w:color w:val="333333"/>
          <w:sz w:val="21"/>
        </w:rPr>
        <w:t>The management plane triggers alerts (email/SMS/webhook to configured operations contacts) for:</w:t>
      </w:r>
    </w:p>
    <w:tbl>
      <w:tblPr>
        <w:tblW w:type="auto" w:w="0"/>
        <w:jc w:val="center"/>
        <w:tblLayout w:type="autofit"/>
        <w:tblLook w:firstColumn="1" w:firstRow="1" w:lastColumn="0" w:lastRow="0" w:noHBand="0" w:noVBand="1" w:val="04A0"/>
      </w:tblPr>
      <w:tblGrid>
        <w:gridCol w:w="3135"/>
        <w:gridCol w:w="3135"/>
        <w:gridCol w:w="3135"/>
      </w:tblGrid>
      <w:tr>
        <w:tc>
          <w:tcPr>
            <w:tcW w:type="dxa" w:w="3135"/>
            <w:shd w:fill="0C2D5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i w:val="0"/>
                <w:color w:val="FFFFFF"/>
                <w:sz w:val="19"/>
              </w:rPr>
              <w:t>Condition</w:t>
            </w:r>
          </w:p>
        </w:tc>
        <w:tc>
          <w:tcPr>
            <w:tcW w:type="dxa" w:w="3135"/>
            <w:shd w:fill="0C2D5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i w:val="0"/>
                <w:color w:val="FFFFFF"/>
                <w:sz w:val="19"/>
              </w:rPr>
              <w:t>Threshold</w:t>
            </w:r>
          </w:p>
        </w:tc>
        <w:tc>
          <w:tcPr>
            <w:tcW w:type="dxa" w:w="3135"/>
            <w:shd w:fill="0C2D5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i w:val="0"/>
                <w:color w:val="FFFFFF"/>
                <w:sz w:val="19"/>
              </w:rPr>
              <w:t>Severity</w:t>
            </w:r>
          </w:p>
        </w:tc>
      </w:tr>
      <w:tr>
        <w:tc>
          <w:tcPr>
            <w:tcW w:type="dxa" w:w="3135"/>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Box offline</w:t>
            </w:r>
          </w:p>
        </w:tc>
        <w:tc>
          <w:tcPr>
            <w:tcW w:type="dxa" w:w="3135"/>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No heartbeat for 5 minutes</w:t>
            </w:r>
          </w:p>
        </w:tc>
        <w:tc>
          <w:tcPr>
            <w:tcW w:type="dxa" w:w="3135"/>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WARNING</w:t>
            </w:r>
          </w:p>
        </w:tc>
      </w:tr>
      <w:tr>
        <w:tc>
          <w:tcPr>
            <w:tcW w:type="dxa" w:w="3135"/>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Box offline extended</w:t>
            </w:r>
          </w:p>
        </w:tc>
        <w:tc>
          <w:tcPr>
            <w:tcW w:type="dxa" w:w="3135"/>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No heartbeat for 30 minutes</w:t>
            </w:r>
          </w:p>
        </w:tc>
        <w:tc>
          <w:tcPr>
            <w:tcW w:type="dxa" w:w="3135"/>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CRITICAL</w:t>
            </w:r>
          </w:p>
        </w:tc>
      </w:tr>
      <w:tr>
        <w:tc>
          <w:tcPr>
            <w:tcW w:type="dxa" w:w="3135"/>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Instrument silent</w:t>
            </w:r>
          </w:p>
        </w:tc>
        <w:tc>
          <w:tcPr>
            <w:tcW w:type="dxa" w:w="3135"/>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No readings for configured silence threshold (per instrument)</w:t>
            </w:r>
          </w:p>
        </w:tc>
        <w:tc>
          <w:tcPr>
            <w:tcW w:type="dxa" w:w="3135"/>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WARNING</w:t>
            </w:r>
          </w:p>
        </w:tc>
      </w:tr>
      <w:tr>
        <w:tc>
          <w:tcPr>
            <w:tcW w:type="dxa" w:w="3135"/>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Queue depth growing</w:t>
            </w:r>
          </w:p>
        </w:tc>
        <w:tc>
          <w:tcPr>
            <w:tcW w:type="dxa" w:w="3135"/>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Queue depth &gt; 1000 readings</w:t>
            </w:r>
          </w:p>
        </w:tc>
        <w:tc>
          <w:tcPr>
            <w:tcW w:type="dxa" w:w="3135"/>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WARNING</w:t>
            </w:r>
          </w:p>
        </w:tc>
      </w:tr>
      <w:tr>
        <w:tc>
          <w:tcPr>
            <w:tcW w:type="dxa" w:w="3135"/>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Queue near capacity</w:t>
            </w:r>
          </w:p>
        </w:tc>
        <w:tc>
          <w:tcPr>
            <w:tcW w:type="dxa" w:w="3135"/>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Disk usage &gt; 80%</w:t>
            </w:r>
          </w:p>
        </w:tc>
        <w:tc>
          <w:tcPr>
            <w:tcW w:type="dxa" w:w="3135"/>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CRITICAL</w:t>
            </w:r>
          </w:p>
        </w:tc>
      </w:tr>
      <w:tr>
        <w:tc>
          <w:tcPr>
            <w:tcW w:type="dxa" w:w="3135"/>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Upload failures</w:t>
            </w:r>
          </w:p>
        </w:tc>
        <w:tc>
          <w:tcPr>
            <w:tcW w:type="dxa" w:w="3135"/>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onsolas" w:hAnsi="Consolas"/>
                <w:b w:val="0"/>
                <w:i w:val="0"/>
                <w:color w:val="1A1A2E"/>
                <w:sz w:val="18"/>
              </w:rPr>
              <w:t>failed_uploads_count &gt; 0</w:t>
            </w:r>
          </w:p>
        </w:tc>
        <w:tc>
          <w:tcPr>
            <w:tcW w:type="dxa" w:w="3135"/>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WARNING</w:t>
            </w:r>
          </w:p>
        </w:tc>
      </w:tr>
      <w:tr>
        <w:tc>
          <w:tcPr>
            <w:tcW w:type="dxa" w:w="3135"/>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NTP desync</w:t>
            </w:r>
          </w:p>
        </w:tc>
        <w:tc>
          <w:tcPr>
            <w:tcW w:type="dxa" w:w="3135"/>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onsolas" w:hAnsi="Consolas"/>
                <w:b w:val="0"/>
                <w:i w:val="0"/>
                <w:color w:val="1A1A2E"/>
                <w:sz w:val="18"/>
              </w:rPr>
              <w:t>ntp_offset_ms &gt; 2000</w:t>
            </w:r>
          </w:p>
        </w:tc>
        <w:tc>
          <w:tcPr>
            <w:tcW w:type="dxa" w:w="3135"/>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WARNING</w:t>
            </w:r>
          </w:p>
        </w:tc>
      </w:tr>
      <w:tr>
        <w:tc>
          <w:tcPr>
            <w:tcW w:type="dxa" w:w="3135"/>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dm-verity failure</w:t>
            </w:r>
          </w:p>
        </w:tc>
        <w:tc>
          <w:tcPr>
            <w:tcW w:type="dxa" w:w="3135"/>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onsolas" w:hAnsi="Consolas"/>
                <w:b w:val="0"/>
                <w:i w:val="0"/>
                <w:color w:val="1A1A2E"/>
                <w:sz w:val="18"/>
              </w:rPr>
              <w:t>dm_verity_ok = false</w:t>
            </w:r>
          </w:p>
        </w:tc>
        <w:tc>
          <w:tcPr>
            <w:tcW w:type="dxa" w:w="3135"/>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CRITICAL + Security Alert</w:t>
            </w:r>
          </w:p>
        </w:tc>
      </w:tr>
      <w:tr>
        <w:tc>
          <w:tcPr>
            <w:tcW w:type="dxa" w:w="3135"/>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Firmware mismatch</w:t>
            </w:r>
          </w:p>
        </w:tc>
        <w:tc>
          <w:tcPr>
            <w:tcW w:type="dxa" w:w="3135"/>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Reported version != expected version</w:t>
            </w:r>
          </w:p>
        </w:tc>
        <w:tc>
          <w:tcPr>
            <w:tcW w:type="dxa" w:w="3135"/>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WARNING</w:t>
            </w:r>
          </w:p>
        </w:tc>
      </w:tr>
      <w:tr>
        <w:tc>
          <w:tcPr>
            <w:tcW w:type="dxa" w:w="3135"/>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Certificate expiry</w:t>
            </w:r>
          </w:p>
        </w:tc>
        <w:tc>
          <w:tcPr>
            <w:tcW w:type="dxa" w:w="3135"/>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Device cert expires within 30 days</w:t>
            </w:r>
          </w:p>
        </w:tc>
        <w:tc>
          <w:tcPr>
            <w:tcW w:type="dxa" w:w="3135"/>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WARNING</w:t>
            </w:r>
          </w:p>
        </w:tc>
      </w:tr>
    </w:tbl>
    <w:p/>
    <w:p>
      <w:pPr>
        <w:pStyle w:val="Heading3"/>
      </w:pPr>
      <w:r>
        <w:t>12.3 Remote Diagnostics</w:t>
      </w:r>
    </w:p>
    <w:p>
      <w:r>
        <w:rPr>
          <w:rFonts w:ascii="Calibri" w:hAnsi="Calibri"/>
          <w:b w:val="0"/>
          <w:i w:val="0"/>
          <w:color w:val="333333"/>
          <w:sz w:val="21"/>
        </w:rPr>
        <w:t>BioNexus support engineers can initiate remote diagnostic commands via the management plane, delivered to the Box in the heartbeat response:</w:t>
      </w:r>
    </w:p>
    <w:tbl>
      <w:tblPr>
        <w:tblW w:type="auto" w:w="0"/>
        <w:jc w:val="center"/>
        <w:tblLayout w:type="autofit"/>
        <w:tblLook w:firstColumn="1" w:firstRow="1" w:lastColumn="0" w:lastRow="0" w:noHBand="0" w:noVBand="1" w:val="04A0"/>
      </w:tblPr>
      <w:tblGrid>
        <w:gridCol w:w="4703"/>
        <w:gridCol w:w="4703"/>
      </w:tblGrid>
      <w:tr>
        <w:tc>
          <w:tcPr>
            <w:tcW w:type="dxa" w:w="4703"/>
            <w:shd w:fill="0C2D5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i w:val="0"/>
                <w:color w:val="FFFFFF"/>
                <w:sz w:val="19"/>
              </w:rPr>
              <w:t>Command</w:t>
            </w:r>
          </w:p>
        </w:tc>
        <w:tc>
          <w:tcPr>
            <w:tcW w:type="dxa" w:w="4703"/>
            <w:shd w:fill="0C2D5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i w:val="0"/>
                <w:color w:val="FFFFFF"/>
                <w:sz w:val="19"/>
              </w:rPr>
              <w:t>Description</w:t>
            </w:r>
          </w:p>
        </w:tc>
      </w:tr>
      <w:tr>
        <w:tc>
          <w:tcPr>
            <w:tcW w:type="dxa" w:w="4703"/>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onsolas" w:hAnsi="Consolas"/>
                <w:b w:val="0"/>
                <w:i w:val="0"/>
                <w:color w:val="1A1A2E"/>
                <w:sz w:val="18"/>
              </w:rPr>
              <w:t>collect_logs</w:t>
            </w:r>
          </w:p>
        </w:tc>
        <w:tc>
          <w:tcPr>
            <w:tcW w:type="dxa" w:w="4703"/>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 xml:space="preserve">Box uploads </w:t>
            </w:r>
            <w:r>
              <w:rPr>
                <w:rFonts w:ascii="Consolas" w:hAnsi="Consolas"/>
                <w:b w:val="0"/>
                <w:i w:val="0"/>
                <w:color w:val="1A1A2E"/>
                <w:sz w:val="18"/>
              </w:rPr>
              <w:t>/var/log/bionexus/</w:t>
            </w:r>
            <w:r>
              <w:rPr>
                <w:rFonts w:ascii="Calibri" w:hAnsi="Calibri"/>
                <w:b w:val="0"/>
                <w:i w:val="0"/>
                <w:color w:val="333333"/>
                <w:sz w:val="19"/>
              </w:rPr>
              <w:t xml:space="preserve"> (last 24h) to a secure diagnostic endpoint</w:t>
            </w:r>
          </w:p>
        </w:tc>
      </w:tr>
      <w:tr>
        <w:tc>
          <w:tcPr>
            <w:tcW w:type="dxa" w:w="4703"/>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onsolas" w:hAnsi="Consolas"/>
                <w:b w:val="0"/>
                <w:i w:val="0"/>
                <w:color w:val="1A1A2E"/>
                <w:sz w:val="18"/>
              </w:rPr>
              <w:t>test_serial_port</w:t>
            </w:r>
          </w:p>
        </w:tc>
        <w:tc>
          <w:tcPr>
            <w:tcW w:type="dxa" w:w="4703"/>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Sends a serial port loopback test; reports bytes received</w:t>
            </w:r>
          </w:p>
        </w:tc>
      </w:tr>
      <w:tr>
        <w:tc>
          <w:tcPr>
            <w:tcW w:type="dxa" w:w="4703"/>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onsolas" w:hAnsi="Consolas"/>
                <w:b w:val="0"/>
                <w:i w:val="0"/>
                <w:color w:val="1A1A2E"/>
                <w:sz w:val="18"/>
              </w:rPr>
              <w:t>restart_collector</w:t>
            </w:r>
          </w:p>
        </w:tc>
        <w:tc>
          <w:tcPr>
            <w:tcW w:type="dxa" w:w="4703"/>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Restarts the Collector service; all in-flight reads are discarded</w:t>
            </w:r>
          </w:p>
        </w:tc>
      </w:tr>
      <w:tr>
        <w:tc>
          <w:tcPr>
            <w:tcW w:type="dxa" w:w="4703"/>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onsolas" w:hAnsi="Consolas"/>
                <w:b w:val="0"/>
                <w:i w:val="0"/>
                <w:color w:val="1A1A2E"/>
                <w:sz w:val="18"/>
              </w:rPr>
              <w:t>restart_agent</w:t>
            </w:r>
          </w:p>
        </w:tc>
        <w:tc>
          <w:tcPr>
            <w:tcW w:type="dxa" w:w="4703"/>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Restarts the entire bionexus-agent; queue state preserved</w:t>
            </w:r>
          </w:p>
        </w:tc>
      </w:tr>
      <w:tr>
        <w:tc>
          <w:tcPr>
            <w:tcW w:type="dxa" w:w="4703"/>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onsolas" w:hAnsi="Consolas"/>
                <w:b w:val="0"/>
                <w:i w:val="0"/>
                <w:color w:val="1A1A2E"/>
                <w:sz w:val="18"/>
              </w:rPr>
              <w:t>reboot</w:t>
            </w:r>
          </w:p>
        </w:tc>
        <w:tc>
          <w:tcPr>
            <w:tcW w:type="dxa" w:w="4703"/>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Graceful OS reboot; queued data preserved</w:t>
            </w:r>
          </w:p>
        </w:tc>
      </w:tr>
      <w:tr>
        <w:tc>
          <w:tcPr>
            <w:tcW w:type="dxa" w:w="4703"/>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onsolas" w:hAnsi="Consolas"/>
                <w:b w:val="0"/>
                <w:i w:val="0"/>
                <w:color w:val="1A1A2E"/>
                <w:sz w:val="18"/>
              </w:rPr>
              <w:t>run_diagnostics</w:t>
            </w:r>
          </w:p>
        </w:tc>
        <w:tc>
          <w:tcPr>
            <w:tcW w:type="dxa" w:w="4703"/>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Full hardware diagnostic (CPU, memory, disk, network, NTP, serial ports)</w:t>
            </w:r>
          </w:p>
        </w:tc>
      </w:tr>
      <w:tr>
        <w:tc>
          <w:tcPr>
            <w:tcW w:type="dxa" w:w="4703"/>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onsolas" w:hAnsi="Consolas"/>
                <w:b w:val="0"/>
                <w:i w:val="0"/>
                <w:color w:val="1A1A2E"/>
                <w:sz w:val="18"/>
              </w:rPr>
              <w:t>flush_queue</w:t>
            </w:r>
          </w:p>
        </w:tc>
        <w:tc>
          <w:tcPr>
            <w:tcW w:type="dxa" w:w="4703"/>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Forces immediate upload of all queued readings</w:t>
            </w:r>
          </w:p>
        </w:tc>
      </w:tr>
    </w:tbl>
    <w:p/>
    <w:p>
      <w:r>
        <w:rPr>
          <w:rFonts w:ascii="Calibri" w:hAnsi="Calibri"/>
          <w:b w:val="0"/>
          <w:i w:val="0"/>
          <w:color w:val="333333"/>
          <w:sz w:val="21"/>
        </w:rPr>
        <w:t>All remote commands are logged in the cloud audit trail (entity: BoxDevice, operation: REMOTE_COMMAND) with the requesting user's identity.</w:t>
      </w:r>
    </w:p>
    <w:p>
      <w:pPr>
        <w:pStyle w:val="Heading3"/>
      </w:pPr>
      <w:r>
        <w:t>12.4 Status LED Reference</w:t>
      </w:r>
    </w:p>
    <w:tbl>
      <w:tblPr>
        <w:tblW w:type="auto" w:w="0"/>
        <w:jc w:val="center"/>
        <w:tblLayout w:type="autofit"/>
        <w:tblLook w:firstColumn="1" w:firstRow="1" w:lastColumn="0" w:lastRow="0" w:noHBand="0" w:noVBand="1" w:val="04A0"/>
      </w:tblPr>
      <w:tblGrid>
        <w:gridCol w:w="3135"/>
        <w:gridCol w:w="3135"/>
        <w:gridCol w:w="3135"/>
      </w:tblGrid>
      <w:tr>
        <w:tc>
          <w:tcPr>
            <w:tcW w:type="dxa" w:w="3135"/>
            <w:shd w:fill="0C2D5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i w:val="0"/>
                <w:color w:val="FFFFFF"/>
                <w:sz w:val="19"/>
              </w:rPr>
              <w:t>LED Color</w:t>
            </w:r>
          </w:p>
        </w:tc>
        <w:tc>
          <w:tcPr>
            <w:tcW w:type="dxa" w:w="3135"/>
            <w:shd w:fill="0C2D5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i w:val="0"/>
                <w:color w:val="FFFFFF"/>
                <w:sz w:val="19"/>
              </w:rPr>
              <w:t>State</w:t>
            </w:r>
          </w:p>
        </w:tc>
        <w:tc>
          <w:tcPr>
            <w:tcW w:type="dxa" w:w="3135"/>
            <w:shd w:fill="0C2D5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i w:val="0"/>
                <w:color w:val="FFFFFF"/>
                <w:sz w:val="19"/>
              </w:rPr>
              <w:t>Meaning</w:t>
            </w:r>
          </w:p>
        </w:tc>
      </w:tr>
      <w:tr>
        <w:tc>
          <w:tcPr>
            <w:tcW w:type="dxa" w:w="3135"/>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Green</w:t>
            </w:r>
          </w:p>
        </w:tc>
        <w:tc>
          <w:tcPr>
            <w:tcW w:type="dxa" w:w="3135"/>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Solid</w:t>
            </w:r>
          </w:p>
        </w:tc>
        <w:tc>
          <w:tcPr>
            <w:tcW w:type="dxa" w:w="3135"/>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Power on, system healthy</w:t>
            </w:r>
          </w:p>
        </w:tc>
      </w:tr>
      <w:tr>
        <w:tc>
          <w:tcPr>
            <w:tcW w:type="dxa" w:w="3135"/>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Blue</w:t>
            </w:r>
          </w:p>
        </w:tc>
        <w:tc>
          <w:tcPr>
            <w:tcW w:type="dxa" w:w="3135"/>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Solid</w:t>
            </w:r>
          </w:p>
        </w:tc>
        <w:tc>
          <w:tcPr>
            <w:tcW w:type="dxa" w:w="3135"/>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Network connected, cloud sync active</w:t>
            </w:r>
          </w:p>
        </w:tc>
      </w:tr>
      <w:tr>
        <w:tc>
          <w:tcPr>
            <w:tcW w:type="dxa" w:w="3135"/>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Blue</w:t>
            </w:r>
          </w:p>
        </w:tc>
        <w:tc>
          <w:tcPr>
            <w:tcW w:type="dxa" w:w="3135"/>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Blinking</w:t>
            </w:r>
          </w:p>
        </w:tc>
        <w:tc>
          <w:tcPr>
            <w:tcW w:type="dxa" w:w="3135"/>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Network connected, uploading backlog</w:t>
            </w:r>
          </w:p>
        </w:tc>
      </w:tr>
      <w:tr>
        <w:tc>
          <w:tcPr>
            <w:tcW w:type="dxa" w:w="3135"/>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Blue</w:t>
            </w:r>
          </w:p>
        </w:tc>
        <w:tc>
          <w:tcPr>
            <w:tcW w:type="dxa" w:w="3135"/>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Off</w:t>
            </w:r>
          </w:p>
        </w:tc>
        <w:tc>
          <w:tcPr>
            <w:tcW w:type="dxa" w:w="3135"/>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No network connectivity</w:t>
            </w:r>
          </w:p>
        </w:tc>
      </w:tr>
      <w:tr>
        <w:tc>
          <w:tcPr>
            <w:tcW w:type="dxa" w:w="3135"/>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Amber</w:t>
            </w:r>
          </w:p>
        </w:tc>
        <w:tc>
          <w:tcPr>
            <w:tcW w:type="dxa" w:w="3135"/>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Blinking</w:t>
            </w:r>
          </w:p>
        </w:tc>
        <w:tc>
          <w:tcPr>
            <w:tcW w:type="dxa" w:w="3135"/>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Instrument data being captured</w:t>
            </w:r>
          </w:p>
        </w:tc>
      </w:tr>
      <w:tr>
        <w:tc>
          <w:tcPr>
            <w:tcW w:type="dxa" w:w="3135"/>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Amber</w:t>
            </w:r>
          </w:p>
        </w:tc>
        <w:tc>
          <w:tcPr>
            <w:tcW w:type="dxa" w:w="3135"/>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Solid</w:t>
            </w:r>
          </w:p>
        </w:tc>
        <w:tc>
          <w:tcPr>
            <w:tcW w:type="dxa" w:w="3135"/>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Instrument connected, no recent data (expected quiet period)</w:t>
            </w:r>
          </w:p>
        </w:tc>
      </w:tr>
      <w:tr>
        <w:tc>
          <w:tcPr>
            <w:tcW w:type="dxa" w:w="3135"/>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Amber</w:t>
            </w:r>
          </w:p>
        </w:tc>
        <w:tc>
          <w:tcPr>
            <w:tcW w:type="dxa" w:w="3135"/>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Off</w:t>
            </w:r>
          </w:p>
        </w:tc>
        <w:tc>
          <w:tcPr>
            <w:tcW w:type="dxa" w:w="3135"/>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No instruments configured or connected</w:t>
            </w:r>
          </w:p>
        </w:tc>
      </w:tr>
      <w:tr>
        <w:tc>
          <w:tcPr>
            <w:tcW w:type="dxa" w:w="3135"/>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Red</w:t>
            </w:r>
          </w:p>
        </w:tc>
        <w:tc>
          <w:tcPr>
            <w:tcW w:type="dxa" w:w="3135"/>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Blinking (slow)</w:t>
            </w:r>
          </w:p>
        </w:tc>
        <w:tc>
          <w:tcPr>
            <w:tcW w:type="dxa" w:w="3135"/>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Upload errors / authentication failure</w:t>
            </w:r>
          </w:p>
        </w:tc>
      </w:tr>
      <w:tr>
        <w:tc>
          <w:tcPr>
            <w:tcW w:type="dxa" w:w="3135"/>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Red</w:t>
            </w:r>
          </w:p>
        </w:tc>
        <w:tc>
          <w:tcPr>
            <w:tcW w:type="dxa" w:w="3135"/>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Blinking (fast)</w:t>
            </w:r>
          </w:p>
        </w:tc>
        <w:tc>
          <w:tcPr>
            <w:tcW w:type="dxa" w:w="3135"/>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Critical error — dm-verity failure, disk full, hardware fault</w:t>
            </w:r>
          </w:p>
        </w:tc>
      </w:tr>
      <w:tr>
        <w:tc>
          <w:tcPr>
            <w:tcW w:type="dxa" w:w="3135"/>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White</w:t>
            </w:r>
          </w:p>
        </w:tc>
        <w:tc>
          <w:tcPr>
            <w:tcW w:type="dxa" w:w="3135"/>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Single flash</w:t>
            </w:r>
          </w:p>
        </w:tc>
        <w:tc>
          <w:tcPr>
            <w:tcW w:type="dxa" w:w="3135"/>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Heartbeat sent successfully</w:t>
            </w:r>
          </w:p>
        </w:tc>
      </w:tr>
      <w:tr>
        <w:tc>
          <w:tcPr>
            <w:tcW w:type="dxa" w:w="3135"/>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White</w:t>
            </w:r>
          </w:p>
        </w:tc>
        <w:tc>
          <w:tcPr>
            <w:tcW w:type="dxa" w:w="3135"/>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Solid</w:t>
            </w:r>
          </w:p>
        </w:tc>
        <w:tc>
          <w:tcPr>
            <w:tcW w:type="dxa" w:w="3135"/>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Firmware update in progress (do not power off)</w:t>
            </w:r>
          </w:p>
        </w:tc>
      </w:tr>
    </w:tbl>
    <w:p/>
    <w:p>
      <w:r>
        <w:br w:type="page"/>
      </w:r>
    </w:p>
    <w:p>
      <w:pPr>
        <w:pStyle w:val="Heading1"/>
      </w:pPr>
      <w:r>
        <w:t>13. GxP Compliance Considerations</w:t>
      </w:r>
    </w:p>
    <w:p>
      <w:pPr>
        <w:pStyle w:val="Heading3"/>
      </w:pPr>
      <w:r>
        <w:t>13.1 GAMP5 Classification</w:t>
      </w:r>
    </w:p>
    <w:p>
      <w:r>
        <w:rPr>
          <w:rFonts w:ascii="Calibri" w:hAnsi="Calibri"/>
          <w:b w:val="0"/>
          <w:i w:val="0"/>
          <w:color w:val="333333"/>
          <w:sz w:val="21"/>
        </w:rPr>
        <w:t>Under GAMP5, the BioNexus Box hardware gateway is classified as:</w:t>
      </w:r>
    </w:p>
    <w:tbl>
      <w:tblPr>
        <w:tblW w:type="auto" w:w="0"/>
        <w:jc w:val="center"/>
        <w:tblLayout w:type="autofit"/>
        <w:tblLook w:firstColumn="1" w:firstRow="1" w:lastColumn="0" w:lastRow="0" w:noHBand="0" w:noVBand="1" w:val="04A0"/>
      </w:tblPr>
      <w:tblGrid>
        <w:gridCol w:w="3135"/>
        <w:gridCol w:w="3135"/>
        <w:gridCol w:w="3135"/>
      </w:tblGrid>
      <w:tr>
        <w:tc>
          <w:tcPr>
            <w:tcW w:type="dxa" w:w="3135"/>
            <w:shd w:fill="0C2D5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i w:val="0"/>
                <w:color w:val="FFFFFF"/>
                <w:sz w:val="19"/>
              </w:rPr>
              <w:t>Component</w:t>
            </w:r>
          </w:p>
        </w:tc>
        <w:tc>
          <w:tcPr>
            <w:tcW w:type="dxa" w:w="3135"/>
            <w:shd w:fill="0C2D5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i w:val="0"/>
                <w:color w:val="FFFFFF"/>
                <w:sz w:val="19"/>
              </w:rPr>
              <w:t>GAMP5 Category</w:t>
            </w:r>
          </w:p>
        </w:tc>
        <w:tc>
          <w:tcPr>
            <w:tcW w:type="dxa" w:w="3135"/>
            <w:shd w:fill="0C2D5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i w:val="0"/>
                <w:color w:val="FFFFFF"/>
                <w:sz w:val="19"/>
              </w:rPr>
              <w:t>Rationale</w:t>
            </w:r>
          </w:p>
        </w:tc>
      </w:tr>
      <w:tr>
        <w:tc>
          <w:tcPr>
            <w:tcW w:type="dxa" w:w="3135"/>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Box hardware (CM4, carrier board, enclosure)</w:t>
            </w:r>
          </w:p>
        </w:tc>
        <w:tc>
          <w:tcPr>
            <w:tcW w:type="dxa" w:w="3135"/>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Category 1 — Infrastructure</w:t>
            </w:r>
          </w:p>
        </w:tc>
        <w:tc>
          <w:tcPr>
            <w:tcW w:type="dxa" w:w="3135"/>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Standard commercial hardware; vendor-qualified</w:t>
            </w:r>
          </w:p>
        </w:tc>
      </w:tr>
      <w:tr>
        <w:tc>
          <w:tcPr>
            <w:tcW w:type="dxa" w:w="3135"/>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Box firmware (OS + bionexus-agent)</w:t>
            </w:r>
          </w:p>
        </w:tc>
        <w:tc>
          <w:tcPr>
            <w:tcW w:type="dxa" w:w="3135"/>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Category 4 — Configured Product</w:t>
            </w:r>
          </w:p>
        </w:tc>
        <w:tc>
          <w:tcPr>
            <w:tcW w:type="dxa" w:w="3135"/>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Standard OS with configured BioNexus application; not custom built from scratch for a single customer but configured per site</w:t>
            </w:r>
          </w:p>
        </w:tc>
      </w:tr>
      <w:tr>
        <w:tc>
          <w:tcPr>
            <w:tcW w:type="dxa" w:w="3135"/>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Instrument parser modules (custom)</w:t>
            </w:r>
          </w:p>
        </w:tc>
        <w:tc>
          <w:tcPr>
            <w:tcW w:type="dxa" w:w="3135"/>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Category 5 — Custom Application</w:t>
            </w:r>
          </w:p>
        </w:tc>
        <w:tc>
          <w:tcPr>
            <w:tcW w:type="dxa" w:w="3135"/>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Custom-developed software specific to each instrument type; requires full software lifecycle documentation</w:t>
            </w:r>
          </w:p>
        </w:tc>
      </w:tr>
    </w:tbl>
    <w:p/>
    <w:p>
      <w:r>
        <w:rPr>
          <w:rFonts w:ascii="Calibri" w:hAnsi="Calibri"/>
          <w:b w:val="0"/>
          <w:i w:val="0"/>
          <w:color w:val="333333"/>
          <w:sz w:val="21"/>
        </w:rPr>
        <w:t>The Category 5 classification for parser modules means each parser requires:</w:t>
      </w:r>
    </w:p>
    <w:p>
      <w:pPr>
        <w:pStyle w:val="ListBullet"/>
        <w:spacing w:before="20" w:after="20"/>
        <w:ind w:left="680"/>
      </w:pPr>
      <w:r>
        <w:rPr>
          <w:rFonts w:ascii="Calibri" w:hAnsi="Calibri"/>
          <w:b w:val="0"/>
          <w:i w:val="0"/>
          <w:color w:val="333333"/>
          <w:sz w:val="21"/>
        </w:rPr>
        <w:t>Requirements specification</w:t>
      </w:r>
    </w:p>
    <w:p>
      <w:pPr>
        <w:pStyle w:val="ListBullet"/>
        <w:spacing w:before="20" w:after="20"/>
        <w:ind w:left="680"/>
      </w:pPr>
      <w:r>
        <w:rPr>
          <w:rFonts w:ascii="Calibri" w:hAnsi="Calibri"/>
          <w:b w:val="0"/>
          <w:i w:val="0"/>
          <w:color w:val="333333"/>
          <w:sz w:val="21"/>
        </w:rPr>
        <w:t>Design specification</w:t>
      </w:r>
    </w:p>
    <w:p>
      <w:pPr>
        <w:pStyle w:val="ListBullet"/>
        <w:spacing w:before="20" w:after="20"/>
        <w:ind w:left="680"/>
      </w:pPr>
      <w:r>
        <w:rPr>
          <w:rFonts w:ascii="Calibri" w:hAnsi="Calibri"/>
          <w:b w:val="0"/>
          <w:i w:val="0"/>
          <w:color w:val="333333"/>
          <w:sz w:val="21"/>
        </w:rPr>
        <w:t>Code review</w:t>
      </w:r>
    </w:p>
    <w:p>
      <w:pPr>
        <w:pStyle w:val="ListBullet"/>
        <w:spacing w:before="20" w:after="20"/>
        <w:ind w:left="680"/>
      </w:pPr>
      <w:r>
        <w:rPr>
          <w:rFonts w:ascii="Calibri" w:hAnsi="Calibri"/>
          <w:b w:val="0"/>
          <w:i w:val="0"/>
          <w:color w:val="333333"/>
          <w:sz w:val="21"/>
        </w:rPr>
        <w:t>Unit tests</w:t>
      </w:r>
    </w:p>
    <w:p>
      <w:pPr>
        <w:pStyle w:val="ListBullet"/>
        <w:spacing w:before="20" w:after="20"/>
        <w:ind w:left="680"/>
      </w:pPr>
      <w:r>
        <w:rPr>
          <w:rFonts w:ascii="Calibri" w:hAnsi="Calibri"/>
          <w:b w:val="0"/>
          <w:i w:val="0"/>
          <w:color w:val="333333"/>
          <w:sz w:val="21"/>
        </w:rPr>
        <w:t>Integration tests</w:t>
      </w:r>
    </w:p>
    <w:p>
      <w:pPr>
        <w:pStyle w:val="ListBullet"/>
        <w:spacing w:before="20" w:after="20"/>
        <w:ind w:left="680"/>
      </w:pPr>
      <w:r>
        <w:rPr>
          <w:rFonts w:ascii="Calibri" w:hAnsi="Calibri"/>
          <w:b w:val="0"/>
          <w:i w:val="0"/>
          <w:color w:val="333333"/>
          <w:sz w:val="21"/>
        </w:rPr>
        <w:t>Release notes</w:t>
      </w:r>
    </w:p>
    <w:p>
      <w:pPr>
        <w:pStyle w:val="Heading3"/>
      </w:pPr>
      <w:r>
        <w:t>13.2 21 CFR Part 11 Compliance at the Edge</w:t>
      </w:r>
    </w:p>
    <w:p>
      <w:r>
        <w:rPr>
          <w:rFonts w:ascii="Calibri" w:hAnsi="Calibri"/>
          <w:b w:val="0"/>
          <w:i w:val="0"/>
          <w:color w:val="333333"/>
          <w:sz w:val="21"/>
        </w:rPr>
        <w:t>The following 21 CFR Part 11 requirements are addressed at the Box level (edge):</w:t>
      </w:r>
    </w:p>
    <w:tbl>
      <w:tblPr>
        <w:tblW w:type="auto" w:w="0"/>
        <w:jc w:val="center"/>
        <w:tblLayout w:type="autofit"/>
        <w:tblLook w:firstColumn="1" w:firstRow="1" w:lastColumn="0" w:lastRow="0" w:noHBand="0" w:noVBand="1" w:val="04A0"/>
      </w:tblPr>
      <w:tblGrid>
        <w:gridCol w:w="4703"/>
        <w:gridCol w:w="4703"/>
      </w:tblGrid>
      <w:tr>
        <w:tc>
          <w:tcPr>
            <w:tcW w:type="dxa" w:w="4703"/>
            <w:shd w:fill="0C2D5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i w:val="0"/>
                <w:color w:val="FFFFFF"/>
                <w:sz w:val="19"/>
              </w:rPr>
              <w:t>Requirement</w:t>
            </w:r>
          </w:p>
        </w:tc>
        <w:tc>
          <w:tcPr>
            <w:tcW w:type="dxa" w:w="4703"/>
            <w:shd w:fill="0C2D5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i w:val="0"/>
                <w:color w:val="FFFFFF"/>
                <w:sz w:val="19"/>
              </w:rPr>
              <w:t>Implementation</w:t>
            </w:r>
          </w:p>
        </w:tc>
      </w:tr>
      <w:tr>
        <w:tc>
          <w:tcPr>
            <w:tcW w:type="dxa" w:w="4703"/>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i w:val="0"/>
                <w:color w:val="333333"/>
                <w:sz w:val="19"/>
              </w:rPr>
              <w:t>§11.10(a) — System validation</w:t>
            </w:r>
          </w:p>
        </w:tc>
        <w:tc>
          <w:tcPr>
            <w:tcW w:type="dxa" w:w="4703"/>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IQ/OQ/PQ qualification performed at each customer site installation; Box passes self-diagnostics on startup</w:t>
            </w:r>
          </w:p>
        </w:tc>
      </w:tr>
      <w:tr>
        <w:tc>
          <w:tcPr>
            <w:tcW w:type="dxa" w:w="4703"/>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i w:val="0"/>
                <w:color w:val="333333"/>
                <w:sz w:val="19"/>
              </w:rPr>
              <w:t>§11.10(b) — Legible records</w:t>
            </w:r>
          </w:p>
        </w:tc>
        <w:tc>
          <w:tcPr>
            <w:tcW w:type="dxa" w:w="4703"/>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All captured data stored as human-readable JSON; raw bytes preserved as Base64</w:t>
            </w:r>
          </w:p>
        </w:tc>
      </w:tr>
      <w:tr>
        <w:tc>
          <w:tcPr>
            <w:tcW w:type="dxa" w:w="4703"/>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i w:val="0"/>
                <w:color w:val="333333"/>
                <w:sz w:val="19"/>
              </w:rPr>
              <w:t>§11.10(c) — Record generation</w:t>
            </w:r>
          </w:p>
        </w:tc>
        <w:tc>
          <w:tcPr>
            <w:tcW w:type="dxa" w:w="4703"/>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Readings generated by the Box, not manually entered; audit trail records the Box as the data source</w:t>
            </w:r>
          </w:p>
        </w:tc>
      </w:tr>
      <w:tr>
        <w:tc>
          <w:tcPr>
            <w:tcW w:type="dxa" w:w="4703"/>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i w:val="0"/>
                <w:color w:val="333333"/>
                <w:sz w:val="19"/>
              </w:rPr>
              <w:t>§11.10(d) — Protection of records</w:t>
            </w:r>
          </w:p>
        </w:tc>
        <w:tc>
          <w:tcPr>
            <w:tcW w:type="dxa" w:w="4703"/>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LUKS2 encrypted data partition; dm-verity protected OS; tamper-evident physical seals</w:t>
            </w:r>
          </w:p>
        </w:tc>
      </w:tr>
      <w:tr>
        <w:tc>
          <w:tcPr>
            <w:tcW w:type="dxa" w:w="4703"/>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i w:val="0"/>
                <w:color w:val="333333"/>
                <w:sz w:val="19"/>
              </w:rPr>
              <w:t>§11.10(e) — Computer system access</w:t>
            </w:r>
          </w:p>
        </w:tc>
        <w:tc>
          <w:tcPr>
            <w:tcW w:type="dxa" w:w="4703"/>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Box requires API key auth for cloud communication; SSH requires key auth for local access; no anonymous access</w:t>
            </w:r>
          </w:p>
        </w:tc>
      </w:tr>
      <w:tr>
        <w:tc>
          <w:tcPr>
            <w:tcW w:type="dxa" w:w="4703"/>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i w:val="0"/>
                <w:color w:val="333333"/>
                <w:sz w:val="19"/>
              </w:rPr>
              <w:t>§11.10(k) — Operational system checks</w:t>
            </w:r>
          </w:p>
        </w:tc>
        <w:tc>
          <w:tcPr>
            <w:tcW w:type="dxa" w:w="4703"/>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Heartbeat confirms system health; watchdog ensures recovery from software failure</w:t>
            </w:r>
          </w:p>
        </w:tc>
      </w:tr>
      <w:tr>
        <w:tc>
          <w:tcPr>
            <w:tcW w:type="dxa" w:w="4703"/>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i w:val="0"/>
                <w:color w:val="333333"/>
                <w:sz w:val="19"/>
              </w:rPr>
              <w:t>§11.50 — Signed records</w:t>
            </w:r>
          </w:p>
        </w:tc>
        <w:tc>
          <w:tcPr>
            <w:tcW w:type="dxa" w:w="4703"/>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Each reading is SHA-256 signed at the packet level on the Box; signature verified by backend</w:t>
            </w:r>
          </w:p>
        </w:tc>
      </w:tr>
      <w:tr>
        <w:tc>
          <w:tcPr>
            <w:tcW w:type="dxa" w:w="4703"/>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i w:val="0"/>
                <w:color w:val="333333"/>
                <w:sz w:val="19"/>
              </w:rPr>
              <w:t>§11.70 — Link between signature and record</w:t>
            </w:r>
          </w:p>
        </w:tc>
        <w:tc>
          <w:tcPr>
            <w:tcW w:type="dxa" w:w="4703"/>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onsolas" w:hAnsi="Consolas"/>
                <w:b w:val="0"/>
                <w:i w:val="0"/>
                <w:color w:val="1A1A2E"/>
                <w:sz w:val="18"/>
              </w:rPr>
              <w:t>packet_sha256</w:t>
            </w:r>
            <w:r>
              <w:rPr>
                <w:rFonts w:ascii="Calibri" w:hAnsi="Calibri"/>
                <w:b w:val="0"/>
                <w:i w:val="0"/>
                <w:color w:val="333333"/>
                <w:sz w:val="19"/>
              </w:rPr>
              <w:t xml:space="preserve"> cryptographically links the instrument ID, timestamp, and data — any modification is detectable</w:t>
            </w:r>
          </w:p>
        </w:tc>
      </w:tr>
    </w:tbl>
    <w:p/>
    <w:p>
      <w:pPr>
        <w:pStyle w:val="Heading3"/>
      </w:pPr>
      <w:r>
        <w:t>13.3 ALCOA+ at the Edge</w:t>
      </w:r>
    </w:p>
    <w:tbl>
      <w:tblPr>
        <w:tblW w:type="auto" w:w="0"/>
        <w:jc w:val="center"/>
        <w:tblLayout w:type="autofit"/>
        <w:tblLook w:firstColumn="1" w:firstRow="1" w:lastColumn="0" w:lastRow="0" w:noHBand="0" w:noVBand="1" w:val="04A0"/>
      </w:tblPr>
      <w:tblGrid>
        <w:gridCol w:w="4703"/>
        <w:gridCol w:w="4703"/>
      </w:tblGrid>
      <w:tr>
        <w:tc>
          <w:tcPr>
            <w:tcW w:type="dxa" w:w="4703"/>
            <w:shd w:fill="0C2D5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i w:val="0"/>
                <w:color w:val="FFFFFF"/>
                <w:sz w:val="19"/>
              </w:rPr>
              <w:t>ALCOA+ Principle</w:t>
            </w:r>
          </w:p>
        </w:tc>
        <w:tc>
          <w:tcPr>
            <w:tcW w:type="dxa" w:w="4703"/>
            <w:shd w:fill="0C2D5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i w:val="0"/>
                <w:color w:val="FFFFFF"/>
                <w:sz w:val="19"/>
              </w:rPr>
              <w:t>Box Implementation</w:t>
            </w:r>
          </w:p>
        </w:tc>
      </w:tr>
      <w:tr>
        <w:tc>
          <w:tcPr>
            <w:tcW w:type="dxa" w:w="4703"/>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i w:val="0"/>
                <w:color w:val="333333"/>
                <w:sz w:val="19"/>
              </w:rPr>
              <w:t>Attributable</w:t>
            </w:r>
          </w:p>
        </w:tc>
        <w:tc>
          <w:tcPr>
            <w:tcW w:type="dxa" w:w="4703"/>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 xml:space="preserve">Every reading carries </w:t>
            </w:r>
            <w:r>
              <w:rPr>
                <w:rFonts w:ascii="Consolas" w:hAnsi="Consolas"/>
                <w:b w:val="0"/>
                <w:i w:val="0"/>
                <w:color w:val="1A1A2E"/>
                <w:sz w:val="18"/>
              </w:rPr>
              <w:t>device_id</w:t>
            </w:r>
            <w:r>
              <w:rPr>
                <w:rFonts w:ascii="Calibri" w:hAnsi="Calibri"/>
                <w:b w:val="0"/>
                <w:i w:val="0"/>
                <w:color w:val="333333"/>
                <w:sz w:val="19"/>
              </w:rPr>
              <w:t xml:space="preserve"> and </w:t>
            </w:r>
            <w:r>
              <w:rPr>
                <w:rFonts w:ascii="Consolas" w:hAnsi="Consolas"/>
                <w:b w:val="0"/>
                <w:i w:val="0"/>
                <w:color w:val="1A1A2E"/>
                <w:sz w:val="18"/>
              </w:rPr>
              <w:t>instrument_id</w:t>
            </w:r>
            <w:r>
              <w:rPr>
                <w:rFonts w:ascii="Calibri" w:hAnsi="Calibri"/>
                <w:b w:val="0"/>
                <w:i w:val="0"/>
                <w:color w:val="333333"/>
                <w:sz w:val="19"/>
              </w:rPr>
              <w:t>; traceable to a specific physical instrument at a specific site</w:t>
            </w:r>
          </w:p>
        </w:tc>
      </w:tr>
      <w:tr>
        <w:tc>
          <w:tcPr>
            <w:tcW w:type="dxa" w:w="4703"/>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i w:val="0"/>
                <w:color w:val="333333"/>
                <w:sz w:val="19"/>
              </w:rPr>
              <w:t>Legible</w:t>
            </w:r>
          </w:p>
        </w:tc>
        <w:tc>
          <w:tcPr>
            <w:tcW w:type="dxa" w:w="4703"/>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Data captured as structured JSON with human-readable fields; raw bytes preserved</w:t>
            </w:r>
          </w:p>
        </w:tc>
      </w:tr>
      <w:tr>
        <w:tc>
          <w:tcPr>
            <w:tcW w:type="dxa" w:w="4703"/>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i w:val="0"/>
                <w:color w:val="333333"/>
                <w:sz w:val="19"/>
              </w:rPr>
              <w:t>Contemporaneous</w:t>
            </w:r>
          </w:p>
        </w:tc>
        <w:tc>
          <w:tcPr>
            <w:tcW w:type="dxa" w:w="4703"/>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onsolas" w:hAnsi="Consolas"/>
                <w:b w:val="0"/>
                <w:i w:val="0"/>
                <w:color w:val="1A1A2E"/>
                <w:sz w:val="18"/>
              </w:rPr>
              <w:t>captured_at</w:t>
            </w:r>
            <w:r>
              <w:rPr>
                <w:rFonts w:ascii="Calibri" w:hAnsi="Calibri"/>
                <w:b w:val="0"/>
                <w:i w:val="0"/>
                <w:color w:val="333333"/>
                <w:sz w:val="19"/>
              </w:rPr>
              <w:t xml:space="preserve"> timestamp recorded at the moment of serial port read, using NTP-synchronized hardware RTC</w:t>
            </w:r>
          </w:p>
        </w:tc>
      </w:tr>
      <w:tr>
        <w:tc>
          <w:tcPr>
            <w:tcW w:type="dxa" w:w="4703"/>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i w:val="0"/>
                <w:color w:val="333333"/>
                <w:sz w:val="19"/>
              </w:rPr>
              <w:t>Original</w:t>
            </w:r>
          </w:p>
        </w:tc>
        <w:tc>
          <w:tcPr>
            <w:tcW w:type="dxa" w:w="4703"/>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onsolas" w:hAnsi="Consolas"/>
                <w:b w:val="0"/>
                <w:i w:val="0"/>
                <w:color w:val="1A1A2E"/>
                <w:sz w:val="18"/>
              </w:rPr>
              <w:t>raw_bytes_b64</w:t>
            </w:r>
            <w:r>
              <w:rPr>
                <w:rFonts w:ascii="Calibri" w:hAnsi="Calibri"/>
                <w:b w:val="0"/>
                <w:i w:val="0"/>
                <w:color w:val="333333"/>
                <w:sz w:val="19"/>
              </w:rPr>
              <w:t xml:space="preserve"> preserves the exact bytes output by the instrument; </w:t>
            </w:r>
            <w:r>
              <w:rPr>
                <w:rFonts w:ascii="Consolas" w:hAnsi="Consolas"/>
                <w:b w:val="0"/>
                <w:i w:val="0"/>
                <w:color w:val="1A1A2E"/>
                <w:sz w:val="18"/>
              </w:rPr>
              <w:t>raw_sha256</w:t>
            </w:r>
            <w:r>
              <w:rPr>
                <w:rFonts w:ascii="Calibri" w:hAnsi="Calibri"/>
                <w:b w:val="0"/>
                <w:i w:val="0"/>
                <w:color w:val="333333"/>
                <w:sz w:val="19"/>
              </w:rPr>
              <w:t xml:space="preserve"> detects any modification</w:t>
            </w:r>
          </w:p>
        </w:tc>
      </w:tr>
      <w:tr>
        <w:tc>
          <w:tcPr>
            <w:tcW w:type="dxa" w:w="4703"/>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i w:val="0"/>
                <w:color w:val="333333"/>
                <w:sz w:val="19"/>
              </w:rPr>
              <w:t>Accurate</w:t>
            </w:r>
          </w:p>
        </w:tc>
        <w:tc>
          <w:tcPr>
            <w:tcW w:type="dxa" w:w="4703"/>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Parser modules validated against known instrument output during qualification; parser output compared to instrument display during OQ</w:t>
            </w:r>
          </w:p>
        </w:tc>
      </w:tr>
      <w:tr>
        <w:tc>
          <w:tcPr>
            <w:tcW w:type="dxa" w:w="4703"/>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i w:val="0"/>
                <w:color w:val="333333"/>
                <w:sz w:val="19"/>
              </w:rPr>
              <w:t>Complete</w:t>
            </w:r>
          </w:p>
        </w:tc>
        <w:tc>
          <w:tcPr>
            <w:tcW w:type="dxa" w:w="4703"/>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Offline store-and-forward ensures no readings lost during network outages; gap detection on reconnection</w:t>
            </w:r>
          </w:p>
        </w:tc>
      </w:tr>
      <w:tr>
        <w:tc>
          <w:tcPr>
            <w:tcW w:type="dxa" w:w="4703"/>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i w:val="0"/>
                <w:color w:val="333333"/>
                <w:sz w:val="19"/>
              </w:rPr>
              <w:t>Consistent</w:t>
            </w:r>
          </w:p>
        </w:tc>
        <w:tc>
          <w:tcPr>
            <w:tcW w:type="dxa" w:w="4703"/>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Same parser module applied uniformly to all readings from a given instrument</w:t>
            </w:r>
          </w:p>
        </w:tc>
      </w:tr>
      <w:tr>
        <w:tc>
          <w:tcPr>
            <w:tcW w:type="dxa" w:w="4703"/>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i w:val="0"/>
                <w:color w:val="333333"/>
                <w:sz w:val="19"/>
              </w:rPr>
              <w:t>Enduring</w:t>
            </w:r>
          </w:p>
        </w:tc>
        <w:tc>
          <w:tcPr>
            <w:tcW w:type="dxa" w:w="4703"/>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Local queue with 7-day retention (configurable); cloud PostgreSQL for long-term storage</w:t>
            </w:r>
          </w:p>
        </w:tc>
      </w:tr>
      <w:tr>
        <w:tc>
          <w:tcPr>
            <w:tcW w:type="dxa" w:w="4703"/>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i w:val="0"/>
                <w:color w:val="333333"/>
                <w:sz w:val="19"/>
              </w:rPr>
              <w:t>Available</w:t>
            </w:r>
          </w:p>
        </w:tc>
        <w:tc>
          <w:tcPr>
            <w:tcW w:type="dxa" w:w="4703"/>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Local queue available offline; cloud dashboard available 24/7; audit trail always retrievable</w:t>
            </w:r>
          </w:p>
        </w:tc>
      </w:tr>
    </w:tbl>
    <w:p/>
    <w:p>
      <w:pPr>
        <w:pStyle w:val="Heading3"/>
      </w:pPr>
      <w:r>
        <w:t>13.4 Qualification Approach</w:t>
      </w:r>
    </w:p>
    <w:p>
      <w:r>
        <w:rPr>
          <w:rFonts w:ascii="Calibri" w:hAnsi="Calibri"/>
          <w:b/>
          <w:i w:val="0"/>
          <w:color w:val="333333"/>
          <w:sz w:val="21"/>
        </w:rPr>
        <w:t>Installation Qualification (IQ):</w:t>
      </w:r>
    </w:p>
    <w:p>
      <w:pPr>
        <w:pStyle w:val="ListBullet"/>
        <w:spacing w:before="20" w:after="20"/>
        <w:ind w:left="680"/>
      </w:pPr>
      <w:r>
        <w:rPr>
          <w:rFonts w:ascii="Calibri" w:hAnsi="Calibri"/>
          <w:b w:val="0"/>
          <w:i w:val="0"/>
          <w:color w:val="333333"/>
          <w:sz w:val="21"/>
        </w:rPr>
        <w:t>Verify Box hardware serial number matches shipping manifest</w:t>
      </w:r>
    </w:p>
    <w:p>
      <w:pPr>
        <w:pStyle w:val="ListBullet"/>
        <w:spacing w:before="20" w:after="20"/>
        <w:ind w:left="680"/>
      </w:pPr>
      <w:r>
        <w:rPr>
          <w:rFonts w:ascii="Calibri" w:hAnsi="Calibri"/>
          <w:b w:val="0"/>
          <w:i w:val="0"/>
          <w:color w:val="333333"/>
          <w:sz w:val="21"/>
        </w:rPr>
        <w:t>Verify firmware version matches provisioning record</w:t>
      </w:r>
    </w:p>
    <w:p>
      <w:pPr>
        <w:pStyle w:val="ListBullet"/>
        <w:spacing w:before="20" w:after="20"/>
        <w:ind w:left="680"/>
      </w:pPr>
      <w:r>
        <w:rPr>
          <w:rFonts w:ascii="Calibri" w:hAnsi="Calibri"/>
          <w:b w:val="0"/>
          <w:i w:val="0"/>
          <w:color w:val="333333"/>
          <w:sz w:val="21"/>
        </w:rPr>
        <w:t>Verify device_id in cloud registry</w:t>
      </w:r>
    </w:p>
    <w:p>
      <w:pPr>
        <w:pStyle w:val="ListBullet"/>
        <w:spacing w:before="20" w:after="20"/>
        <w:ind w:left="680"/>
      </w:pPr>
      <w:r>
        <w:rPr>
          <w:rFonts w:ascii="Calibri" w:hAnsi="Calibri"/>
          <w:b w:val="0"/>
          <w:i w:val="0"/>
          <w:color w:val="333333"/>
          <w:sz w:val="21"/>
        </w:rPr>
        <w:t>Verify tamper-evident seals intact</w:t>
      </w:r>
    </w:p>
    <w:p>
      <w:pPr>
        <w:pStyle w:val="ListBullet"/>
        <w:spacing w:before="20" w:after="20"/>
        <w:ind w:left="680"/>
      </w:pPr>
      <w:r>
        <w:rPr>
          <w:rFonts w:ascii="Calibri" w:hAnsi="Calibri"/>
          <w:b w:val="0"/>
          <w:i w:val="0"/>
          <w:color w:val="333333"/>
          <w:sz w:val="21"/>
        </w:rPr>
        <w:t>Verify serial cable connections to instrument</w:t>
      </w:r>
    </w:p>
    <w:p>
      <w:pPr>
        <w:pStyle w:val="ListBullet"/>
        <w:spacing w:before="20" w:after="20"/>
        <w:ind w:left="680"/>
      </w:pPr>
      <w:r>
        <w:rPr>
          <w:rFonts w:ascii="Calibri" w:hAnsi="Calibri"/>
          <w:b w:val="0"/>
          <w:i w:val="0"/>
          <w:color w:val="333333"/>
          <w:sz w:val="21"/>
        </w:rPr>
        <w:t>Verify network connectivity (ping management endpoint)</w:t>
      </w:r>
    </w:p>
    <w:p>
      <w:r>
        <w:rPr>
          <w:rFonts w:ascii="Calibri" w:hAnsi="Calibri"/>
          <w:b/>
          <w:i w:val="0"/>
          <w:color w:val="333333"/>
          <w:sz w:val="21"/>
        </w:rPr>
        <w:t>Operational Qualification (OQ):</w:t>
      </w:r>
    </w:p>
    <w:p>
      <w:pPr>
        <w:pStyle w:val="ListBullet"/>
        <w:spacing w:before="20" w:after="20"/>
        <w:ind w:left="680"/>
      </w:pPr>
      <w:r>
        <w:rPr>
          <w:rFonts w:ascii="Calibri" w:hAnsi="Calibri"/>
          <w:b w:val="0"/>
          <w:i w:val="0"/>
          <w:color w:val="333333"/>
          <w:sz w:val="21"/>
        </w:rPr>
        <w:t>Generate known test output on instrument (or use instrument's built-in self-test)</w:t>
      </w:r>
    </w:p>
    <w:p>
      <w:pPr>
        <w:pStyle w:val="ListBullet"/>
        <w:spacing w:before="20" w:after="20"/>
        <w:ind w:left="680"/>
      </w:pPr>
      <w:r>
        <w:rPr>
          <w:rFonts w:ascii="Calibri" w:hAnsi="Calibri"/>
          <w:b w:val="0"/>
          <w:i w:val="0"/>
          <w:color w:val="333333"/>
          <w:sz w:val="21"/>
        </w:rPr>
        <w:t>Verify reading appears in cloud dashboard with correct parsed values</w:t>
      </w:r>
    </w:p>
    <w:p>
      <w:pPr>
        <w:pStyle w:val="ListBullet"/>
        <w:spacing w:before="20" w:after="20"/>
        <w:ind w:left="680"/>
      </w:pPr>
      <w:r>
        <w:rPr>
          <w:rFonts w:ascii="Calibri" w:hAnsi="Calibri"/>
          <w:b w:val="0"/>
          <w:i w:val="0"/>
          <w:color w:val="333333"/>
          <w:sz w:val="21"/>
        </w:rPr>
        <w:t xml:space="preserve">Verify </w:t>
      </w:r>
      <w:r>
        <w:rPr>
          <w:rFonts w:ascii="Consolas" w:hAnsi="Consolas"/>
          <w:b w:val="0"/>
          <w:i w:val="0"/>
          <w:color w:val="1A1A2E"/>
          <w:sz w:val="18"/>
        </w:rPr>
        <w:t>captured_at</w:t>
      </w:r>
      <w:r>
        <w:rPr>
          <w:rFonts w:ascii="Calibri" w:hAnsi="Calibri"/>
          <w:b w:val="0"/>
          <w:i w:val="0"/>
          <w:color w:val="333333"/>
          <w:sz w:val="21"/>
        </w:rPr>
        <w:t xml:space="preserve"> timestamp is accurate (within ±2 seconds of instrument print time)</w:t>
      </w:r>
    </w:p>
    <w:p>
      <w:pPr>
        <w:pStyle w:val="ListBullet"/>
        <w:spacing w:before="20" w:after="20"/>
        <w:ind w:left="680"/>
      </w:pPr>
      <w:r>
        <w:rPr>
          <w:rFonts w:ascii="Calibri" w:hAnsi="Calibri"/>
          <w:b w:val="0"/>
          <w:i w:val="0"/>
          <w:color w:val="333333"/>
          <w:sz w:val="21"/>
        </w:rPr>
        <w:t xml:space="preserve">Verify SHA-256 integrity: download raw bytes from cloud, compute hash, verify matches stored </w:t>
      </w:r>
      <w:r>
        <w:rPr>
          <w:rFonts w:ascii="Consolas" w:hAnsi="Consolas"/>
          <w:b w:val="0"/>
          <w:i w:val="0"/>
          <w:color w:val="1A1A2E"/>
          <w:sz w:val="18"/>
        </w:rPr>
        <w:t>raw_sha256</w:t>
      </w:r>
    </w:p>
    <w:p>
      <w:pPr>
        <w:pStyle w:val="ListBullet"/>
        <w:spacing w:before="20" w:after="20"/>
        <w:ind w:left="680"/>
      </w:pPr>
      <w:r>
        <w:rPr>
          <w:rFonts w:ascii="Calibri" w:hAnsi="Calibri"/>
          <w:b w:val="0"/>
          <w:i w:val="0"/>
          <w:color w:val="333333"/>
          <w:sz w:val="21"/>
        </w:rPr>
        <w:t>Simulate network outage: disconnect Ethernet, generate 10 readings on instrument, reconnect, verify all 10 appear in cloud</w:t>
      </w:r>
    </w:p>
    <w:p>
      <w:pPr>
        <w:pStyle w:val="ListBullet"/>
        <w:spacing w:before="20" w:after="20"/>
        <w:ind w:left="680"/>
      </w:pPr>
      <w:r>
        <w:rPr>
          <w:rFonts w:ascii="Calibri" w:hAnsi="Calibri"/>
          <w:b w:val="0"/>
          <w:i w:val="0"/>
          <w:color w:val="333333"/>
          <w:sz w:val="21"/>
        </w:rPr>
        <w:t>Verify audit trail entries for all 10 readings</w:t>
      </w:r>
    </w:p>
    <w:p>
      <w:r>
        <w:rPr>
          <w:rFonts w:ascii="Calibri" w:hAnsi="Calibri"/>
          <w:b/>
          <w:i w:val="0"/>
          <w:color w:val="333333"/>
          <w:sz w:val="21"/>
        </w:rPr>
        <w:t>Performance Qualification (PQ):</w:t>
      </w:r>
    </w:p>
    <w:p>
      <w:pPr>
        <w:pStyle w:val="ListBullet"/>
        <w:spacing w:before="20" w:after="20"/>
        <w:ind w:left="680"/>
      </w:pPr>
      <w:r>
        <w:rPr>
          <w:rFonts w:ascii="Calibri" w:hAnsi="Calibri"/>
          <w:b w:val="0"/>
          <w:i w:val="0"/>
          <w:color w:val="333333"/>
          <w:sz w:val="21"/>
        </w:rPr>
        <w:t>30-day observation period: verify all readings captured and transmitted without data loss</w:t>
      </w:r>
    </w:p>
    <w:p>
      <w:pPr>
        <w:pStyle w:val="ListBullet"/>
        <w:spacing w:before="20" w:after="20"/>
        <w:ind w:left="680"/>
      </w:pPr>
      <w:r>
        <w:rPr>
          <w:rFonts w:ascii="Calibri" w:hAnsi="Calibri"/>
          <w:b w:val="0"/>
          <w:i w:val="0"/>
          <w:color w:val="333333"/>
          <w:sz w:val="21"/>
        </w:rPr>
        <w:t>Monthly reconciliation report: cloud audit trail versus instrument printout</w:t>
      </w:r>
    </w:p>
    <w:p>
      <w:pPr>
        <w:pStyle w:val="Heading3"/>
      </w:pPr>
      <w:r>
        <w:t>13.5 Computer System Validation (CSV) Documentation Package</w:t>
      </w:r>
    </w:p>
    <w:p>
      <w:r>
        <w:rPr>
          <w:rFonts w:ascii="Calibri" w:hAnsi="Calibri"/>
          <w:b w:val="0"/>
          <w:i w:val="0"/>
          <w:color w:val="333333"/>
          <w:sz w:val="21"/>
        </w:rPr>
        <w:t>BioNexus provides the following validation documentation for each Box installation (in partnership with GMP4U):</w:t>
      </w:r>
    </w:p>
    <w:p>
      <w:pPr>
        <w:pStyle w:val="ListBullet"/>
        <w:spacing w:before="20" w:after="20"/>
        <w:ind w:left="680"/>
      </w:pPr>
      <w:r>
        <w:rPr>
          <w:rFonts w:ascii="Calibri" w:hAnsi="Calibri"/>
          <w:b w:val="0"/>
          <w:i w:val="0"/>
          <w:color w:val="333333"/>
          <w:sz w:val="21"/>
        </w:rPr>
        <w:t>User Requirements Specification (URS)</w:t>
      </w:r>
    </w:p>
    <w:p>
      <w:pPr>
        <w:pStyle w:val="ListBullet"/>
        <w:spacing w:before="20" w:after="20"/>
        <w:ind w:left="680"/>
      </w:pPr>
      <w:r>
        <w:rPr>
          <w:rFonts w:ascii="Calibri" w:hAnsi="Calibri"/>
          <w:b w:val="0"/>
          <w:i w:val="0"/>
          <w:color w:val="333333"/>
          <w:sz w:val="21"/>
        </w:rPr>
        <w:t>Functional Requirements Specification (FRS)</w:t>
      </w:r>
    </w:p>
    <w:p>
      <w:pPr>
        <w:pStyle w:val="ListBullet"/>
        <w:spacing w:before="20" w:after="20"/>
        <w:ind w:left="680"/>
      </w:pPr>
      <w:r>
        <w:rPr>
          <w:rFonts w:ascii="Calibri" w:hAnsi="Calibri"/>
          <w:b w:val="0"/>
          <w:i w:val="0"/>
          <w:color w:val="333333"/>
          <w:sz w:val="21"/>
        </w:rPr>
        <w:t>Hardware Design Specification (this document + Appendix A: Site Configuration Record)</w:t>
      </w:r>
    </w:p>
    <w:p>
      <w:pPr>
        <w:pStyle w:val="ListBullet"/>
        <w:spacing w:before="20" w:after="20"/>
        <w:ind w:left="680"/>
      </w:pPr>
      <w:r>
        <w:rPr>
          <w:rFonts w:ascii="Calibri" w:hAnsi="Calibri"/>
          <w:b w:val="0"/>
          <w:i w:val="0"/>
          <w:color w:val="333333"/>
          <w:sz w:val="21"/>
        </w:rPr>
        <w:t>Software Design Specification (this document, Sections 5–10)</w:t>
      </w:r>
    </w:p>
    <w:p>
      <w:pPr>
        <w:pStyle w:val="ListBullet"/>
        <w:spacing w:before="20" w:after="20"/>
        <w:ind w:left="680"/>
      </w:pPr>
      <w:r>
        <w:rPr>
          <w:rFonts w:ascii="Calibri" w:hAnsi="Calibri"/>
          <w:b w:val="0"/>
          <w:i w:val="0"/>
          <w:color w:val="333333"/>
          <w:sz w:val="21"/>
        </w:rPr>
        <w:t>Installation Qualification Protocol and Report (IQ)</w:t>
      </w:r>
    </w:p>
    <w:p>
      <w:pPr>
        <w:pStyle w:val="ListBullet"/>
        <w:spacing w:before="20" w:after="20"/>
        <w:ind w:left="680"/>
      </w:pPr>
      <w:r>
        <w:rPr>
          <w:rFonts w:ascii="Calibri" w:hAnsi="Calibri"/>
          <w:b w:val="0"/>
          <w:i w:val="0"/>
          <w:color w:val="333333"/>
          <w:sz w:val="21"/>
        </w:rPr>
        <w:t>Operational Qualification Protocol and Report (OQ)</w:t>
      </w:r>
    </w:p>
    <w:p>
      <w:pPr>
        <w:pStyle w:val="ListBullet"/>
        <w:spacing w:before="20" w:after="20"/>
        <w:ind w:left="680"/>
      </w:pPr>
      <w:r>
        <w:rPr>
          <w:rFonts w:ascii="Calibri" w:hAnsi="Calibri"/>
          <w:b w:val="0"/>
          <w:i w:val="0"/>
          <w:color w:val="333333"/>
          <w:sz w:val="21"/>
        </w:rPr>
        <w:t>Risk Assessment (per ICH Q9)</w:t>
      </w:r>
    </w:p>
    <w:p>
      <w:pPr>
        <w:pStyle w:val="ListBullet"/>
        <w:spacing w:before="20" w:after="20"/>
        <w:ind w:left="680"/>
      </w:pPr>
      <w:r>
        <w:rPr>
          <w:rFonts w:ascii="Calibri" w:hAnsi="Calibri"/>
          <w:b w:val="0"/>
          <w:i w:val="0"/>
          <w:color w:val="333333"/>
          <w:sz w:val="21"/>
        </w:rPr>
        <w:t>Traceability Matrix (requirements → design → test)</w:t>
      </w:r>
    </w:p>
    <w:p>
      <w:r>
        <w:br w:type="page"/>
      </w:r>
    </w:p>
    <w:p>
      <w:pPr>
        <w:pStyle w:val="Heading1"/>
      </w:pPr>
      <w:r>
        <w:t>14. Physical and Environmental Requirements</w:t>
      </w:r>
    </w:p>
    <w:p>
      <w:pPr>
        <w:pStyle w:val="Heading3"/>
      </w:pPr>
      <w:r>
        <w:t>14.1 Enclosure Specifications</w:t>
      </w:r>
    </w:p>
    <w:tbl>
      <w:tblPr>
        <w:tblW w:type="auto" w:w="0"/>
        <w:jc w:val="center"/>
        <w:tblLayout w:type="autofit"/>
        <w:tblLook w:firstColumn="1" w:firstRow="1" w:lastColumn="0" w:lastRow="0" w:noHBand="0" w:noVBand="1" w:val="04A0"/>
      </w:tblPr>
      <w:tblGrid>
        <w:gridCol w:w="4703"/>
        <w:gridCol w:w="4703"/>
      </w:tblGrid>
      <w:tr>
        <w:tc>
          <w:tcPr>
            <w:tcW w:type="dxa" w:w="4703"/>
            <w:shd w:fill="0C2D5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i w:val="0"/>
                <w:color w:val="FFFFFF"/>
                <w:sz w:val="19"/>
              </w:rPr>
              <w:t>Parameter</w:t>
            </w:r>
          </w:p>
        </w:tc>
        <w:tc>
          <w:tcPr>
            <w:tcW w:type="dxa" w:w="4703"/>
            <w:shd w:fill="0C2D5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i w:val="0"/>
                <w:color w:val="FFFFFF"/>
                <w:sz w:val="19"/>
              </w:rPr>
              <w:t>Specification</w:t>
            </w:r>
          </w:p>
        </w:tc>
      </w:tr>
      <w:tr>
        <w:tc>
          <w:tcPr>
            <w:tcW w:type="dxa" w:w="4703"/>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Enclosure type</w:t>
            </w:r>
          </w:p>
        </w:tc>
        <w:tc>
          <w:tcPr>
            <w:tcW w:type="dxa" w:w="4703"/>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ABS plastic, desktop (bench-top) or DIN-rail mount</w:t>
            </w:r>
          </w:p>
        </w:tc>
      </w:tr>
      <w:tr>
        <w:tc>
          <w:tcPr>
            <w:tcW w:type="dxa" w:w="4703"/>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IP rating</w:t>
            </w:r>
          </w:p>
        </w:tc>
        <w:tc>
          <w:tcPr>
            <w:tcW w:type="dxa" w:w="4703"/>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IP40 standard; IP54 available for controlled cleanroom environments</w:t>
            </w:r>
          </w:p>
        </w:tc>
      </w:tr>
      <w:tr>
        <w:tc>
          <w:tcPr>
            <w:tcW w:type="dxa" w:w="4703"/>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Dimensions</w:t>
            </w:r>
          </w:p>
        </w:tc>
        <w:tc>
          <w:tcPr>
            <w:tcW w:type="dxa" w:w="4703"/>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~120 mm × 80 mm × 40 mm (bench-top); 1 DIN module (75 mm × 90 mm) for rail mount</w:t>
            </w:r>
          </w:p>
        </w:tc>
      </w:tr>
      <w:tr>
        <w:tc>
          <w:tcPr>
            <w:tcW w:type="dxa" w:w="4703"/>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Color</w:t>
            </w:r>
          </w:p>
        </w:tc>
        <w:tc>
          <w:tcPr>
            <w:tcW w:type="dxa" w:w="4703"/>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RAL 7035 light grey (standard lab equipment color)</w:t>
            </w:r>
          </w:p>
        </w:tc>
      </w:tr>
      <w:tr>
        <w:tc>
          <w:tcPr>
            <w:tcW w:type="dxa" w:w="4703"/>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Labeling</w:t>
            </w:r>
          </w:p>
        </w:tc>
        <w:tc>
          <w:tcPr>
            <w:tcW w:type="dxa" w:w="4703"/>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Asset tag, serial number, device ID, CE/FCC markings, UL listing (planned)</w:t>
            </w:r>
          </w:p>
        </w:tc>
      </w:tr>
      <w:tr>
        <w:tc>
          <w:tcPr>
            <w:tcW w:type="dxa" w:w="4703"/>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Tamper evidence</w:t>
            </w:r>
          </w:p>
        </w:tc>
        <w:tc>
          <w:tcPr>
            <w:tcW w:type="dxa" w:w="4703"/>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Tamper-evident screw seals on all access panels; holographic serial stickers</w:t>
            </w:r>
          </w:p>
        </w:tc>
      </w:tr>
      <w:tr>
        <w:tc>
          <w:tcPr>
            <w:tcW w:type="dxa" w:w="4703"/>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Mounting</w:t>
            </w:r>
          </w:p>
        </w:tc>
        <w:tc>
          <w:tcPr>
            <w:tcW w:type="dxa" w:w="4703"/>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M4 rubber feet (bench-top); 35 mm DIN rail clip (rail mount)</w:t>
            </w:r>
          </w:p>
        </w:tc>
      </w:tr>
      <w:tr>
        <w:tc>
          <w:tcPr>
            <w:tcW w:type="dxa" w:w="4703"/>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Ventilation</w:t>
            </w:r>
          </w:p>
        </w:tc>
        <w:tc>
          <w:tcPr>
            <w:tcW w:type="dxa" w:w="4703"/>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Passive convection; no fans (fan-less design for cleanroom compatibility, eliminates particle generation)</w:t>
            </w:r>
          </w:p>
        </w:tc>
      </w:tr>
    </w:tbl>
    <w:p/>
    <w:p>
      <w:pPr>
        <w:pStyle w:val="Heading3"/>
      </w:pPr>
      <w:r>
        <w:t>14.2 Electrical Requirements</w:t>
      </w:r>
    </w:p>
    <w:tbl>
      <w:tblPr>
        <w:tblW w:type="auto" w:w="0"/>
        <w:jc w:val="center"/>
        <w:tblLayout w:type="autofit"/>
        <w:tblLook w:firstColumn="1" w:firstRow="1" w:lastColumn="0" w:lastRow="0" w:noHBand="0" w:noVBand="1" w:val="04A0"/>
      </w:tblPr>
      <w:tblGrid>
        <w:gridCol w:w="4703"/>
        <w:gridCol w:w="4703"/>
      </w:tblGrid>
      <w:tr>
        <w:tc>
          <w:tcPr>
            <w:tcW w:type="dxa" w:w="4703"/>
            <w:shd w:fill="0C2D5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i w:val="0"/>
                <w:color w:val="FFFFFF"/>
                <w:sz w:val="19"/>
              </w:rPr>
              <w:t>Parameter</w:t>
            </w:r>
          </w:p>
        </w:tc>
        <w:tc>
          <w:tcPr>
            <w:tcW w:type="dxa" w:w="4703"/>
            <w:shd w:fill="0C2D5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i w:val="0"/>
                <w:color w:val="FFFFFF"/>
                <w:sz w:val="19"/>
              </w:rPr>
              <w:t>Specification</w:t>
            </w:r>
          </w:p>
        </w:tc>
      </w:tr>
      <w:tr>
        <w:tc>
          <w:tcPr>
            <w:tcW w:type="dxa" w:w="4703"/>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Input voltage</w:t>
            </w:r>
          </w:p>
        </w:tc>
        <w:tc>
          <w:tcPr>
            <w:tcW w:type="dxa" w:w="4703"/>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5V DC (USB-C) or 9–24V DC (barrel jack, via internal buck converter)</w:t>
            </w:r>
          </w:p>
        </w:tc>
      </w:tr>
      <w:tr>
        <w:tc>
          <w:tcPr>
            <w:tcW w:type="dxa" w:w="4703"/>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Power consumption</w:t>
            </w:r>
          </w:p>
        </w:tc>
        <w:tc>
          <w:tcPr>
            <w:tcW w:type="dxa" w:w="4703"/>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3 W typical, 7 W peak</w:t>
            </w:r>
          </w:p>
        </w:tc>
      </w:tr>
      <w:tr>
        <w:tc>
          <w:tcPr>
            <w:tcW w:type="dxa" w:w="4703"/>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PoE support</w:t>
            </w:r>
          </w:p>
        </w:tc>
        <w:tc>
          <w:tcPr>
            <w:tcW w:type="dxa" w:w="4703"/>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802.3af (15.4 W) on PoE carrier board variant</w:t>
            </w:r>
          </w:p>
        </w:tc>
      </w:tr>
      <w:tr>
        <w:tc>
          <w:tcPr>
            <w:tcW w:type="dxa" w:w="4703"/>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EMC</w:t>
            </w:r>
          </w:p>
        </w:tc>
        <w:tc>
          <w:tcPr>
            <w:tcW w:type="dxa" w:w="4703"/>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CE Class B, FCC Part 15 Class B (planned)</w:t>
            </w:r>
          </w:p>
        </w:tc>
      </w:tr>
      <w:tr>
        <w:tc>
          <w:tcPr>
            <w:tcW w:type="dxa" w:w="4703"/>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Operating isolation</w:t>
            </w:r>
          </w:p>
        </w:tc>
        <w:tc>
          <w:tcPr>
            <w:tcW w:type="dxa" w:w="4703"/>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Opto-isolated RS232 transceivers on industrial carrier board (optional, for noisy environments)</w:t>
            </w:r>
          </w:p>
        </w:tc>
      </w:tr>
      <w:tr>
        <w:tc>
          <w:tcPr>
            <w:tcW w:type="dxa" w:w="4703"/>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ESD protection</w:t>
            </w:r>
          </w:p>
        </w:tc>
        <w:tc>
          <w:tcPr>
            <w:tcW w:type="dxa" w:w="4703"/>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TVS diodes on all external interfaces</w:t>
            </w:r>
          </w:p>
        </w:tc>
      </w:tr>
    </w:tbl>
    <w:p/>
    <w:p>
      <w:pPr>
        <w:pStyle w:val="Heading3"/>
      </w:pPr>
      <w:r>
        <w:t>14.3 Environmental Requirements</w:t>
      </w:r>
    </w:p>
    <w:tbl>
      <w:tblPr>
        <w:tblW w:type="auto" w:w="0"/>
        <w:jc w:val="center"/>
        <w:tblLayout w:type="autofit"/>
        <w:tblLook w:firstColumn="1" w:firstRow="1" w:lastColumn="0" w:lastRow="0" w:noHBand="0" w:noVBand="1" w:val="04A0"/>
      </w:tblPr>
      <w:tblGrid>
        <w:gridCol w:w="3135"/>
        <w:gridCol w:w="3135"/>
        <w:gridCol w:w="3135"/>
      </w:tblGrid>
      <w:tr>
        <w:tc>
          <w:tcPr>
            <w:tcW w:type="dxa" w:w="3135"/>
            <w:shd w:fill="0C2D5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i w:val="0"/>
                <w:color w:val="FFFFFF"/>
                <w:sz w:val="19"/>
              </w:rPr>
              <w:t>Parameter</w:t>
            </w:r>
          </w:p>
        </w:tc>
        <w:tc>
          <w:tcPr>
            <w:tcW w:type="dxa" w:w="3135"/>
            <w:shd w:fill="0C2D5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i w:val="0"/>
                <w:color w:val="FFFFFF"/>
                <w:sz w:val="19"/>
              </w:rPr>
              <w:t>Standard</w:t>
            </w:r>
          </w:p>
        </w:tc>
        <w:tc>
          <w:tcPr>
            <w:tcW w:type="dxa" w:w="3135"/>
            <w:shd w:fill="0C2D5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i w:val="0"/>
                <w:color w:val="FFFFFF"/>
                <w:sz w:val="19"/>
              </w:rPr>
              <w:t>Industrial (optional)</w:t>
            </w:r>
          </w:p>
        </w:tc>
      </w:tr>
      <w:tr>
        <w:tc>
          <w:tcPr>
            <w:tcW w:type="dxa" w:w="3135"/>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Operating temperature</w:t>
            </w:r>
          </w:p>
        </w:tc>
        <w:tc>
          <w:tcPr>
            <w:tcW w:type="dxa" w:w="3135"/>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0°C to 55°C</w:t>
            </w:r>
          </w:p>
        </w:tc>
        <w:tc>
          <w:tcPr>
            <w:tcW w:type="dxa" w:w="3135"/>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-25°C to 70°C</w:t>
            </w:r>
          </w:p>
        </w:tc>
      </w:tr>
      <w:tr>
        <w:tc>
          <w:tcPr>
            <w:tcW w:type="dxa" w:w="3135"/>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Storage temperature</w:t>
            </w:r>
          </w:p>
        </w:tc>
        <w:tc>
          <w:tcPr>
            <w:tcW w:type="dxa" w:w="3135"/>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-20°C to 70°C</w:t>
            </w:r>
          </w:p>
        </w:tc>
        <w:tc>
          <w:tcPr>
            <w:tcW w:type="dxa" w:w="3135"/>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-40°C to 85°C</w:t>
            </w:r>
          </w:p>
        </w:tc>
      </w:tr>
      <w:tr>
        <w:tc>
          <w:tcPr>
            <w:tcW w:type="dxa" w:w="3135"/>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Relative humidity</w:t>
            </w:r>
          </w:p>
        </w:tc>
        <w:tc>
          <w:tcPr>
            <w:tcW w:type="dxa" w:w="3135"/>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20% to 80% non-condensing</w:t>
            </w:r>
          </w:p>
        </w:tc>
        <w:tc>
          <w:tcPr>
            <w:tcW w:type="dxa" w:w="3135"/>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5% to 95% non-condensing</w:t>
            </w:r>
          </w:p>
        </w:tc>
      </w:tr>
      <w:tr>
        <w:tc>
          <w:tcPr>
            <w:tcW w:type="dxa" w:w="3135"/>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Altitude</w:t>
            </w:r>
          </w:p>
        </w:tc>
        <w:tc>
          <w:tcPr>
            <w:tcW w:type="dxa" w:w="3135"/>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0 to 2000 m</w:t>
            </w:r>
          </w:p>
        </w:tc>
        <w:tc>
          <w:tcPr>
            <w:tcW w:type="dxa" w:w="3135"/>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0 to 4000 m</w:t>
            </w:r>
          </w:p>
        </w:tc>
      </w:tr>
      <w:tr>
        <w:tc>
          <w:tcPr>
            <w:tcW w:type="dxa" w:w="3135"/>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Vibration</w:t>
            </w:r>
          </w:p>
        </w:tc>
        <w:tc>
          <w:tcPr>
            <w:tcW w:type="dxa" w:w="3135"/>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IEC 60068-2-6</w:t>
            </w:r>
          </w:p>
        </w:tc>
        <w:tc>
          <w:tcPr>
            <w:tcW w:type="dxa" w:w="3135"/>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IEC 60068-2-6 (enhanced profile)</w:t>
            </w:r>
          </w:p>
        </w:tc>
      </w:tr>
      <w:tr>
        <w:tc>
          <w:tcPr>
            <w:tcW w:type="dxa" w:w="3135"/>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Shock</w:t>
            </w:r>
          </w:p>
        </w:tc>
        <w:tc>
          <w:tcPr>
            <w:tcW w:type="dxa" w:w="3135"/>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IEC 60068-2-27</w:t>
            </w:r>
          </w:p>
        </w:tc>
        <w:tc>
          <w:tcPr>
            <w:tcW w:type="dxa" w:w="3135"/>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IEC 60068-2-27 (enhanced)</w:t>
            </w:r>
          </w:p>
        </w:tc>
      </w:tr>
      <w:tr>
        <w:tc>
          <w:tcPr>
            <w:tcW w:type="dxa" w:w="3135"/>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Cleanroom compatibility</w:t>
            </w:r>
          </w:p>
        </w:tc>
        <w:tc>
          <w:tcPr>
            <w:tcW w:type="dxa" w:w="3135"/>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Class D (ISO 8) passively</w:t>
            </w:r>
          </w:p>
        </w:tc>
        <w:tc>
          <w:tcPr>
            <w:tcW w:type="dxa" w:w="3135"/>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Class C (ISO 7) with IP54 enclosure</w:t>
            </w:r>
          </w:p>
        </w:tc>
      </w:tr>
    </w:tbl>
    <w:p/>
    <w:p>
      <w:r>
        <w:rPr>
          <w:rFonts w:ascii="Calibri" w:hAnsi="Calibri"/>
          <w:b/>
          <w:i w:val="0"/>
          <w:color w:val="333333"/>
          <w:sz w:val="21"/>
        </w:rPr>
        <w:t>Note on cleanroom environments:</w:t>
      </w:r>
      <w:r>
        <w:rPr>
          <w:rFonts w:ascii="Calibri" w:hAnsi="Calibri"/>
          <w:b w:val="0"/>
          <w:i w:val="0"/>
          <w:color w:val="333333"/>
          <w:sz w:val="21"/>
        </w:rPr>
        <w:t xml:space="preserve"> The fan-less, sealed design is critical for Class C/D cleanroom compatibility. Conventional fan-cooled computers generate and recirculate particulates, violating GMP cleanroom requirements. The BioNexus Box passive thermal design is a deliberate product decision driven by GxP lab environment requirements.</w:t>
      </w:r>
    </w:p>
    <w:p>
      <w:pPr>
        <w:pStyle w:val="Heading3"/>
      </w:pPr>
      <w:r>
        <w:t>14.4 Cable and Installation Considerations</w:t>
      </w:r>
    </w:p>
    <w:p>
      <w:pPr>
        <w:pStyle w:val="ListBullet"/>
        <w:spacing w:before="20" w:after="20"/>
        <w:ind w:left="680"/>
      </w:pPr>
      <w:r>
        <w:rPr>
          <w:rFonts w:ascii="Calibri" w:hAnsi="Calibri"/>
          <w:b/>
          <w:i w:val="0"/>
          <w:color w:val="333333"/>
          <w:sz w:val="21"/>
        </w:rPr>
        <w:t>RS232 cables</w:t>
      </w:r>
      <w:r>
        <w:rPr>
          <w:rFonts w:ascii="Calibri" w:hAnsi="Calibri"/>
          <w:b w:val="0"/>
          <w:i w:val="0"/>
          <w:color w:val="333333"/>
          <w:sz w:val="21"/>
        </w:rPr>
        <w:t>: Shielded, braided cables required for runs &gt; 3 m; maximum cable length 15 m at 9600 baud</w:t>
      </w:r>
    </w:p>
    <w:p>
      <w:pPr>
        <w:pStyle w:val="ListBullet"/>
        <w:spacing w:before="20" w:after="20"/>
        <w:ind w:left="680"/>
      </w:pPr>
      <w:r>
        <w:rPr>
          <w:rFonts w:ascii="Calibri" w:hAnsi="Calibri"/>
          <w:b/>
          <w:i w:val="0"/>
          <w:color w:val="333333"/>
          <w:sz w:val="21"/>
        </w:rPr>
        <w:t>Cable routing</w:t>
      </w:r>
      <w:r>
        <w:rPr>
          <w:rFonts w:ascii="Calibri" w:hAnsi="Calibri"/>
          <w:b w:val="0"/>
          <w:i w:val="0"/>
          <w:color w:val="333333"/>
          <w:sz w:val="21"/>
        </w:rPr>
        <w:t>: Cables should not be routed through ventilation ducts or adjacent to high-voltage power cables to minimize EMI interference</w:t>
      </w:r>
    </w:p>
    <w:p>
      <w:pPr>
        <w:pStyle w:val="ListBullet"/>
        <w:spacing w:before="20" w:after="20"/>
        <w:ind w:left="680"/>
      </w:pPr>
      <w:r>
        <w:rPr>
          <w:rFonts w:ascii="Calibri" w:hAnsi="Calibri"/>
          <w:b/>
          <w:i w:val="0"/>
          <w:color w:val="333333"/>
          <w:sz w:val="21"/>
        </w:rPr>
        <w:t>Grounding</w:t>
      </w:r>
      <w:r>
        <w:rPr>
          <w:rFonts w:ascii="Calibri" w:hAnsi="Calibri"/>
          <w:b w:val="0"/>
          <w:i w:val="0"/>
          <w:color w:val="333333"/>
          <w:sz w:val="21"/>
        </w:rPr>
        <w:t>: For opto-isolated variants, instrument and Box grounds are isolated; no loopback ground loops</w:t>
      </w:r>
    </w:p>
    <w:p>
      <w:pPr>
        <w:pStyle w:val="ListBullet"/>
        <w:spacing w:before="20" w:after="20"/>
        <w:ind w:left="680"/>
      </w:pPr>
      <w:r>
        <w:rPr>
          <w:rFonts w:ascii="Calibri" w:hAnsi="Calibri"/>
          <w:b/>
          <w:i w:val="0"/>
          <w:color w:val="333333"/>
          <w:sz w:val="21"/>
        </w:rPr>
        <w:t>Vertical clearance</w:t>
      </w:r>
      <w:r>
        <w:rPr>
          <w:rFonts w:ascii="Calibri" w:hAnsi="Calibri"/>
          <w:b w:val="0"/>
          <w:i w:val="0"/>
          <w:color w:val="333333"/>
          <w:sz w:val="21"/>
        </w:rPr>
        <w:t>: Minimum 20 mm clearance above and below enclosure for passive cooling airflow</w:t>
      </w:r>
    </w:p>
    <w:p>
      <w:pPr>
        <w:pStyle w:val="ListBullet"/>
        <w:spacing w:before="20" w:after="20"/>
        <w:ind w:left="680"/>
      </w:pPr>
      <w:r>
        <w:rPr>
          <w:rFonts w:ascii="Calibri" w:hAnsi="Calibri"/>
          <w:b/>
          <w:i w:val="0"/>
          <w:color w:val="333333"/>
          <w:sz w:val="21"/>
        </w:rPr>
        <w:t>Location</w:t>
      </w:r>
      <w:r>
        <w:rPr>
          <w:rFonts w:ascii="Calibri" w:hAnsi="Calibri"/>
          <w:b w:val="0"/>
          <w:i w:val="0"/>
          <w:color w:val="333333"/>
          <w:sz w:val="21"/>
        </w:rPr>
        <w:t>: Not to be installed directly on top of instruments that generate significant heat (e.g., autoclaves)</w:t>
      </w:r>
    </w:p>
    <w:p>
      <w:pPr>
        <w:pStyle w:val="ListBullet"/>
        <w:spacing w:before="20" w:after="20"/>
        <w:ind w:left="680"/>
      </w:pPr>
      <w:r>
        <w:rPr>
          <w:rFonts w:ascii="Calibri" w:hAnsi="Calibri"/>
          <w:b/>
          <w:i w:val="0"/>
          <w:color w:val="333333"/>
          <w:sz w:val="21"/>
        </w:rPr>
        <w:t>Labeling</w:t>
      </w:r>
      <w:r>
        <w:rPr>
          <w:rFonts w:ascii="Calibri" w:hAnsi="Calibri"/>
          <w:b w:val="0"/>
          <w:i w:val="0"/>
          <w:color w:val="333333"/>
          <w:sz w:val="21"/>
        </w:rPr>
        <w:t>: All connected cables must be labeled with instrument ID and port number per GMP documentation requirements</w:t>
      </w:r>
    </w:p>
    <w:p>
      <w:r>
        <w:br w:type="page"/>
      </w:r>
    </w:p>
    <w:p>
      <w:pPr>
        <w:pStyle w:val="Heading1"/>
      </w:pPr>
      <w:r>
        <w:t>15. Roadmap</w:t>
      </w:r>
    </w:p>
    <w:p>
      <w:pPr>
        <w:pStyle w:val="Heading3"/>
      </w:pPr>
      <w:r>
        <w:t>15.1 Phase 1 — Current (v1.x)</w:t>
      </w:r>
    </w:p>
    <w:p>
      <w:pPr>
        <w:pStyle w:val="ListBullet"/>
        <w:spacing w:before="20" w:after="20"/>
        <w:ind w:left="680"/>
      </w:pPr>
      <w:r>
        <w:rPr>
          <w:rFonts w:ascii="Calibri" w:hAnsi="Calibri"/>
          <w:b w:val="0"/>
          <w:i w:val="0"/>
          <w:color w:val="333333"/>
          <w:sz w:val="21"/>
        </w:rPr>
        <w:t>RS232 and USB-serial interface support</w:t>
      </w:r>
    </w:p>
    <w:p>
      <w:pPr>
        <w:pStyle w:val="ListBullet"/>
        <w:spacing w:before="20" w:after="20"/>
        <w:ind w:left="680"/>
      </w:pPr>
      <w:r>
        <w:rPr>
          <w:rFonts w:ascii="Calibri" w:hAnsi="Calibri"/>
          <w:b w:val="0"/>
          <w:i w:val="0"/>
          <w:color w:val="333333"/>
          <w:sz w:val="21"/>
        </w:rPr>
        <w:t>Collector, Queue, and Uplink Agent core pipeline</w:t>
      </w:r>
    </w:p>
    <w:p>
      <w:pPr>
        <w:pStyle w:val="ListBullet"/>
        <w:spacing w:before="20" w:after="20"/>
        <w:ind w:left="680"/>
      </w:pPr>
      <w:r>
        <w:rPr>
          <w:rFonts w:ascii="Calibri" w:hAnsi="Calibri"/>
          <w:b w:val="0"/>
          <w:i w:val="0"/>
          <w:color w:val="333333"/>
          <w:sz w:val="21"/>
        </w:rPr>
        <w:t>Local SQLite store-and-forward</w:t>
      </w:r>
    </w:p>
    <w:p>
      <w:pPr>
        <w:pStyle w:val="ListBullet"/>
        <w:spacing w:before="20" w:after="20"/>
        <w:ind w:left="680"/>
      </w:pPr>
      <w:r>
        <w:rPr>
          <w:rFonts w:ascii="Calibri" w:hAnsi="Calibri"/>
          <w:b w:val="0"/>
          <w:i w:val="0"/>
          <w:color w:val="333333"/>
          <w:sz w:val="21"/>
        </w:rPr>
        <w:t>HTTPS + API key authentication</w:t>
      </w:r>
    </w:p>
    <w:p>
      <w:pPr>
        <w:pStyle w:val="ListBullet"/>
        <w:spacing w:before="20" w:after="20"/>
        <w:ind w:left="680"/>
      </w:pPr>
      <w:r>
        <w:rPr>
          <w:rFonts w:ascii="Calibri" w:hAnsi="Calibri"/>
          <w:b w:val="0"/>
          <w:i w:val="0"/>
          <w:color w:val="333333"/>
          <w:sz w:val="21"/>
        </w:rPr>
        <w:t>SHA-256 data integrity at packet level</w:t>
      </w:r>
    </w:p>
    <w:p>
      <w:pPr>
        <w:pStyle w:val="ListBullet"/>
        <w:spacing w:before="20" w:after="20"/>
        <w:ind w:left="680"/>
      </w:pPr>
      <w:r>
        <w:rPr>
          <w:rFonts w:ascii="Calibri" w:hAnsi="Calibri"/>
          <w:b w:val="0"/>
          <w:i w:val="0"/>
          <w:color w:val="333333"/>
          <w:sz w:val="21"/>
        </w:rPr>
        <w:t>Heartbeat and basic monitoring</w:t>
      </w:r>
    </w:p>
    <w:p>
      <w:pPr>
        <w:pStyle w:val="ListBullet"/>
        <w:spacing w:before="20" w:after="20"/>
        <w:ind w:left="680"/>
      </w:pPr>
      <w:r>
        <w:rPr>
          <w:rFonts w:ascii="Calibri" w:hAnsi="Calibri"/>
          <w:b w:val="0"/>
          <w:i w:val="0"/>
          <w:color w:val="333333"/>
          <w:sz w:val="21"/>
        </w:rPr>
        <w:t>Remote configuration push via heartbeat response</w:t>
      </w:r>
    </w:p>
    <w:p>
      <w:pPr>
        <w:pStyle w:val="ListBullet"/>
        <w:spacing w:before="20" w:after="20"/>
        <w:ind w:left="680"/>
      </w:pPr>
      <w:r>
        <w:rPr>
          <w:rFonts w:ascii="Calibri" w:hAnsi="Calibri"/>
          <w:b w:val="0"/>
          <w:i w:val="0"/>
          <w:color w:val="333333"/>
          <w:sz w:val="21"/>
        </w:rPr>
        <w:t>A/B partition OTA firmware update mechanism</w:t>
      </w:r>
    </w:p>
    <w:p>
      <w:pPr>
        <w:pStyle w:val="ListBullet"/>
        <w:spacing w:before="20" w:after="20"/>
        <w:ind w:left="680"/>
      </w:pPr>
      <w:r>
        <w:rPr>
          <w:rFonts w:ascii="Calibri" w:hAnsi="Calibri"/>
          <w:b w:val="0"/>
          <w:i w:val="0"/>
          <w:color w:val="333333"/>
          <w:sz w:val="21"/>
        </w:rPr>
        <w:t>Parser modules: dissolution, HPLC (Waters ARW), pH/conductivity, UV-Vis (generic), balance (SBI)</w:t>
      </w:r>
    </w:p>
    <w:p>
      <w:pPr>
        <w:pStyle w:val="ListBullet"/>
        <w:spacing w:before="20" w:after="20"/>
        <w:ind w:left="680"/>
      </w:pPr>
      <w:r>
        <w:rPr>
          <w:rFonts w:ascii="Calibri" w:hAnsi="Calibri"/>
          <w:b w:val="0"/>
          <w:i w:val="0"/>
          <w:color w:val="333333"/>
          <w:sz w:val="21"/>
        </w:rPr>
        <w:t>Bench-top enclosure (IP40)</w:t>
      </w:r>
    </w:p>
    <w:p>
      <w:pPr>
        <w:pStyle w:val="Heading3"/>
      </w:pPr>
      <w:r>
        <w:t>15.2 Phase 2 — Q3 2026</w:t>
      </w:r>
    </w:p>
    <w:p>
      <w:pPr>
        <w:pStyle w:val="ListBullet"/>
        <w:spacing w:before="20" w:after="20"/>
        <w:ind w:left="680"/>
      </w:pPr>
      <w:r>
        <w:rPr>
          <w:rFonts w:ascii="Calibri" w:hAnsi="Calibri"/>
          <w:b/>
          <w:i w:val="0"/>
          <w:color w:val="333333"/>
          <w:sz w:val="21"/>
        </w:rPr>
        <w:t>TPM 2.0 integration</w:t>
      </w:r>
      <w:r>
        <w:rPr>
          <w:rFonts w:ascii="Calibri" w:hAnsi="Calibri"/>
          <w:b w:val="0"/>
          <w:i w:val="0"/>
          <w:color w:val="333333"/>
          <w:sz w:val="21"/>
        </w:rPr>
        <w:t>: Device identity via hardware-secured certificates; mTLS</w:t>
      </w:r>
    </w:p>
    <w:p>
      <w:pPr>
        <w:pStyle w:val="ListBullet"/>
        <w:spacing w:before="20" w:after="20"/>
        <w:ind w:left="680"/>
      </w:pPr>
      <w:r>
        <w:rPr>
          <w:rFonts w:ascii="Calibri" w:hAnsi="Calibri"/>
          <w:b/>
          <w:i w:val="0"/>
          <w:color w:val="333333"/>
          <w:sz w:val="21"/>
        </w:rPr>
        <w:t>Secure boot</w:t>
      </w:r>
      <w:r>
        <w:rPr>
          <w:rFonts w:ascii="Calibri" w:hAnsi="Calibri"/>
          <w:b w:val="0"/>
          <w:i w:val="0"/>
          <w:color w:val="333333"/>
          <w:sz w:val="21"/>
        </w:rPr>
        <w:t>: dm-verity root filesystem; TPM-sealed LUKS key</w:t>
      </w:r>
    </w:p>
    <w:p>
      <w:pPr>
        <w:pStyle w:val="ListBullet"/>
        <w:spacing w:before="20" w:after="20"/>
        <w:ind w:left="680"/>
      </w:pPr>
      <w:r>
        <w:rPr>
          <w:rFonts w:ascii="Calibri" w:hAnsi="Calibri"/>
          <w:b/>
          <w:i w:val="0"/>
          <w:color w:val="333333"/>
          <w:sz w:val="21"/>
        </w:rPr>
        <w:t>Extended parser library</w:t>
      </w:r>
      <w:r>
        <w:rPr>
          <w:rFonts w:ascii="Calibri" w:hAnsi="Calibri"/>
          <w:b w:val="0"/>
          <w:i w:val="0"/>
          <w:color w:val="333333"/>
          <w:sz w:val="21"/>
        </w:rPr>
        <w:t>: Shimadzu HPLC, Agilent ChemStation, Erweka dissolution, Sartorius balance, Mettler Toledo full series</w:t>
      </w:r>
    </w:p>
    <w:p>
      <w:pPr>
        <w:pStyle w:val="ListBullet"/>
        <w:spacing w:before="20" w:after="20"/>
        <w:ind w:left="680"/>
      </w:pPr>
      <w:r>
        <w:rPr>
          <w:rFonts w:ascii="Calibri" w:hAnsi="Calibri"/>
          <w:b/>
          <w:i w:val="0"/>
          <w:color w:val="333333"/>
          <w:sz w:val="21"/>
        </w:rPr>
        <w:t>TCP/IP socket collection</w:t>
      </w:r>
      <w:r>
        <w:rPr>
          <w:rFonts w:ascii="Calibri" w:hAnsi="Calibri"/>
          <w:b w:val="0"/>
          <w:i w:val="0"/>
          <w:color w:val="333333"/>
          <w:sz w:val="21"/>
        </w:rPr>
        <w:t>: Raw socket polling for networked instruments</w:t>
      </w:r>
    </w:p>
    <w:p>
      <w:pPr>
        <w:pStyle w:val="ListBullet"/>
        <w:spacing w:before="20" w:after="20"/>
        <w:ind w:left="680"/>
      </w:pPr>
      <w:r>
        <w:rPr>
          <w:rFonts w:ascii="Calibri" w:hAnsi="Calibri"/>
          <w:b/>
          <w:i w:val="0"/>
          <w:color w:val="333333"/>
          <w:sz w:val="21"/>
        </w:rPr>
        <w:t>Modbus TCP</w:t>
      </w:r>
      <w:r>
        <w:rPr>
          <w:rFonts w:ascii="Calibri" w:hAnsi="Calibri"/>
          <w:b w:val="0"/>
          <w:i w:val="0"/>
          <w:color w:val="333333"/>
          <w:sz w:val="21"/>
        </w:rPr>
        <w:t>: Environmental monitoring integration</w:t>
      </w:r>
    </w:p>
    <w:p>
      <w:pPr>
        <w:pStyle w:val="ListBullet"/>
        <w:spacing w:before="20" w:after="20"/>
        <w:ind w:left="680"/>
      </w:pPr>
      <w:r>
        <w:rPr>
          <w:rFonts w:ascii="Calibri" w:hAnsi="Calibri"/>
          <w:b/>
          <w:i w:val="0"/>
          <w:color w:val="333333"/>
          <w:sz w:val="21"/>
        </w:rPr>
        <w:t>DIN-rail enclosure</w:t>
      </w:r>
      <w:r>
        <w:rPr>
          <w:rFonts w:ascii="Calibri" w:hAnsi="Calibri"/>
          <w:b w:val="0"/>
          <w:i w:val="0"/>
          <w:color w:val="333333"/>
          <w:sz w:val="21"/>
        </w:rPr>
        <w:t>: IP54 rated for controlled environments</w:t>
      </w:r>
    </w:p>
    <w:p>
      <w:pPr>
        <w:pStyle w:val="ListBullet"/>
        <w:spacing w:before="20" w:after="20"/>
        <w:ind w:left="680"/>
      </w:pPr>
      <w:r>
        <w:rPr>
          <w:rFonts w:ascii="Calibri" w:hAnsi="Calibri"/>
          <w:b/>
          <w:i w:val="0"/>
          <w:color w:val="333333"/>
          <w:sz w:val="21"/>
        </w:rPr>
        <w:t>PoE support</w:t>
      </w:r>
      <w:r>
        <w:rPr>
          <w:rFonts w:ascii="Calibri" w:hAnsi="Calibri"/>
          <w:b w:val="0"/>
          <w:i w:val="0"/>
          <w:color w:val="333333"/>
          <w:sz w:val="21"/>
        </w:rPr>
        <w:t>: Eliminate separate power cable for simplified installation</w:t>
      </w:r>
    </w:p>
    <w:p>
      <w:pPr>
        <w:pStyle w:val="ListBullet"/>
        <w:spacing w:before="20" w:after="20"/>
        <w:ind w:left="680"/>
      </w:pPr>
      <w:r>
        <w:rPr>
          <w:rFonts w:ascii="Calibri" w:hAnsi="Calibri"/>
          <w:b/>
          <w:i w:val="0"/>
          <w:color w:val="333333"/>
          <w:sz w:val="21"/>
        </w:rPr>
        <w:t>Hardware RTC</w:t>
      </w:r>
      <w:r>
        <w:rPr>
          <w:rFonts w:ascii="Calibri" w:hAnsi="Calibri"/>
          <w:b w:val="0"/>
          <w:i w:val="0"/>
          <w:color w:val="333333"/>
          <w:sz w:val="21"/>
        </w:rPr>
        <w:t>: Battery-backed, eliminates timestamp drift risk during boot</w:t>
      </w:r>
    </w:p>
    <w:p>
      <w:pPr>
        <w:pStyle w:val="Heading3"/>
      </w:pPr>
      <w:r>
        <w:t>15.3 Phase 3 — Q1 2027</w:t>
      </w:r>
    </w:p>
    <w:p>
      <w:pPr>
        <w:pStyle w:val="ListBullet"/>
        <w:spacing w:before="20" w:after="20"/>
        <w:ind w:left="680"/>
      </w:pPr>
      <w:r>
        <w:rPr>
          <w:rFonts w:ascii="Calibri" w:hAnsi="Calibri"/>
          <w:b/>
          <w:i w:val="0"/>
          <w:color w:val="333333"/>
          <w:sz w:val="21"/>
        </w:rPr>
        <w:t>Multi-instrument hub</w:t>
      </w:r>
      <w:r>
        <w:rPr>
          <w:rFonts w:ascii="Calibri" w:hAnsi="Calibri"/>
          <w:b w:val="0"/>
          <w:i w:val="0"/>
          <w:color w:val="333333"/>
          <w:sz w:val="21"/>
        </w:rPr>
        <w:t>: Box supporting 8+ simultaneous instrument connections via internal USB hub + RS232 multiplexer</w:t>
      </w:r>
    </w:p>
    <w:p>
      <w:pPr>
        <w:pStyle w:val="ListBullet"/>
        <w:spacing w:before="20" w:after="20"/>
        <w:ind w:left="680"/>
      </w:pPr>
      <w:r>
        <w:rPr>
          <w:rFonts w:ascii="Calibri" w:hAnsi="Calibri"/>
          <w:b/>
          <w:i w:val="0"/>
          <w:color w:val="333333"/>
          <w:sz w:val="21"/>
        </w:rPr>
        <w:t>Wi-Fi uplink</w:t>
      </w:r>
      <w:r>
        <w:rPr>
          <w:rFonts w:ascii="Calibri" w:hAnsi="Calibri"/>
          <w:b w:val="0"/>
          <w:i w:val="0"/>
          <w:color w:val="333333"/>
          <w:sz w:val="21"/>
        </w:rPr>
        <w:t>: Dual-band 802.11ac (Wi-Fi 5) as backup or primary uplink for sites without convenient Ethernet</w:t>
      </w:r>
    </w:p>
    <w:p>
      <w:pPr>
        <w:pStyle w:val="ListBullet"/>
        <w:spacing w:before="20" w:after="20"/>
        <w:ind w:left="680"/>
      </w:pPr>
      <w:r>
        <w:rPr>
          <w:rFonts w:ascii="Calibri" w:hAnsi="Calibri"/>
          <w:b/>
          <w:i w:val="0"/>
          <w:color w:val="333333"/>
          <w:sz w:val="21"/>
        </w:rPr>
        <w:t>Bluetooth LE</w:t>
      </w:r>
      <w:r>
        <w:rPr>
          <w:rFonts w:ascii="Calibri" w:hAnsi="Calibri"/>
          <w:b w:val="0"/>
          <w:i w:val="0"/>
          <w:color w:val="333333"/>
          <w:sz w:val="21"/>
        </w:rPr>
        <w:t>: Interface to modern BLE-enabled instruments (newer Mettler Toledo, Sartorius balances)</w:t>
      </w:r>
    </w:p>
    <w:p>
      <w:pPr>
        <w:pStyle w:val="ListBullet"/>
        <w:spacing w:before="20" w:after="20"/>
        <w:ind w:left="680"/>
      </w:pPr>
      <w:r>
        <w:rPr>
          <w:rFonts w:ascii="Calibri" w:hAnsi="Calibri"/>
          <w:b/>
          <w:i w:val="0"/>
          <w:color w:val="333333"/>
          <w:sz w:val="21"/>
        </w:rPr>
        <w:t>OPC-UA client</w:t>
      </w:r>
      <w:r>
        <w:rPr>
          <w:rFonts w:ascii="Calibri" w:hAnsi="Calibri"/>
          <w:b w:val="0"/>
          <w:i w:val="0"/>
          <w:color w:val="333333"/>
          <w:sz w:val="21"/>
        </w:rPr>
        <w:t>: Support for Industry 4.0 / NAMUR OPC-UA instruments</w:t>
      </w:r>
    </w:p>
    <w:p>
      <w:pPr>
        <w:pStyle w:val="ListBullet"/>
        <w:spacing w:before="20" w:after="20"/>
        <w:ind w:left="680"/>
      </w:pPr>
      <w:r>
        <w:rPr>
          <w:rFonts w:ascii="Calibri" w:hAnsi="Calibri"/>
          <w:b/>
          <w:i w:val="0"/>
          <w:color w:val="333333"/>
          <w:sz w:val="21"/>
        </w:rPr>
        <w:t>Edge analytics</w:t>
      </w:r>
      <w:r>
        <w:rPr>
          <w:rFonts w:ascii="Calibri" w:hAnsi="Calibri"/>
          <w:b w:val="0"/>
          <w:i w:val="0"/>
          <w:color w:val="333333"/>
          <w:sz w:val="21"/>
        </w:rPr>
        <w:t>: Local statistical process control (SPC) calculations; Shewhart control charts generated on the Box; alerts sent without round-trip to cloud</w:t>
      </w:r>
    </w:p>
    <w:p>
      <w:pPr>
        <w:pStyle w:val="ListBullet"/>
        <w:spacing w:before="20" w:after="20"/>
        <w:ind w:left="680"/>
      </w:pPr>
      <w:r>
        <w:rPr>
          <w:rFonts w:ascii="Calibri" w:hAnsi="Calibri"/>
          <w:b/>
          <w:i w:val="0"/>
          <w:color w:val="333333"/>
          <w:sz w:val="21"/>
        </w:rPr>
        <w:t>Edge display</w:t>
      </w:r>
      <w:r>
        <w:rPr>
          <w:rFonts w:ascii="Calibri" w:hAnsi="Calibri"/>
          <w:b w:val="0"/>
          <w:i w:val="0"/>
          <w:color w:val="333333"/>
          <w:sz w:val="21"/>
        </w:rPr>
        <w:t>: Optional 3.5" touch display for local status and last-reading view (cleanroom-compatible glove operation)</w:t>
      </w:r>
    </w:p>
    <w:p>
      <w:pPr>
        <w:pStyle w:val="ListBullet"/>
        <w:spacing w:before="20" w:after="20"/>
        <w:ind w:left="680"/>
      </w:pPr>
      <w:r>
        <w:rPr>
          <w:rFonts w:ascii="Calibri" w:hAnsi="Calibri"/>
          <w:b/>
          <w:i w:val="0"/>
          <w:color w:val="333333"/>
          <w:sz w:val="21"/>
        </w:rPr>
        <w:t>Redundant uplink</w:t>
      </w:r>
      <w:r>
        <w:rPr>
          <w:rFonts w:ascii="Calibri" w:hAnsi="Calibri"/>
          <w:b w:val="0"/>
          <w:i w:val="0"/>
          <w:color w:val="333333"/>
          <w:sz w:val="21"/>
        </w:rPr>
        <w:t>: LTE/4G cellular backup via USB modem; automatic failover from Ethernet</w:t>
      </w:r>
    </w:p>
    <w:p>
      <w:pPr>
        <w:pStyle w:val="Heading3"/>
      </w:pPr>
      <w:r>
        <w:t>15.4 Phase 4 — 2027+</w:t>
      </w:r>
    </w:p>
    <w:p>
      <w:pPr>
        <w:pStyle w:val="ListBullet"/>
        <w:spacing w:before="20" w:after="20"/>
        <w:ind w:left="680"/>
      </w:pPr>
      <w:r>
        <w:rPr>
          <w:rFonts w:ascii="Calibri" w:hAnsi="Calibri"/>
          <w:b/>
          <w:i w:val="0"/>
          <w:color w:val="333333"/>
          <w:sz w:val="21"/>
        </w:rPr>
        <w:t>Raw signal capture</w:t>
      </w:r>
      <w:r>
        <w:rPr>
          <w:rFonts w:ascii="Calibri" w:hAnsi="Calibri"/>
          <w:b w:val="0"/>
          <w:i w:val="0"/>
          <w:color w:val="333333"/>
          <w:sz w:val="21"/>
        </w:rPr>
        <w:t>: Full chromatogram / spectrum raw ADC data capture and upload for HPLC and spectrophotometry (large file handling, incremental upload)</w:t>
      </w:r>
    </w:p>
    <w:p>
      <w:pPr>
        <w:pStyle w:val="ListBullet"/>
        <w:spacing w:before="20" w:after="20"/>
        <w:ind w:left="680"/>
      </w:pPr>
      <w:r>
        <w:rPr>
          <w:rFonts w:ascii="Calibri" w:hAnsi="Calibri"/>
          <w:b/>
          <w:i w:val="0"/>
          <w:color w:val="333333"/>
          <w:sz w:val="21"/>
        </w:rPr>
        <w:t>On-box AI parsing</w:t>
      </w:r>
      <w:r>
        <w:rPr>
          <w:rFonts w:ascii="Calibri" w:hAnsi="Calibri"/>
          <w:b w:val="0"/>
          <w:i w:val="0"/>
          <w:color w:val="333333"/>
          <w:sz w:val="21"/>
        </w:rPr>
        <w:t>: Local LLM inference for instrument output parsing without cloud round-trip (privacy-preserving, offline-capable)</w:t>
      </w:r>
    </w:p>
    <w:p>
      <w:pPr>
        <w:pStyle w:val="ListBullet"/>
        <w:spacing w:before="20" w:after="20"/>
        <w:ind w:left="680"/>
      </w:pPr>
      <w:r>
        <w:rPr>
          <w:rFonts w:ascii="Calibri" w:hAnsi="Calibri"/>
          <w:b/>
          <w:i w:val="0"/>
          <w:color w:val="333333"/>
          <w:sz w:val="21"/>
        </w:rPr>
        <w:t>Instrument calibration reminders</w:t>
      </w:r>
      <w:r>
        <w:rPr>
          <w:rFonts w:ascii="Calibri" w:hAnsi="Calibri"/>
          <w:b w:val="0"/>
          <w:i w:val="0"/>
          <w:color w:val="333333"/>
          <w:sz w:val="21"/>
        </w:rPr>
        <w:t>: Box aware of instrument calibration schedules; alerts when calibration due date approaching</w:t>
      </w:r>
    </w:p>
    <w:p>
      <w:pPr>
        <w:pStyle w:val="ListBullet"/>
        <w:spacing w:before="20" w:after="20"/>
        <w:ind w:left="680"/>
      </w:pPr>
      <w:r>
        <w:rPr>
          <w:rFonts w:ascii="Calibri" w:hAnsi="Calibri"/>
          <w:b/>
          <w:i w:val="0"/>
          <w:color w:val="333333"/>
          <w:sz w:val="21"/>
        </w:rPr>
        <w:t>Multi-site aggregation</w:t>
      </w:r>
      <w:r>
        <w:rPr>
          <w:rFonts w:ascii="Calibri" w:hAnsi="Calibri"/>
          <w:b w:val="0"/>
          <w:i w:val="0"/>
          <w:color w:val="333333"/>
          <w:sz w:val="21"/>
        </w:rPr>
        <w:t>: Single Box acting as aggregation point for multiple sub-connected satellite devices (star topology for large labs)</w:t>
      </w:r>
    </w:p>
    <w:p>
      <w:pPr>
        <w:pStyle w:val="ListBullet"/>
        <w:spacing w:before="20" w:after="20"/>
        <w:ind w:left="680"/>
      </w:pPr>
      <w:r>
        <w:rPr>
          <w:rFonts w:ascii="Calibri" w:hAnsi="Calibri"/>
          <w:b/>
          <w:i w:val="0"/>
          <w:color w:val="333333"/>
          <w:sz w:val="21"/>
        </w:rPr>
        <w:t>FIPS 140-3 certification</w:t>
      </w:r>
      <w:r>
        <w:rPr>
          <w:rFonts w:ascii="Calibri" w:hAnsi="Calibri"/>
          <w:b w:val="0"/>
          <w:i w:val="0"/>
          <w:color w:val="333333"/>
          <w:sz w:val="21"/>
        </w:rPr>
        <w:t>: Hardware cryptographic module certification for US federal / DoD-adjacent customers</w:t>
      </w:r>
    </w:p>
    <w:p>
      <w:r>
        <w:br w:type="page"/>
      </w:r>
    </w:p>
    <w:p>
      <w:pPr>
        <w:pStyle w:val="Heading1"/>
      </w:pPr>
      <w:r>
        <w:t>Appendix A: Instrument Parser Implementation Reference</w:t>
      </w:r>
    </w:p>
    <w:p>
      <w:pPr>
        <w:pStyle w:val="Heading3"/>
      </w:pPr>
      <w:r>
        <w:t>Parser Output Schema (common fields)</w:t>
      </w:r>
    </w:p>
    <w:p>
      <w:r>
        <w:rPr>
          <w:rFonts w:ascii="Calibri" w:hAnsi="Calibri"/>
          <w:b w:val="0"/>
          <w:i w:val="0"/>
          <w:color w:val="333333"/>
          <w:sz w:val="21"/>
        </w:rPr>
        <w:t xml:space="preserve">All parsers MUST produce a </w:t>
      </w:r>
      <w:r>
        <w:rPr>
          <w:rFonts w:ascii="Consolas" w:hAnsi="Consolas"/>
          <w:b w:val="0"/>
          <w:i w:val="0"/>
          <w:color w:val="1A1A2E"/>
          <w:sz w:val="18"/>
        </w:rPr>
        <w:t>ParsedReading</w:t>
      </w:r>
      <w:r>
        <w:rPr>
          <w:rFonts w:ascii="Calibri" w:hAnsi="Calibri"/>
          <w:b w:val="0"/>
          <w:i w:val="0"/>
          <w:color w:val="333333"/>
          <w:sz w:val="21"/>
        </w:rPr>
        <w:t xml:space="preserve"> with at least these fields:</w:t>
      </w:r>
    </w:p>
    <w:tbl>
      <w:tblPr>
        <w:tblW w:type="auto" w:w="0"/>
        <w:jc w:val="left"/>
        <w:tblLook w:firstColumn="1" w:firstRow="1" w:lastColumn="0" w:lastRow="0" w:noHBand="0" w:noVBand="1" w:val="04A0"/>
      </w:tblPr>
      <w:tblGrid>
        <w:gridCol w:w="9406"/>
      </w:tblGrid>
      <w:tr>
        <w:tc>
          <w:tcPr>
            <w:tcW w:type="dxa" w:w="9406"/>
            <w:shd w:fill="F0F2F5" w:val="clear"/>
            <w:tcBorders>
              <w:top w:val="single" w:sz="4" w:space="0" w:color="D0D5DD"/>
              <w:left w:val="single" w:sz="4" w:space="0" w:color="D0D5DD"/>
              <w:bottom w:val="single" w:sz="4" w:space="0" w:color="D0D5DD"/>
              <w:right w:val="single" w:sz="4" w:space="0" w:color="D0D5DD"/>
            </w:tcBorders>
            <w:tcMar>
              <w:top w:w="100" w:type="dxa"/>
              <w:bottom w:w="100" w:type="dxa"/>
              <w:left w:w="150" w:type="dxa"/>
              <w:right w:w="150" w:type="dxa"/>
            </w:tcMar>
          </w:tcPr>
          <w:p>
            <w:pPr>
              <w:spacing w:before="0" w:after="0" w:line="240" w:lineRule="auto"/>
            </w:pPr>
            <w:r>
              <w:rPr>
                <w:rFonts w:ascii="Consolas" w:hAnsi="Consolas"/>
                <w:color w:val="1A1A2E"/>
                <w:sz w:val="16"/>
              </w:rPr>
              <w:t>@dataclass</w:t>
              <w:br/>
              <w:t>class ParsedReading:</w:t>
              <w:br/>
              <w:t xml:space="preserve">    instrument_type: str        # hplc | dissolution | uv_vis | ph | balance | karl_fischer | env</w:t>
              <w:br/>
              <w:t xml:space="preserve">    instrument_id: str          # From Box config</w:t>
              <w:br/>
              <w:t xml:space="preserve">    sample_id: str              # As reported by instrument (pseudonymized; no PII)</w:t>
              <w:br/>
              <w:t xml:space="preserve">    captured_at: datetime       # UTC timestamp of serial port read</w:t>
              <w:br/>
              <w:t xml:space="preserve">    result_data: dict           # Instrument-specific structured results</w:t>
              <w:br/>
              <w:t xml:space="preserve">    raw_text: str               # Human-readable representation of raw output</w:t>
              <w:br/>
              <w:t xml:space="preserve">    parser_version: str         # Parser module version (for traceability)</w:t>
              <w:br/>
              <w:t xml:space="preserve">    parse_confidence: float     # 0.0 to 1.0 (1.0 = unambiguous parse, 0.0 = best-effort)</w:t>
              <w:br/>
              <w:t xml:space="preserve">    parse_warnings: list[str]   # Non-fatal parsing issues</w:t>
            </w:r>
          </w:p>
        </w:tc>
      </w:tr>
    </w:tbl>
    <w:p>
      <w:pPr>
        <w:spacing w:before="40" w:after="40"/>
      </w:pPr>
    </w:p>
    <w:p>
      <w:pPr>
        <w:pStyle w:val="Heading3"/>
      </w:pPr>
      <w:r>
        <w:t>Parser Development Checklist</w:t>
      </w:r>
    </w:p>
    <w:p>
      <w:pPr>
        <w:spacing w:before="20" w:after="20"/>
        <w:ind w:left="680"/>
      </w:pPr>
      <w:r>
        <w:rPr>
          <w:b w:val="0"/>
          <w:i w:val="0"/>
          <w:color w:val="2E6EA6"/>
          <w:sz w:val="22"/>
        </w:rPr>
        <w:t xml:space="preserve">☐  </w:t>
      </w:r>
      <w:r>
        <w:rPr>
          <w:rFonts w:ascii="Calibri" w:hAnsi="Calibri"/>
          <w:b w:val="0"/>
          <w:i w:val="0"/>
          <w:color w:val="333333"/>
          <w:sz w:val="21"/>
        </w:rPr>
        <w:t xml:space="preserve">Implement </w:t>
      </w:r>
      <w:r>
        <w:rPr>
          <w:rFonts w:ascii="Consolas" w:hAnsi="Consolas"/>
          <w:b w:val="0"/>
          <w:i w:val="0"/>
          <w:color w:val="1A1A2E"/>
          <w:sz w:val="18"/>
        </w:rPr>
        <w:t>BaseParser.parse()</w:t>
      </w:r>
      <w:r>
        <w:rPr>
          <w:rFonts w:ascii="Calibri" w:hAnsi="Calibri"/>
          <w:b w:val="0"/>
          <w:i w:val="0"/>
          <w:color w:val="333333"/>
          <w:sz w:val="21"/>
        </w:rPr>
        <w:t xml:space="preserve"> and </w:t>
      </w:r>
      <w:r>
        <w:rPr>
          <w:rFonts w:ascii="Consolas" w:hAnsi="Consolas"/>
          <w:b w:val="0"/>
          <w:i w:val="0"/>
          <w:color w:val="1A1A2E"/>
          <w:sz w:val="18"/>
        </w:rPr>
        <w:t>BaseParser.get_schema()</w:t>
      </w:r>
    </w:p>
    <w:p>
      <w:pPr>
        <w:spacing w:before="20" w:after="20"/>
        <w:ind w:left="680"/>
      </w:pPr>
      <w:r>
        <w:rPr>
          <w:b w:val="0"/>
          <w:i w:val="0"/>
          <w:color w:val="2E6EA6"/>
          <w:sz w:val="22"/>
        </w:rPr>
        <w:t xml:space="preserve">☐  </w:t>
      </w:r>
      <w:r>
        <w:rPr>
          <w:rFonts w:ascii="Calibri" w:hAnsi="Calibri"/>
          <w:b w:val="0"/>
          <w:i w:val="0"/>
          <w:color w:val="333333"/>
          <w:sz w:val="21"/>
        </w:rPr>
        <w:t xml:space="preserve">Handle incomplete buffers (return </w:t>
      </w:r>
      <w:r>
        <w:rPr>
          <w:rFonts w:ascii="Consolas" w:hAnsi="Consolas"/>
          <w:b w:val="0"/>
          <w:i w:val="0"/>
          <w:color w:val="1A1A2E"/>
          <w:sz w:val="18"/>
        </w:rPr>
        <w:t>None</w:t>
      </w:r>
      <w:r>
        <w:rPr>
          <w:rFonts w:ascii="Calibri" w:hAnsi="Calibri"/>
          <w:b w:val="0"/>
          <w:i w:val="0"/>
          <w:color w:val="333333"/>
          <w:sz w:val="21"/>
        </w:rPr>
        <w:t>, do not raise)</w:t>
      </w:r>
    </w:p>
    <w:p>
      <w:pPr>
        <w:spacing w:before="20" w:after="20"/>
        <w:ind w:left="680"/>
      </w:pPr>
      <w:r>
        <w:rPr>
          <w:b w:val="0"/>
          <w:i w:val="0"/>
          <w:color w:val="2E6EA6"/>
          <w:sz w:val="22"/>
        </w:rPr>
        <w:t xml:space="preserve">☐  </w:t>
      </w:r>
      <w:r>
        <w:rPr>
          <w:rFonts w:ascii="Calibri" w:hAnsi="Calibri"/>
          <w:b w:val="0"/>
          <w:i w:val="0"/>
          <w:color w:val="333333"/>
          <w:sz w:val="21"/>
        </w:rPr>
        <w:t xml:space="preserve">Handle malformed data (raise </w:t>
      </w:r>
      <w:r>
        <w:rPr>
          <w:rFonts w:ascii="Consolas" w:hAnsi="Consolas"/>
          <w:b w:val="0"/>
          <w:i w:val="0"/>
          <w:color w:val="1A1A2E"/>
          <w:sz w:val="18"/>
        </w:rPr>
        <w:t>ParserError</w:t>
      </w:r>
      <w:r>
        <w:rPr>
          <w:rFonts w:ascii="Calibri" w:hAnsi="Calibri"/>
          <w:b w:val="0"/>
          <w:i w:val="0"/>
          <w:color w:val="333333"/>
          <w:sz w:val="21"/>
        </w:rPr>
        <w:t xml:space="preserve"> with details)</w:t>
      </w:r>
    </w:p>
    <w:p>
      <w:pPr>
        <w:spacing w:before="20" w:after="20"/>
        <w:ind w:left="680"/>
      </w:pPr>
      <w:r>
        <w:rPr>
          <w:b w:val="0"/>
          <w:i w:val="0"/>
          <w:color w:val="2E6EA6"/>
          <w:sz w:val="22"/>
        </w:rPr>
        <w:t xml:space="preserve">☐  </w:t>
      </w:r>
      <w:r>
        <w:rPr>
          <w:rFonts w:ascii="Calibri" w:hAnsi="Calibri"/>
          <w:b w:val="0"/>
          <w:i w:val="0"/>
          <w:color w:val="333333"/>
          <w:sz w:val="21"/>
        </w:rPr>
        <w:t>Handle all known encoding variants for this instrument model (ASCII, Latin-1, CP1252)</w:t>
      </w:r>
    </w:p>
    <w:p>
      <w:pPr>
        <w:spacing w:before="20" w:after="20"/>
        <w:ind w:left="680"/>
      </w:pPr>
      <w:r>
        <w:rPr>
          <w:b w:val="0"/>
          <w:i w:val="0"/>
          <w:color w:val="2E6EA6"/>
          <w:sz w:val="22"/>
        </w:rPr>
        <w:t xml:space="preserve">☐  </w:t>
      </w:r>
      <w:r>
        <w:rPr>
          <w:rFonts w:ascii="Calibri" w:hAnsi="Calibri"/>
          <w:b w:val="0"/>
          <w:i w:val="0"/>
          <w:color w:val="333333"/>
          <w:sz w:val="21"/>
        </w:rPr>
        <w:t>Write unit tests covering: clean output, partial output, malformed output, empty output</w:t>
      </w:r>
    </w:p>
    <w:p>
      <w:pPr>
        <w:spacing w:before="20" w:after="20"/>
        <w:ind w:left="680"/>
      </w:pPr>
      <w:r>
        <w:rPr>
          <w:b w:val="0"/>
          <w:i w:val="0"/>
          <w:color w:val="2E6EA6"/>
          <w:sz w:val="22"/>
        </w:rPr>
        <w:t xml:space="preserve">☐  </w:t>
      </w:r>
      <w:r>
        <w:rPr>
          <w:rFonts w:ascii="Calibri" w:hAnsi="Calibri"/>
          <w:b w:val="0"/>
          <w:i w:val="0"/>
          <w:color w:val="333333"/>
          <w:sz w:val="21"/>
        </w:rPr>
        <w:t xml:space="preserve">Test against real instrument output files (stored in </w:t>
      </w:r>
      <w:r>
        <w:rPr>
          <w:rFonts w:ascii="Consolas" w:hAnsi="Consolas"/>
          <w:b w:val="0"/>
          <w:i w:val="0"/>
          <w:color w:val="1A1A2E"/>
          <w:sz w:val="18"/>
        </w:rPr>
        <w:t>tests/instrument_fixtures/</w:t>
      </w:r>
      <w:r>
        <w:rPr>
          <w:rFonts w:ascii="Calibri" w:hAnsi="Calibri"/>
          <w:b w:val="0"/>
          <w:i w:val="0"/>
          <w:color w:val="333333"/>
          <w:sz w:val="21"/>
        </w:rPr>
        <w:t>)</w:t>
      </w:r>
    </w:p>
    <w:p>
      <w:pPr>
        <w:spacing w:before="20" w:after="20"/>
        <w:ind w:left="680"/>
      </w:pPr>
      <w:r>
        <w:rPr>
          <w:b w:val="0"/>
          <w:i w:val="0"/>
          <w:color w:val="2E6EA6"/>
          <w:sz w:val="22"/>
        </w:rPr>
        <w:t xml:space="preserve">☐  </w:t>
      </w:r>
      <w:r>
        <w:rPr>
          <w:rFonts w:ascii="Calibri" w:hAnsi="Calibri"/>
          <w:b w:val="0"/>
          <w:i w:val="0"/>
          <w:color w:val="333333"/>
          <w:sz w:val="21"/>
        </w:rPr>
        <w:t>Document baud rate, parity, stop bits, and framing for this instrument</w:t>
      </w:r>
    </w:p>
    <w:p>
      <w:pPr>
        <w:spacing w:before="20" w:after="20"/>
        <w:ind w:left="680"/>
      </w:pPr>
      <w:r>
        <w:rPr>
          <w:b w:val="0"/>
          <w:i w:val="0"/>
          <w:color w:val="2E6EA6"/>
          <w:sz w:val="22"/>
        </w:rPr>
        <w:t xml:space="preserve">☐  </w:t>
      </w:r>
      <w:r>
        <w:rPr>
          <w:rFonts w:ascii="Calibri" w:hAnsi="Calibri"/>
          <w:b w:val="0"/>
          <w:i w:val="0"/>
          <w:color w:val="333333"/>
          <w:sz w:val="21"/>
        </w:rPr>
        <w:t>Record parser_version as semantic version string</w:t>
      </w:r>
    </w:p>
    <w:p>
      <w:r>
        <w:br w:type="page"/>
      </w:r>
    </w:p>
    <w:p>
      <w:pPr>
        <w:pStyle w:val="Heading1"/>
      </w:pPr>
      <w:r>
        <w:t>Appendix B: Network Requirements for Customer Site</w:t>
      </w:r>
    </w:p>
    <w:p>
      <w:r>
        <w:rPr>
          <w:rFonts w:ascii="Calibri" w:hAnsi="Calibri"/>
          <w:b w:val="0"/>
          <w:i w:val="0"/>
          <w:color w:val="333333"/>
          <w:sz w:val="21"/>
        </w:rPr>
        <w:t>To install and operate a BioNexus Box, the customer network must allow:</w:t>
      </w:r>
    </w:p>
    <w:tbl>
      <w:tblPr>
        <w:tblW w:type="auto" w:w="0"/>
        <w:jc w:val="center"/>
        <w:tblLayout w:type="autofit"/>
        <w:tblLook w:firstColumn="1" w:firstRow="1" w:lastColumn="0" w:lastRow="0" w:noHBand="0" w:noVBand="1" w:val="04A0"/>
      </w:tblPr>
      <w:tblGrid>
        <w:gridCol w:w="1881"/>
        <w:gridCol w:w="1881"/>
        <w:gridCol w:w="1881"/>
        <w:gridCol w:w="1881"/>
        <w:gridCol w:w="1881"/>
      </w:tblGrid>
      <w:tr>
        <w:tc>
          <w:tcPr>
            <w:tcW w:type="dxa" w:w="1881"/>
            <w:shd w:fill="0C2D5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i w:val="0"/>
                <w:color w:val="FFFFFF"/>
                <w:sz w:val="19"/>
              </w:rPr>
              <w:t>Protocol</w:t>
            </w:r>
          </w:p>
        </w:tc>
        <w:tc>
          <w:tcPr>
            <w:tcW w:type="dxa" w:w="1881"/>
            <w:shd w:fill="0C2D5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i w:val="0"/>
                <w:color w:val="FFFFFF"/>
                <w:sz w:val="19"/>
              </w:rPr>
              <w:t>Destination</w:t>
            </w:r>
          </w:p>
        </w:tc>
        <w:tc>
          <w:tcPr>
            <w:tcW w:type="dxa" w:w="1881"/>
            <w:shd w:fill="0C2D5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i w:val="0"/>
                <w:color w:val="FFFFFF"/>
                <w:sz w:val="19"/>
              </w:rPr>
              <w:t>Port</w:t>
            </w:r>
          </w:p>
        </w:tc>
        <w:tc>
          <w:tcPr>
            <w:tcW w:type="dxa" w:w="1881"/>
            <w:shd w:fill="0C2D5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i w:val="0"/>
                <w:color w:val="FFFFFF"/>
                <w:sz w:val="19"/>
              </w:rPr>
              <w:t>Direction</w:t>
            </w:r>
          </w:p>
        </w:tc>
        <w:tc>
          <w:tcPr>
            <w:tcW w:type="dxa" w:w="1881"/>
            <w:shd w:fill="0C2D5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i w:val="0"/>
                <w:color w:val="FFFFFF"/>
                <w:sz w:val="19"/>
              </w:rPr>
              <w:t>Purpose</w:t>
            </w:r>
          </w:p>
        </w:tc>
      </w:tr>
      <w:tr>
        <w:tc>
          <w:tcPr>
            <w:tcW w:type="dxa" w:w="1881"/>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HTTPS</w:t>
            </w:r>
          </w:p>
        </w:tc>
        <w:tc>
          <w:tcPr>
            <w:tcW w:type="dxa" w:w="1881"/>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onsolas" w:hAnsi="Consolas"/>
                <w:b w:val="0"/>
                <w:i w:val="0"/>
                <w:color w:val="1A1A2E"/>
                <w:sz w:val="18"/>
              </w:rPr>
              <w:t>api.bionexus.io</w:t>
            </w:r>
          </w:p>
        </w:tc>
        <w:tc>
          <w:tcPr>
            <w:tcW w:type="dxa" w:w="1881"/>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443/TCP</w:t>
            </w:r>
          </w:p>
        </w:tc>
        <w:tc>
          <w:tcPr>
            <w:tcW w:type="dxa" w:w="1881"/>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Outbound</w:t>
            </w:r>
          </w:p>
        </w:tc>
        <w:tc>
          <w:tcPr>
            <w:tcW w:type="dxa" w:w="1881"/>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Data upload + heartbeat</w:t>
            </w:r>
          </w:p>
        </w:tc>
      </w:tr>
      <w:tr>
        <w:tc>
          <w:tcPr>
            <w:tcW w:type="dxa" w:w="1881"/>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NTP</w:t>
            </w:r>
          </w:p>
        </w:tc>
        <w:tc>
          <w:tcPr>
            <w:tcW w:type="dxa" w:w="1881"/>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onsolas" w:hAnsi="Consolas"/>
                <w:b w:val="0"/>
                <w:i w:val="0"/>
                <w:color w:val="1A1A2E"/>
                <w:sz w:val="18"/>
              </w:rPr>
              <w:t>pool.ntp.org</w:t>
            </w:r>
            <w:r>
              <w:rPr>
                <w:rFonts w:ascii="Calibri" w:hAnsi="Calibri"/>
                <w:b w:val="0"/>
                <w:i w:val="0"/>
                <w:color w:val="333333"/>
                <w:sz w:val="19"/>
              </w:rPr>
              <w:t xml:space="preserve"> or customer NTP</w:t>
            </w:r>
          </w:p>
        </w:tc>
        <w:tc>
          <w:tcPr>
            <w:tcW w:type="dxa" w:w="1881"/>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123/UDP</w:t>
            </w:r>
          </w:p>
        </w:tc>
        <w:tc>
          <w:tcPr>
            <w:tcW w:type="dxa" w:w="1881"/>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Outbound</w:t>
            </w:r>
          </w:p>
        </w:tc>
        <w:tc>
          <w:tcPr>
            <w:tcW w:type="dxa" w:w="1881"/>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Clock synchronization</w:t>
            </w:r>
          </w:p>
        </w:tc>
      </w:tr>
      <w:tr>
        <w:tc>
          <w:tcPr>
            <w:tcW w:type="dxa" w:w="1881"/>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DNS</w:t>
            </w:r>
          </w:p>
        </w:tc>
        <w:tc>
          <w:tcPr>
            <w:tcW w:type="dxa" w:w="1881"/>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Customer DNS server</w:t>
            </w:r>
          </w:p>
        </w:tc>
        <w:tc>
          <w:tcPr>
            <w:tcW w:type="dxa" w:w="1881"/>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53/UDP+TCP</w:t>
            </w:r>
          </w:p>
        </w:tc>
        <w:tc>
          <w:tcPr>
            <w:tcW w:type="dxa" w:w="1881"/>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Outbound</w:t>
            </w:r>
          </w:p>
        </w:tc>
        <w:tc>
          <w:tcPr>
            <w:tcW w:type="dxa" w:w="1881"/>
            <w:shd w:fill="FFFFFF"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Name resolution</w:t>
            </w:r>
          </w:p>
        </w:tc>
      </w:tr>
      <w:tr>
        <w:tc>
          <w:tcPr>
            <w:tcW w:type="dxa" w:w="1881"/>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SSH</w:t>
            </w:r>
          </w:p>
        </w:tc>
        <w:tc>
          <w:tcPr>
            <w:tcW w:type="dxa" w:w="1881"/>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BioNexus management IP range</w:t>
            </w:r>
          </w:p>
        </w:tc>
        <w:tc>
          <w:tcPr>
            <w:tcW w:type="dxa" w:w="1881"/>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22/TCP</w:t>
            </w:r>
          </w:p>
        </w:tc>
        <w:tc>
          <w:tcPr>
            <w:tcW w:type="dxa" w:w="1881"/>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Inbound</w:t>
            </w:r>
          </w:p>
        </w:tc>
        <w:tc>
          <w:tcPr>
            <w:tcW w:type="dxa" w:w="1881"/>
            <w:shd w:fill="F5F7FA" w:val="clear"/>
            <w:tcBorders>
              <w:top w:val="single" w:sz="4" w:space="0" w:color="C0C6D0"/>
              <w:left w:val="single" w:sz="4" w:space="0" w:color="C0C6D0"/>
              <w:bottom w:val="single" w:sz="4" w:space="0" w:color="C0C6D0"/>
              <w:right w:val="single" w:sz="4" w:space="0" w:color="C0C6D0"/>
            </w:tcBorders>
          </w:tcPr>
          <w:p>
            <w:pPr>
              <w:spacing w:before="60" w:after="60"/>
            </w:pPr>
            <w:r>
              <w:rPr>
                <w:rFonts w:ascii="Calibri" w:hAnsi="Calibri"/>
                <w:b w:val="0"/>
                <w:i w:val="0"/>
                <w:color w:val="333333"/>
                <w:sz w:val="19"/>
              </w:rPr>
              <w:t>Remote diagnostics (optional)</w:t>
            </w:r>
          </w:p>
        </w:tc>
      </w:tr>
    </w:tbl>
    <w:p/>
    <w:p>
      <w:r>
        <w:rPr>
          <w:rFonts w:ascii="Calibri" w:hAnsi="Calibri"/>
          <w:b w:val="0"/>
          <w:i w:val="0"/>
          <w:color w:val="333333"/>
          <w:sz w:val="21"/>
        </w:rPr>
        <w:t>No inbound ports need to be opened beyond SSH (which is optional; remote diagnostics can also be initiated via the heartbeat push mechanism). No direct connection between the Box and customer LIMS, ERP, or other internal systems is required.</w:t>
      </w:r>
    </w:p>
    <w:p>
      <w:r>
        <w:rPr>
          <w:rFonts w:ascii="Calibri" w:hAnsi="Calibri"/>
          <w:b/>
          <w:i w:val="0"/>
          <w:color w:val="333333"/>
          <w:sz w:val="21"/>
        </w:rPr>
        <w:t>Document Version</w:t>
      </w:r>
      <w:r>
        <w:rPr>
          <w:rFonts w:ascii="Calibri" w:hAnsi="Calibri"/>
          <w:b w:val="0"/>
          <w:i w:val="0"/>
          <w:color w:val="333333"/>
          <w:sz w:val="21"/>
        </w:rPr>
        <w:t>: 1.0</w:t>
      </w:r>
    </w:p>
    <w:p>
      <w:r>
        <w:rPr>
          <w:rFonts w:ascii="Calibri" w:hAnsi="Calibri"/>
          <w:b/>
          <w:i w:val="0"/>
          <w:color w:val="333333"/>
          <w:sz w:val="21"/>
        </w:rPr>
        <w:t>Status</w:t>
      </w:r>
      <w:r>
        <w:rPr>
          <w:rFonts w:ascii="Calibri" w:hAnsi="Calibri"/>
          <w:b w:val="0"/>
          <w:i w:val="0"/>
          <w:color w:val="333333"/>
          <w:sz w:val="21"/>
        </w:rPr>
        <w:t>: Draft — Engineering Reference</w:t>
      </w:r>
    </w:p>
    <w:p>
      <w:r>
        <w:rPr>
          <w:rFonts w:ascii="Calibri" w:hAnsi="Calibri"/>
          <w:b/>
          <w:i w:val="0"/>
          <w:color w:val="333333"/>
          <w:sz w:val="21"/>
        </w:rPr>
        <w:t>Last Updated</w:t>
      </w:r>
      <w:r>
        <w:rPr>
          <w:rFonts w:ascii="Calibri" w:hAnsi="Calibri"/>
          <w:b w:val="0"/>
          <w:i w:val="0"/>
          <w:color w:val="333333"/>
          <w:sz w:val="21"/>
        </w:rPr>
        <w:t>: 2026-02-28</w:t>
      </w:r>
    </w:p>
    <w:p>
      <w:r>
        <w:rPr>
          <w:rFonts w:ascii="Calibri" w:hAnsi="Calibri"/>
          <w:b/>
          <w:i w:val="0"/>
          <w:color w:val="333333"/>
          <w:sz w:val="21"/>
        </w:rPr>
        <w:t>Review Cycle</w:t>
      </w:r>
      <w:r>
        <w:rPr>
          <w:rFonts w:ascii="Calibri" w:hAnsi="Calibri"/>
          <w:b w:val="0"/>
          <w:i w:val="0"/>
          <w:color w:val="333333"/>
          <w:sz w:val="21"/>
        </w:rPr>
        <w:t>: Quarterly or on major firmware release</w:t>
      </w:r>
    </w:p>
    <w:p>
      <w:r>
        <w:rPr>
          <w:rFonts w:ascii="Calibri" w:hAnsi="Calibri"/>
          <w:b/>
          <w:i w:val="0"/>
          <w:color w:val="333333"/>
          <w:sz w:val="21"/>
        </w:rPr>
        <w:t>Owner</w:t>
      </w:r>
      <w:r>
        <w:rPr>
          <w:rFonts w:ascii="Calibri" w:hAnsi="Calibri"/>
          <w:b w:val="0"/>
          <w:i w:val="0"/>
          <w:color w:val="333333"/>
          <w:sz w:val="21"/>
        </w:rPr>
        <w:t>: BioNexus Engineering</w:t>
      </w:r>
    </w:p>
    <w:p>
      <w:r>
        <w:rPr>
          <w:rFonts w:ascii="Calibri" w:hAnsi="Calibri"/>
          <w:b/>
          <w:i w:val="0"/>
          <w:color w:val="333333"/>
          <w:sz w:val="21"/>
        </w:rPr>
        <w:t>Classification</w:t>
      </w:r>
      <w:r>
        <w:rPr>
          <w:rFonts w:ascii="Calibri" w:hAnsi="Calibri"/>
          <w:b w:val="0"/>
          <w:i w:val="0"/>
          <w:color w:val="333333"/>
          <w:sz w:val="21"/>
        </w:rPr>
        <w:t>: Internal Engineering — Restricted Distribution</w:t>
      </w:r>
    </w:p>
    <w:p/>
    <w:tbl>
      <w:tblPr>
        <w:tblW w:type="auto" w:w="0"/>
        <w:jc w:val="center"/>
        <w:tblLook w:firstColumn="1" w:firstRow="1" w:lastColumn="0" w:lastRow="0" w:noHBand="0" w:noVBand="1" w:val="04A0"/>
      </w:tblPr>
      <w:tblGrid>
        <w:gridCol w:w="9406"/>
      </w:tblGrid>
      <w:tr>
        <w:trPr>
          <w:trHeight w:val="40" w:hRule="exact"/>
        </w:trPr>
        <w:tc>
          <w:tcPr>
            <w:tcW w:type="dxa" w:w="9406"/>
            <w:shd w:fill="0C2D5A" w:val="clear"/>
            <w:tcMar>
              <w:top w:w="10" w:type="dxa"/>
              <w:bottom w:w="10" w:type="dxa"/>
              <w:left w:w="0" w:type="dxa"/>
              <w:right w:w="0" w:type="dxa"/>
            </w:tcMar>
          </w:tcPr>
          <w:p/>
        </w:tc>
      </w:tr>
    </w:tbl>
    <w:p>
      <w:pPr>
        <w:jc w:val="center"/>
      </w:pPr>
      <w:r>
        <w:rPr>
          <w:rFonts w:ascii="Calibri" w:hAnsi="Calibri"/>
          <w:b/>
          <w:i w:val="0"/>
          <w:color w:val="666666"/>
          <w:sz w:val="18"/>
        </w:rPr>
        <w:t xml:space="preserve">Version </w:t>
      </w:r>
      <w:r>
        <w:rPr>
          <w:rFonts w:ascii="Calibri" w:hAnsi="Calibri"/>
          <w:b w:val="0"/>
          <w:i w:val="0"/>
          <w:color w:val="666666"/>
          <w:sz w:val="18"/>
        </w:rPr>
        <w:t xml:space="preserve">1.0   ·   </w:t>
      </w:r>
      <w:r>
        <w:rPr>
          <w:rFonts w:ascii="Calibri" w:hAnsi="Calibri"/>
          <w:b/>
          <w:i w:val="0"/>
          <w:color w:val="666666"/>
          <w:sz w:val="18"/>
        </w:rPr>
        <w:t xml:space="preserve">Status </w:t>
      </w:r>
      <w:r>
        <w:rPr>
          <w:rFonts w:ascii="Calibri" w:hAnsi="Calibri"/>
          <w:b w:val="0"/>
          <w:i w:val="0"/>
          <w:color w:val="666666"/>
          <w:sz w:val="18"/>
        </w:rPr>
        <w:t xml:space="preserve">Draft   ·   </w:t>
      </w:r>
      <w:r>
        <w:rPr>
          <w:rFonts w:ascii="Calibri" w:hAnsi="Calibri"/>
          <w:b/>
          <w:i w:val="0"/>
          <w:color w:val="666666"/>
          <w:sz w:val="18"/>
        </w:rPr>
        <w:t xml:space="preserve">Updated </w:t>
      </w:r>
      <w:r>
        <w:rPr>
          <w:rFonts w:ascii="Calibri" w:hAnsi="Calibri"/>
          <w:b w:val="0"/>
          <w:i w:val="0"/>
          <w:color w:val="666666"/>
          <w:sz w:val="18"/>
        </w:rPr>
        <w:t>2026-02-28</w:t>
      </w:r>
    </w:p>
    <w:p>
      <w:pPr>
        <w:jc w:val="center"/>
      </w:pPr>
      <w:r>
        <w:rPr>
          <w:rFonts w:ascii="Calibri" w:hAnsi="Calibri"/>
          <w:b w:val="0"/>
          <w:i w:val="0"/>
          <w:color w:val="666666"/>
          <w:sz w:val="18"/>
        </w:rPr>
        <w:t>© 2026 BioNexus GmbH — All rights reserved</w:t>
      </w:r>
    </w:p>
    <w:sectPr w:rsidR="00FC693F" w:rsidRPr="0006063C" w:rsidSect="00034616">
      <w:headerReference w:type="default" r:id="rId9"/>
      <w:footerReference w:type="default" r:id="rId10"/>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6666"/>
        <w:sz w:val="16"/>
      </w:rPr>
      <w:t>BNX-HW-001  ·  Confidential  ·  BioNexus GmbH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color w:val="666666"/>
        <w:sz w:val="16"/>
      </w:rPr>
      <w:t>BioNexus Box — Hardware Gateway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40" w:after="120" w:line="276" w:lineRule="auto"/>
    </w:pPr>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Bdr>
        <w:bottom w:val="single" w:sz="8" w:space="4" w:color="0C2D5A"/>
      </w:pBdr>
    </w:pPr>
    <w:rPr>
      <w:rFonts w:asciiTheme="majorHAnsi" w:eastAsiaTheme="majorEastAsia" w:hAnsiTheme="majorHAnsi" w:cstheme="majorBidi" w:ascii="Calibri" w:hAnsi="Calibri"/>
      <w:b/>
      <w:bCs/>
      <w:color w:val="0C2D5A"/>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477A"/>
      <w:sz w:val="30"/>
      <w:szCs w:val="26"/>
    </w:rPr>
  </w:style>
  <w:style w:type="paragraph" w:styleId="Heading3">
    <w:name w:val="heading 3"/>
    <w:basedOn w:val="Normal"/>
    <w:next w:val="Normal"/>
    <w:link w:val="Heading3Char"/>
    <w:uiPriority w:val="9"/>
    <w:unhideWhenUsed/>
    <w:qFormat/>
    <w:rsid w:val="00FC693F"/>
    <w:pPr>
      <w:keepNext/>
      <w:keepLines/>
      <w:spacing w:before="280" w:after="80"/>
      <w:outlineLvl w:val="2"/>
    </w:pPr>
    <w:rPr>
      <w:rFonts w:asciiTheme="majorHAnsi" w:eastAsiaTheme="majorEastAsia" w:hAnsiTheme="majorHAnsi" w:cstheme="majorBidi" w:ascii="Calibri" w:hAnsi="Calibri"/>
      <w:b/>
      <w:bCs/>
      <w:color w:val="2E6EA6"/>
      <w:sz w:val="24"/>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b/>
      <w:bCs/>
      <w:i/>
      <w:iCs/>
      <w:color w:val="1A477A"/>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