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Architecture Decision Record: AI Extraction Service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AACCEE"/>
                <w:sz w:val="28"/>
                <w:szCs w:val="28"/>
              </w:rPr>
              <w:t xml:space="preserve">BioNexus Platform — ADR-001</w:t>
            </w:r>
          </w:p>
        </w:tc>
      </w:tr>
    </w:tbl>
    <w:p>
      <w:pPr>
        <w:spacing w:after="3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BNX-ADR-001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2026-02-28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Review Partner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GMP4U (Johannes Eberhardt) — CSV/Qualification Specialist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— Internal Engineering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Makers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BioNexus Engineering Lead, Head of Product, Regulatory Affairs Lead, GMP4U (Johannes Eberhardt — CSV/Qualification Specialist)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This document contains proprietary information of BioNexus GmbH.
Distribution is restricted to authorized personnel and review partners.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Document Control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1. Context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2. Decision Drivers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3. Options Considered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4. Decision Matrix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5. Recommended Decision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6. Data Privacy Assessment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7. GxP Validation Considerations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8. Cost Analysis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9. Fallback Strategy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10. Monitoring and Quality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11. AI Hallucination Prevention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12. Vendor Assessment Under GAMP5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13. Consequences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14. Review Triggers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Document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Engineering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 draft for internal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Engineering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 GDPR assessment and GxP validation sections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Engineering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Proposed for decision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BNX-COMP-001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GxP Compliance Master Document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BNX-VAL-001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Validation Plan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BNX-SEC-001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Architecture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PARSING_ARCHITECTURE.md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Parsing Service Architecture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Context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Decision Drivers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Options Considered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Decision Matrix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Recommended Decision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Privacy Assessment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GxP Validation Considerations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Cost Analysis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9.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Fallback Strategy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10.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Monitoring and Quality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Hallucination Prevention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Vendor Assessment Under GAMP5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Consequences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Triggers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1. Context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1.1 The Problem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Laboratory instruments — HPLC systems, dissolution testers, UV-Vis spectrophotometers, pH meters, centrifuges, PCR machines, and others — produce output in a wide variety of file formats. These include vendor-specific CSV dialects, PDF reports, plain-text instrument logs, and proprietary binary exports. The structure, field naming, and layout of these files differs significantly across instrument manufacturers, firmware versions, and customer configuration. A Shimadzu HPLC system does not produce the same CSV schema as an Agilent system, and neither produces the same format across software versions.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manual process at BioNexus customer sites involves lab technicians reading these output files and manually transcribing values into LIMS or spreadsheet systems. This process is: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Error-prone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Transcription errors introduce inaccuracies into batch records and sample results.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Manual entry for a single dissolution run file (potentially dozens of rows with multiple result columns) can take 20–40 minutes.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Non-attributable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Spreadsheet entry rarely captures contemporaneous timestamps and user attribution at the field level, which is a direct deficiency under ALCOA+.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Unscalable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As customers onboard more instruments, the manual burden grows linearly.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1.2 What AI Extraction Solves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language model (LLM) AI services can parse unstructured and semi-structured text and produce structured JSON output corresponding to a defined schema. When combined with strict schema enforcement via Pydantic and a mandatory human review gate, AI extraction can: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Eliminate manual transcription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the majority of routine instrument output files.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Accelerate data intake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Extraction of a multi-page PDF instrument report from seconds to under 15 seconds with AI, versus 20–40 minutes manually.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Reduce transcription errors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Errors caused by fatigue or misreading are replaced by a deterministic schema validation pass, with a human reviewer catching residual AI mistakes rather than performing the transcription themselves.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Support ALCOA+ attribution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Every extraction is attributed to a model version, a requesting user, a timestamp, and an immutable SHA-256 hash of the source file.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1.3 Instrument Data Types Covered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extraction service is scoped to extract structured data from the following instrument output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 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Common Output Formats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Fields Extracted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HPLC Systems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CSV, PDF reports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ID, run timestamp, peak areas, retention times, batch ID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Dissolution Testers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CSV, plain-text logs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ID, vessel number, timepoint, % dissolved, temperature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UV-Vis Spectrophotometers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CSV, PDF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ID, wavelength, absorbance, concentration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 Meters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CSV, plain-text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ID, pH value, temperature, electrode calibration 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Centrifuges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maintenance logs, CSV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 ID, run parameters, maintenance dates, status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General Lab Equipment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inventory files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 ID, name, type, location, serial number, status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CSV, barcode logs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Sample ID, type, collection timestamp, storage location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1.4 Current Implementation State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parsing pipeline is currently implemented in: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bionexus-platform/backend/core/parsing_service.py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ParsingService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class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upload_file()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validate_and_confirm()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reject_parsing()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methods.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bionexus-platform/backend/core/parsing_schemas.py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Pydantic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EquipmentData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SampleData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BatchExtractionResult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schemas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extra="forbid"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configuration.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bionexus-platform/PARSING_ARCHITECTURE.md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Architecture documentation.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method accepts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ai_extracted_data: dict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as a parameter, meaning the AI call itself is currently external to the service. The service validates AI output against the schema and manages the workflow state. The actual API call to GPT-4 or Claude is referenced in documentation but not yet implemented as a managed service component. This ADR decides how that external API call should be implemented, which provider should be used, and what the operational and compliance posture should be.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2. Decision Drivers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factors are ranked by importance for BioNexus's specific situation. The weighting values are used in the Decision Matrix in Section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Extraction accuracy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Incorrect extractions that pass human review enter the batch record. In GxP environments, data accuracy is a primary quality metric.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privacy and GDPR compliance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files are sent to a third-party API. Must comply with GDPR Art. 28 (Data Processing Agreement), data residency requirements for EU customers, and 21 CFR Part 11 electronic records obligations.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Regulatory compliance posture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chosen architecture must be defensible in an FDA inspection or EU regulatory audit. Traceability, change control, and validation must be achievable.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Operational reliability and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workflows depend on timely data intake. Service unavailability must degrade gracefully, not block lab operations.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Cost at scale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Token-based pricing means costs scale with file volume. At 10,000 files/month across a customer base, per-file cost becomes a material line item.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Latency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technicians uploading files expect feedback within a reasonable time. Extraction taking more than 30 seconds for a typical file will be perceived as slow.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Vendor lock-in and provider risk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Dependency on a single external AI provider creates supplier risk. Provider terms-of-service changes, pricing changes, or service discontinuation can disrupt operations.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Engineering implementation complexity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parsing pipeline is already implemented. The remaining work is the AI API call layer. Implementation complexity affects time-to-market.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3. Options Considered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Option A: OpenAI GPT-4 / GPT-4o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Use OpenAI's GPT-4 or GPT-4o API as the exclusive AI extraction provider.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method would call the OpenAI Chat Completions API, pass the file content as text within the prompt, and receive a structured JSON response.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Details: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https://api.openai.com/v1/chat/completions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gpt-4-turbo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gpt-4o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gpt-4o-mini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Structured output: Supports JSON mode and function calling for schema-constrained output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Input context: GPT-4o supports up to 128,000 tokens (~100,000 words), sufficient for large instrument reports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Latency: Typically 3–15 seconds for a standard instrument file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Strengths: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Highest public benchmark scores on structured extraction tasks as of early 2026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JSON mode and function calling with schema enforcement reduces hallucination risk at the API level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Mature, well-documented API with extensive client library support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Wide developer familiarity; easier to hire for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Weaknesses: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residency: By default, OpenAI processes data on US infrastructure. EU data residency is available via the Azure OpenAI Service (separate product), but this requires an additional Azure relationship and contract.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GDPR Art. 28: OpenAI's standard Data Processing Agreement is available but the terms around sub-processor chains and international data transfers require careful legal review for EU customer deployments.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zero data retention by default on the standard API tier: prompts may be used for abuse monitoring for up to 30 days unless Zero Data Retention is explicitly configured.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21 CFR Part 11: No specific pharmaceutical regulatory track record with FDA; all compliance burden remains with BioNexus.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Vendor pricing and terms have changed multiple times; GPT-4 was deprecated and replaced by GPT-4o; change management overhead is non-trivial.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Pricing (as of 2026-02):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GPT-4o: ~$2.50 / 1M input tokens, ~$10.00 / 1M output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GPT-4o-mini: ~$0.15 / 1M input tokens, ~$0.60 / 1M output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typical instrument CSV file (5KB of text) uses approximately 1,500–3,000 input tokens and 500–1,000 output tokens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Option B: Anthropic Claude (Sonnet / Opus)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Use Anthropic's Claude API as the exclusive AI extraction provider. The current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parsing_service.py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already references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claude-3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as a potential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extraction_model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value. Claude 3.5 Sonnet and Claude 3 Opus are the primary candidates.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Details: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https://api.anthropic.com/v1/messages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claude-sonnet-4-5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claude-opus-4-5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claude-haiku-3-5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Structured output: Supports tool use (function calling) for schema-constrained JSON output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Input context: Up to 200,000 tokens, larger than GPT-4o, better for large PDF reports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Latency: Typically 4–12 seconds for a standard instrument file with Sonnet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Strengths: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Strong performance on structured extraction and instruction-following tasks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200K context window is advantageous for large multi-page PDF instrument reports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Anthropic publishes a GDPR-compliant Data Processing Addendum (DPA); EU data residency options available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Claude's Constitutional AI training emphasizes not fabricating information, which has relevance to hallucination reduction (though Pydantic validation remains the primary safeguard regardless of provider)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Tool use (function calling) with strict JSON Schema input reduces schema non-compliance in raw model output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Weaknesses: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Slightly less developer tooling ecosystem compared to OpenAI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Same fundamental GDPR and 21 CFR Part 11 concerns apply as with any external API provider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 versioning and deprecation risk exists (as with all LLM providers)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on-premises deployment option; data must leave BioNexus infrastructure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Pricing (as of 2026-02):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3.5 Sonnet: ~$3.00 / 1M input tokens, ~$15.00 / 1M output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3 Haiku: ~$0.25 / 1M input tokens, ~$1.25 / 1M output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3 Opus: ~$15.00 / 1M input tokens, ~$75.00 / 1M output tokens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Option C: Self-Hosted Open-Source Model (Llama 3, Mistral, or similar)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Deploy an open-source LLM on BioNexus-controlled infrastructure (GCP Vertex AI custom endpoints, GKE, or customer-premises hardware). Candidate models include Meta Llama 3.1 70B/405B, Mistral Large 2, or Mixtral 8x22B.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Details: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Deployment: GCP Vertex AI Custom Model Serving, or GKE with GPU nodes (NVIDIA A100/H100)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Models: Llama 3.1 70B (minimum viable), Llama 3.1 405B (higher quality, higher cost)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Structured output: Requires prompt engineering and potentially constrained decoding (outlines, lm-format-enforcer) to reliably produce schema-valid JSON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Input context: 128K tokens (Llama 3.1), varies by model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Latency: 10–60 seconds depending on hardware and model size; significantly higher than managed APIs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Strengths: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data leaves BioNexus infrastructure: eliminates all third-party data processing concerns under GDPR Art. 28 for the extraction step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per-token cost at inference time once infrastructure is provisioned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control over model version, upgrade timing, and change management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 be deployed in customer-premises configuration for customers with strict data locality requirements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Weaknesses: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Extraction accuracy is meaningfully lower than frontier models (GPT-4o, Claude Sonnet) on complex structured extraction tasks. For HPLC or dissolution tester multi-column reports, error rates on smaller open-source models can be 5–15% vs. 1–3% for frontier models.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Infrastructure cost is high: a GCP A100 GPU node for serving a 70B model costs approximately $3–5/hour, or ~$2,200–$3,600/month for continuous availability. Spot instances reduce cost but introduce availability risk.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Engineering complexity is significantly higher: model serving infrastructure, prompt versioning, scaling, monitoring, and model updates all require dedicated engineering effort.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GxP validation is harder: the model itself must be treated as a validated component, meaning any model update requires a change control process and re-validation testing.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SLA from the model developer; uptime is entirely BioNexus-managed.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JSON schema adherence without constrained decoding is unreliable in smaller open-source models, increasing the rate of schema validation failures.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Pricing: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Infrastructure: ~$2,200–$5,000/month for GCP GPU serving (A100 node, sustained use discount applied)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Engineering overhead: estimated 2–4 engineer-weeks initial setup; ongoing maintenance ~0.5 FTE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per-file variable cost at inference time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Option D: Hybrid Approach — Cloud AI Primary with Configurable Provider and Rule-Based Fallback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Implement an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AIExtractionClient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abstraction layer that supports multiple backend providers (Claude primary, OpenAI secondary), with a rule-based parser as a deterministic fallback for simple, well-structured file formats. The provider is configurable per environment and per tenant. This is the recommended option (see Section 5).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Details: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Abstraction layer: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core/ai_extraction/client.py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BaseExtractionClient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interface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provider: Anthropic Claude 3.5 Sonnet via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claude_client.py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Secondary/fallback provider: OpenAI GPT-4o via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openai_client.py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(switchable via Django settings)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Rule-based fallback: Template-based CSV parser for known, fixed-format files (e.g., specific instrument models that produce consistent output)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Retry logic: Automatic retry with exponential backoff on transient errors; automatic provider failover after N consecutive failures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 switching: Can be changed 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settings.py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EXTRACTION_PRIMARY_PROVIDER = "claude"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without code deployment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Strengths: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single point of failure: if Claude API is unavailable, fall back to OpenAI; if both are unavailable, fall back to rule-based or queued processing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 negotiation: can switch primary provider if pricing changes significantly or if a new model significantly outperforms the current one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Rule-based fallback for known formats eliminates API cost entirely for those files and increases reliability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Isolates provider-specific code behind an interface, making future provider additions straightforward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Best accuracy: frontier models used for complex, variable-format files; deterministic parsing for known formats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Weaknesses: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Higher initial implementation complexity vs. single-provider integration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 AI provider relationships to maintain (contracts, DPAs, API keys)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Rule-based fallback requires maintenance as new instrument models are onboarded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 providers means two change management processes when models are updated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Option E: Rule-Based Parsing Only (No AI)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Implement all file parsing using traditional regex, template matching, and CSV/PDF parsing libraries (Python's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csv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module,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pdfplumber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pypdf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 Each supported instrument model has a dedicated parser class.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Details: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Framework: Python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csv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pdfplumber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PDF,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regex-based text parsing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Architecture: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InstrumentParser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base class with subclasses per instrument model/format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Schema validation: Same Pydantic schemas as the AI path; parsers must produce conformant output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Strengths: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Fully deterministic: same input always produces same output, which simplifies GxP validation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external API calls: no data privacy implications, no third-party dependency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per-file variable cost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Lower latency: parsing is essentially instantaneous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hallucination risk at the parsing stage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Weaknesses: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Does not scale to new instrument formats without engineering effort: each new instrument model or firmware version requires a new parser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targets customers with diverse instrument fleets; maintaining parsers for every instrument variant is not viable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Fragile to minor format changes: a new firmware version that adds a single column or changes a header name breaks the parser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Competitive disadvantage: the core value proposition of BioNexus includes reducing the integration burden for new instruments; rule-based parsing negates this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Cannot handle PDF reports with variable layouts (e.g., dissolution reports with different numbers of vessels)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viable as the sole parsing strategy for a multi-instrument, multi-vendor product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4. Decision Matrix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table scores each option against each decision driver. Scores are 1 (poor) to 5 (excellent). Weighted scores are Driver Weight × Raw Score. Maximum possible total is 500.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Driver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 (OpenAI)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 (Claude)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 (Self-Hosted)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D (Hybrid)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E (Rule-Based)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accuracy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privacy / GDPR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compliance posture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 reliability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at scale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lock-in risk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complexity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Weighted Total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3.88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4.19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3.79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Scoring rationale notes: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 C receives a lower data privacy score (5 raw) than Option E because while self-hosting eliminates third-party data processing, it introduces GxP validation complexity for the model itself that creates a compliance burden distinct from, but comparable to, the GDPR concern for cloud options.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 D receives a 4 on data privacy because both cloud providers have GDPR DPAs available and the abstraction layer allows routing specific tenant data to appropriate providers (e.g., EU-domiciled customers can be configured to use EU-region API endpoints).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 E's low extraction accuracy score (2) reflects that it is not viable for the heterogeneous instrument landscape BioNexus serves, making its other high scores partially academic.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Option D's reliability score of 5 reflects the multi-layer fallback architecture (primary cloud AI → secondary cloud AI → rule-based).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5. Recommended Decision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Decision: Option D — Hybrid Approach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 AI Provider: Anthropic Claude 3.5 Sonnet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 AI Provider: OpenAI GPT-4o (failover)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Rule-Based Fallback: For known, fixed-format instrument files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5.1 Rationale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D achieves the highest weighted score in the decision matrix (4.19) and is the only option that adequately addresses all of the top three decision drivers simultaneously.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Claude as primary over OpenAI: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3.5 Sonnet and GPT-4o are comparable in extraction accuracy for structured data tasks. Claude is selected as the primary provider for three reasons: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Privacy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Anthropic's DPA terms and EU data processing commitments are currently more straightforward than OpenAI's standard API terms for GDPR-compliant configurations. Claude's API offers EU API endpoint options without requiring a separate Azure relationship.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Context Window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Claude's 200K context window (vs. GPT-4o's 128K) is advantageous for large multi-page dissolution or HPLC batch reports that may contain dozens of sample rows, run metadata, and calibration data in a single file.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Instruction Following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Claude's Constitutional AI training and tool use implementation has demonstrated strong instruction-following fidelity in structured extraction tasks, which is directly relevant to schema compliance.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GPT-4o is retained as the secondary provider because it is equally capable, offers a different failure domain from Claude, and ensures BioNexus is not entirely dependent on a single AI vendor.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not Option C (Self-Hosted):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engineering cost to operate reliable GPU infrastructure on GCP, combined with lower extraction accuracy for complex instrument files and the GxP validation burden of treating the model itself as a validated component, makes self-hosting unviable at BioNexus's current scale and engineering capacity. This option should be re-evaluated when monthly extraction volumes exceed 50,000 files/month or when regulatory requirements from a specific large customer make cloud AI processing untenable.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Why not Option E (Rule-Based Only):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Rule-based parsing is not viable as the sole strategy for a multi-vendor, multi-instrument product. It is retained as a component of Option D for known, high-volume fixed-format files where deterministic parsing is both possible and more reliable than AI.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5.2 Implementation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┌────────────────────────────────────────────────────────────┐
│  ParsingService.parse_file() — existing implementation      │
└──────────────────────────┬─────────────────────────────────┘
                           │
                           ▼
┌────────────────────────────────────────────────────────────┐
│  AIExtractionOrchestrator                                   │
│  - Selects extraction strategy based on file type           │
│  - Invokes primary, fallback, or rule-based client          │
│  - Returns: ai_extracted_data: dict                         │
└──────────────────────────┬─────────────────────────────────┘
                           │
              ┌────────────┼────────────────┐
              ▼            ▼                ▼
┌─────────────────┐  ┌──────────────┐  ┌──────────────────┐
│ ClaudeClient    │  │ OpenAIClient │  │ RuleBasedParser  │
│ (primary)       │  │ (secondary)  │  │ (fixed formats)  │
│ Sonnet 3.5      │  │ GPT-4o       │  │ CSV templates    │
└─────────────────┘  └──────────────┘  └──────────────────┘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AI clients implement the same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BaseExtractionClient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interface: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class BaseExtractionClient(ABC):
    @abstractmethod
    def extract(
        self,
        file_content: str,
        file_type: str,
        schema_hint: str,
    ) -&gt; dict:
        """Returns raw dict matching BatchExtractionResult schema."""
        ...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Provider selection and failover logic: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EXTRACTION_PRIMARY_PROVIDER = env("EXTRACTION_PRIMARY_PROVIDER", default="claude")
EXTRACTION_FALLBACK_PROVIDER = env("EXTRACTION_FALLBACK_PROVIDER", default="openai")
EXTRACTION_TIMEOUT_SECONDS = int(env("EXTRACTION_TIMEOUT_SECONDS", default=60))
EXTRACTION_MAX_RETRIES = int(env("EXTRACTION_MAX_RETRIES", default=2))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6. Data Privacy Assessment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6.1 What Data Is Sent to the AI Provider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file is submitted for AI extraction, the following data is transmitted to the external AI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Sensitivity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text content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raw text of the instrument output file, PDF converted to text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— contains equipment IDs, sample IDs (pseudonymized), measurement values, timestamps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prompt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BioNexus's extraction prompt describing the schema and instructions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Non-sensitive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Tool/function schema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JSON Schema derived from Pydantic models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Non-sensitive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identifier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included in the prompt; only used internally for 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transmitted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identity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included in the API call payload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transmitted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Data Characteristics: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Instrument output files contain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PII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under BioNexus's No PII Policy. Sample IDs are pseudonymized identifiers (e.g.,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SMP-2026-0042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), not patient names, dates of birth, or other personal data.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Equipment IDs and lab location strings may constitute organizational data about the customer, but are not personal data under GDPR.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the event a customer uploads a file that inadvertently contains personal data (e.g., a technician's name in a notes column), the Pydantic schema's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extra="forbid"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configuration will cause schema validation to fail if the field is not in the schema. If the data appears within a permitted text field (e.g.,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notes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), it would be transmitted. This risk is addressed in Section 6.4.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6.2 GDPR Compliance Assessment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Applicable Framework: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GDPR Regulation (EU) 2016/679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Controller: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The BioNexus customer (the pharmaceutical or biotech company operating the lab)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Processor: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BioNexus GmbH (or relevant legal entity)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Sub-Processor: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Anthropic (primary) and OpenAI (secondary)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Article 28 Requirements: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Article 28 requires that a Data Controller only use Data Processors that provide "sufficient guarantees" to implement appropriate technical and organizational measures, and that processing is governed by a Data Processing Agreement (DPA).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OpenAI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DPA available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Anthropic DPA available on request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OpenAI DPA available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before production use with EU customers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Sub-processor 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and maintained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and maintained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deletion on request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Supported; prompts not retained for training on API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Supported with Zero Data Retention option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configured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data residency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endpoints available (api.eu.anthropic.com region routing)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via Azure OpenAI Service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configured for EU customers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International transfer mechanism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Contractual Clauses (SCCs)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Contractual Clauses (SCCs)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SCCs must be executed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certifications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Acceptable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Transfer: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EU customers, API calls must be routed to EU-region endpoints to avoid transfers to the US without an adequate transfer mechanism.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Contractual Clauses (SCCs, Module 2 — Controller to Processor) must be executed with each AI provider.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must include Anthropic and OpenAI in its sub-processor register maintained for customer DPAs.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Retention: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Anthropic API: prompts are not used for model training and are subject to a 30-day transient retention period for safety monitoring unless a zero-retention arrangement is negotiated.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OpenAI API: prompts on the standard API are retained for up to 30 days for abuse monitoring; Zero Data Retention (ZDR) is available under an enterprise agreement.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Recommendation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Negotiate Zero Data Retention terms with both providers before EU production launch.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Data Minimization (Art. 5(1)(c)):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the text content of the file is transmitted; no tenant metadata, user identifiers, or system internals are included in the API payload.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Where possible, file content should be stripped of any free-text fields before transmission (to be evaluated per instrument type).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6.3 21 CFR Part 11 Implications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21 CFR Part 11 governs electronic records and electronic signatures in FDA-regulated environments.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Considerations: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Electronic Records Processed Externally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The raw file content (which may be an electronic record) is transmitted to an external processor. The original record (with SHA-256 hash) remains in BioNexus's immutable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RawFile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table. The AI service processes a copy, not the original. The original electronic record is never modified by the AI service.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Trail Completeness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extraction_model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 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records which AI model was used. This creates a traceable link between the AI extraction and the source file, which is sufficient for audit trail purposes. The model version used is part of the audit record.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Output Is Not an Electronic Record Until Validated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Under BioNexus's architecture,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ParsedData.parsed_json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(raw AI output) has state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is explicitly not accepted into the system until human review sets state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The human reviewer, not the AI, is the named individual responsible for the data per 21 CFR Part 11.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 Access Controls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Access to the AI provider APIs is controlled via API keys managed in environment variables, not hardcoded. Key rotation, access logging, and restriction to authorized service accounts must be implemented.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of the AI Component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An AI model is a non-deterministic system component. Section 7 addresses the GxP validation strategy for this component.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6.4 Mitigation Measures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PII inadvertently in instrument file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Pydantic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extra="forbid"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rejects unknown fields; human reviewer is the last gate; customer training on No PII Policy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transmitted to US infrastructure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EU-region API endpoint configuration; SCCs executed; DPA in place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retains prompt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Data Retention negotiated; DPA includes sub-processor obligations on data deletion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sub-processor change without notice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DPA includes requirement for advance notification of sub-processor changes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service breach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transmitted is pseudonymized and non-PII; impact assessment reflects low severity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gap for external processing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extraction_model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extracted_at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and source file hash are all recorded in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7. GxP Validation Considerations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7.1 Classification of the AI Component Under GAMP5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 GAMP5 (Good Automated Manufacturing Practice, 5th Edition), software components are classified by category: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 software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Operating systems, networks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Non-configured products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Commercial off-the-shelf software with no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Configured products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COTS software with configuration (e.g., LIMS)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software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Bespoke applications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Provider Classification: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 Claude and OpenAI GPT-4o, accessed via API, are classified as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 3 — Non-Configured Products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under GAMP5. They are commercial AI services used without modification of the underlying model. BioNexus's system prompt and schema definitions are configuration, making the integration as a whole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 4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Implications of Category 3/4 Classification: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does not validate the internal mechanics of the AI model.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validates the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output behavior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of the AI model against defined acceptance criteria.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Validation testing must demonstrate that the configured AI extraction produces acceptable output for a representative sample of instrument file types.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supplier (Anthropic or OpenAI) is assessed as a supplier under GAMP5 Section 7 (see Section 12 of this ADR).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7.2 Non-Determinism and GxP Validation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fundamental challenge of AI in GxP environments is that AI models are non-deterministic: the same input may produce slightly different output on different invocations (due to temperature sampling in the model). This is in direct tension with the GxP expectation of reproducibility.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BioNexus's resolution of this tension: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output is a proposal, not a record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The AI extraction is stored as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parsed_json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state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It is not an electronic record until a human reviews and confirms it. The non-determinism of the AI does not affect the integrity of the confirmed data because the confirmed data is the human's decision, not the AI's raw output.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Schema enforcement creates a deterministic gate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Regardless of what the AI outputs, the Pydantic validation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extra="forbid"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applies a deterministic pass/fail criterion. A validation failure is consistent and reproducible.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Temperature configuration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AI API calls should be made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temperature=0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(or the minimum available setting) to minimize stochastic variation in output. This does not eliminate non-determinism entirely but reduces it significantly for structured extraction tasks.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Accuracy testing is distributional, not individual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Rather than validating that every invocation produces identical output, validation testing verifies that extraction accuracy across a representative test set meets a defined acceptance criterion (e.g., "field-level accuracy ≥ 95% across 100 test files per instrument type").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7.3 Validation Test Strategy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Documentation Required: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BNX-AI-IQ-001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Installation Qualification — verify API connection, authentication, response format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BNX-AI-OQ-001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Operational Qualification — verify extraction accuracy against test set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BNX-AI-PQ-001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Performance Qualification — verify extraction performance under production-representative load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Set Requirements: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extraction IQ/OQ test suite must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Count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Known-good files (golden set)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 per supported instrument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Establish baseline accuracy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Edge case files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per instrument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 handling of unusual formats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Malformed/corrupt files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per instrument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graceful failure behavior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Files with no extractable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per instrument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empty result handling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Files that intentionally exceed schema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extra="forbid"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rejects hallucinated fields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Field-level extraction accuracy: &gt;= 95% on golden test set per instrument type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Schema validation pass rate on valid files: &gt;= 99%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False hallucination rate (extra fields accepted): 0% (enforced by Pydantic; this is a binary test)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Extraction latency at P95: &lt;= 30 seconds per file under normal load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7.4 Change Control for AI Model Updates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providers release updated model versions on their own schedules. A model update is a change to a validated component and must be managed through BioNexus's change control process.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Trigger for Change Control: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provider announces deprecation of a model version currently in production use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provider releases a new major model version (e.g., Claude 4, GPT-5)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Performance drift is detected (see Section 10.3)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Change Control Process for AI Model Updates: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Identify new model version and obtain change notification from provider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extraction accuracy regression test suite against new model version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Compare accuracy metrics to current production baseline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accuracy regression &gt; 2% on any instrument type, investigate before proceeding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accuracy is maintained or improved, raise a Change Control Record (CCR)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Document: old model version, new model version, test results, approval chain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extraction_model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default in settings; deploy; verify in production sample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Close CCR with production verification evidence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Model Version Pinning: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avoid uncontrolled model updates, API calls must specify the exact model version string (e.g.,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claude-sonnet-4-5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rather than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claude-sonnet-latest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). Provider-side model updates that change behavior under a pinned model ID are a provider SLA violation and must be raised with the provider.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7.5 Human-in-the-Loop as the Primary GxP Control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important GxP control for AI extraction is not technical — it is procedural: no AI-extracted data enters the batch record without explicit human authorization.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enforced architecturally: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ParsedData.state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starts as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PENDING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cannot be read by downstream services until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validate_and_confirm()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requires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validator_user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audit:validate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permission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validated_by_id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validated_at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fields are recorded in the audit trail with the validator's identity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validator can accept, modify, or reject the AI output; they are responsible for the accuracy of the confirmed data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means that in any regulatory inspection, BioNexus can demonstrate that a named, authorized individual reviewed and approved each data extraction, making the AI system's non-determinism a secondary concern from a GxP perspective.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8. Cost Analysis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analysis uses the following assumptions: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Primary provider: Claude 3.5 Sonnet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Average instrument file: 5KB text (approximately 2,000 input tokens after prompt overhead, 800 output tokens)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Total tokens per extraction: ~2,800 input tokens + ~800 output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3.5 Sonnet pricing: $3.00 / 1M input tokens, $15.00 / 1M output tokens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8.1 Per-File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per File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per File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(prompt + file content)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$0.006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(structured JSON)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$0.012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 (Claude Sonnet)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~2,800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~$0.018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GPT-4o comparison ($2.50/1M input, $10.00/1M output):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Input: ~$0.005, Output: ~$0.008, Total: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~$0.013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Claude Haiku (low-cost option, $0.25/1M input, $1.25/1M output):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Input: ~$0.0005, Output: ~$0.001, Total: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~$0.0015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8.2 Monthly Cost at Different Scales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(files/month)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Sonnet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OpenAI GPT-4o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Haiku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Self-Hosted (GCP A100)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$1.80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$1.30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$2,200 (infra fixed)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$18.00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$13.00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$1.50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$2,200 (infra fixed)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$90.00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$65.00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$7.50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$2,200 (infra fixed)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$180.00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$130.00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$2,500 (with autoscaling)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$900.00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$650.00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$75.00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$4,000–$6,000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100,000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$1,800.00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$1,300.00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$150.00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$6,000–$8,000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Self-hosted costs are dominated by infrastructure fixed costs; per-file costs decrease at high volume.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self-hosted break-even against Claude Sonnet is approximately 130,000 files/month.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Haiku is a viable option for simple, well-structured CSV files; Sonnet or Opus should be used for complex PDFs or ambiguous formats. A tiered routing strategy (simple files to Haiku, complex files to Sonnet) can reduce average per-file cost by 30–50%.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These are variable costs only; they do not include engineering time for implementation or ongoing maintenance.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8.3 Cost Governance Recommendations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Implement per-tenant monthly extraction budget limits to prevent unexpected cost spikes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token count logging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records for cost attribution and auditability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provider-level spending alerts (Anthropic and OpenAI both support this)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Evaluate Haiku/mini-tier models monthly against accuracy benchmarks; promote to primary if accuracy is acceptable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9. Fallback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9.1 Failure Modes and Responses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extraction pipeline must handle three categories of failure without blocking lab operations: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Transient API error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5xx, timeout, rate limit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with exponential backoff (up to 3 attempts, max 90 seconds total)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provider outage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Consecutive failures over 5 minutes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Automatic failover to secondary provider (OpenAI GPT-4o)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Both providers unavailable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Both primary and secondary fail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extraction request; notify reviewer; offer manual entry path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validation failure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output does not conform to schema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error to reviewer with details; file stays in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PENDING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; reviewer can trigger re-extraction or use manual entry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9.2 Extraction Queue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both AI providers are unavailable, extraction requests are placed in a persistent queue (Celery + Redis, as recommended in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PARSING_ARCHITECTURE.md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production 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Upload File → RawFile created → Queue extraction task
                                 └── On worker pickup: attempt extraction
                                     └── On provider recovery: process queue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Files in the queue are visible in the reviewer dashboard with status "Extraction Pending — Queued". Lab operations are not blocked: the file is captured and hashed immediately; only the AI extraction step is deferred.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9.3 Rule-Based Fallback for Known Formats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instrument types with fixed, documented output formats (e.g., a specific Agilent HPLC model running a fixed software version), a deterministic rule-based parser is maintained as a permanent fallback: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the rule-based parser successfully produces schema-valid output: use it directly (bypassing AI, saving cost and latency)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the rule-based parser fails (format changed, unexpected layout): escalate to AI extraction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parser used (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ai_claude_sonnet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ai_openai_gpt4o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rule_based_v2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etc.) is recorded 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extraction_model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auditability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9.4 Manual Entry Path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neither AI nor rule-based extraction is available, or when a reviewer rejects an extraction as unusable, the system must provide a manual data entry path: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Reviewer opens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RawFile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content in the UI (read-only viewer)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Reviewer manually enters values into a form backed by the same Pydantic schema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submission,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ParsingService.parse_file()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called with the manually entered dict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model_name="manual_entry"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human reviewer then immediately validates their own entry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audit trail records both the entry and the validation as separate events with the same user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path is compliant because the data still passes schema validation and receives human authorization before entering the system.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10. Monitoring and Quality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10.1 Extraction Metrics to Capture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extraction event should record the following metrics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a separate metrics store: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model name + version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ParsedData.extraction_model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control, provider audit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confidence score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ParsedData.extraction_confidence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trending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input tokens used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ParsedData.tokens_input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attribution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output tokens used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ParsedData.tokens_output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attribution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latency (ms)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ParsedData.extraction_latency_ms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monitoring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validation result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audit log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tracking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 review outcome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ParsedData.state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validation_notes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ground truth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Correction rate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Derived: confirmed_json differs from parsed_json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KPI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Rejection rate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Derived: state = REJECTED / total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KPI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10.2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Field-level accuracy (auto-accepted + corrected / total validated)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 95%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90% triggers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Correction rate (human modified AI output)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20% triggers investigation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Rejection rate (reviewer rejected extraction)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8% triggers investigation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validation failure rate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5% triggers model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P95 extraction latency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60 seconds triggers alert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 99.5%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99% in any 30-day period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extraction cost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Within budget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120% of budget triggers alert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10.3 Accuracy Drift Detection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providers update their models periodically; even under a pinned model version, subtle behavior changes can occur. Drift in extraction accuracy is detected through: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Weekly accuracy report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Automated report computing the correction rate and rejection rate for the past 7 days, segmented by instrument type. Published to the engineering and quality dashboard.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Regression on golden test set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Monthly re-execution of the OQ test suite against the production model to detect performance changes. Any drop of &gt; 2% on any instrument type triggers a root cause investigation.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Anomaly alerting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If the correction rate for any single reviewer exceeds 3x their personal baseline in a 24-hour period, trigger a review (may indicate a format change in a specific instrument's output, or a model behavior change).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10.4 Quality Dashboard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BioNexus admin dashboard should include an AI Extraction Quality panel displaying: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Rolling 30-day accuracy, correction, and rejection rates per instrument type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 availability and latency trends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Monthly cost vs. budget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Files currently in the extraction queue (if applicable)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Recent schema validation failures with error details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Change log for model version updates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11. AI Hallucination Prevention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11.1 Definition in This Context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BioNexus context, an "AI hallucination" is defined as any instance where the AI model produces output that: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Invents data fields not present in the source file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Fabricates values for fields that could not be inferred from the file content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Produces structurally invalid output (wrong data types, invalid enum values)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Creates plausible-looking but incorrect data (e.g., inventing a serial number)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11.2 Technical Safeguards (Defense in Depth)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Hallucination prevention is implemented as multiple independent layers: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1: Pydantic Schema with `extra="forbid"`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model_config = {
    "extra": "forbid",  # Any field not in schema -&gt; ValidationError
    "str_strip_whitespace": True,
    "validate_assignment": True,
}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primary technical safeguard. If the AI invents a field not in the schema (e.g.,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"warranty_expiry"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"patient_name"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"regulatory_status"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), the Pydantic validation raises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ValidationError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immediately. The extraction is flagged as schema-invalid and does not proceed to human review until re-extracted.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2: Enum Validation via Regex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equipment_type: str = Field(
    ...,
    pattern="^(centrifuge|spectrophotometer|incubator|microscope|pcr_machine|freezer|other)$",
)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cannot invent a new equipment type. Any value not in the defined enum pattern fails validation. This prevents the AI from normalizing instrument names in unexpected ways (e.g., returning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"high_performance_liquid_chromatograph"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when the schema only accepts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"other"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HPLC).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3: Date and Timestamp Format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@field_validator("purchase_date", "last_maintenance", mode="before")
def validate_dates(cls, v):
    datetime.fromisoformat(v)  # Raises ValueError for non-ISO dates</w:t>
            </w:r>
          </w:p>
        </w:tc>
      </w:tr>
    </w:tbl>
    <w:p>
      <w:pPr>
        <w:spacing w:after="10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Prevents fabricated or malformatted dates from entering the system.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4: AI Tool Use / Function Calling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invoking the Claude or OpenAI API, the request uses function calling (tool use) with a JSON Schema derived from the Pydantic models. This instructs the model at the API level to produce only schema-conformant output, reducing (but not eliminating) the likelihood of schema violations before the Pydantic gate.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5: Structured Prompt Design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prompt explicitly instructs the AI: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extract fields that are explicitly present in the source file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 not infer, calculate, or estimate values not directly stated in the file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null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fields that are not present; do not fabricate placeholder values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Include any ambiguous or uncertain fields 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extraction_warnings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rather than the data records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6: Human Review Gate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 if a hallucinated value passes all technical validation (e.g., the AI invents a valid-format serial number), the human reviewer comparing the extraction against the source file will detect the discrepancy. The human review gate is the final and definitive safeguard.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Layer 7: Known-Value Validation (Future Enhancement)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instrument types where certain field values are known in advance (e.g., all HPLC systems registered in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Equipment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table with known serial numbers), implement a post-extraction cross-reference check that flags any extracted value that does not match a known registered value. This will catch cases where the AI extracts a slightly wrong serial number with high confidence.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11.3 Hallucination Monitoring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Schema validation failure 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a proxy metric for hallucination attempts: a spike in validation failures may indicate the AI is generating more out-of-schema content, possibly due to a model behavior change.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Human correction 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tracks instances where reviewers correct AI output; a sustained high correction rate for a specific field type (e.g.,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equipment_type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 may indicate the AI is misclassifying consistently.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Hallucination incident log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Any confirmed instance where a hallucinated value passed schema validation and was caught only in human review is logged as a quality event and triggers a review of the prompt and schema.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12. Vendor Assessment Under GAMP5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12.1 Classification of AI Providers as Suppliers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 GAMP5 Section 7 (Supplier Assessment), regulated companies must assess suppliers of software that forms part of a validated computerized system. Anthropic and OpenAI are suppliers of a service component (the AI extraction API) integrated into BioNexus's validated system.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They are classified as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infrastructure software suppliers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(analogous to a cloud provider), not as software product suppliers, because: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does not receive source code or a deployable artifact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service is consumed via a standard API with documented behavior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supplier maintains the infrastructure and model; BioNexus configures usage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12.2 Supplier Assessment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 Area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Anthropic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OpenAI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Acceptable?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certifications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2 Type II, ISO 27001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GDPR DPA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must be executed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Penetration testing and security disclosure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third-party pentest; HackerOne bug bounty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third-party pentest; bug bounty program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SLA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99.5% uptime SLA (enterprise plans)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99.9% uptime SLA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handling policy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Prompts not used for training; zero-retention available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ZDR available on enterprise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must configure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Documented incident response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security incident notification clauses in DPA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stability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Well-capitalized; Series C+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Well-capitalized; significant Microsoft investment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Acceptable — monitor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versioning and deprecation policy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model lifecycle; advance deprecation notice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lifecycle; advance notice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notification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changelog; model deprecation notices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changelog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subscribe to notifications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compliance references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specific FDA track record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specific FDA track record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Acceptable given human-in-the-loop architecture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12.3 Supplier Qualification Evidence Package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AI provider used in production, the following evidence must be maintained in the BioNexus supplier qualification file: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 of executed DPA and SCCs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Provider's most recent SOC 2 Type II report (obtained under NDA if required)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Provider's security whitepaper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Confirmation of zero data retention configuration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 version in use and pinned version string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review date for supplier re-assessment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12.4 Ongoing Supplier Monitoring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Subscribe to provider status pages (status.anthropic.com, status.openai.com) for incident notifications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Subscribe to provider developer newsletters for model deprecation and terms-of-service changes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supplier re-assessment review: confirm SOC 2 renewal, review any material changes to DPA or data handling policy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material change to provider data handling terms triggers an immediate re-assessment and potential re-evaluation of the provider decision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13. Consequences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13.1 What This Decision Enables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Scalable instrument onboarding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New instrument types can be supported by updating extraction prompts and schema definitions rather than building new code parsers. This is BioNexus's key competitive differentiator.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Reduced manual data entry burden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Lab technicians spend time on review rather than transcription. Estimated 80% reduction in data entry time per file for supported instrument types.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Compliance-by-design audit trail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Every extraction is attributed, timestamped, and linked to an immutable source file hash. This evidence package is suitable for 21 CFR Part 11 and EU Annex 11 inspection readiness.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Flexible provider architecture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BaseExtractionClient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abstraction allows BioNexus to switch, add, or compare AI providers without changing the core parsing pipeline.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 predictability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Per-file token costs are predictable and can be attributed to specific tenants and instrument types.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13.2 Risks That Remain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increases pricing materially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— affects unit economics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Hybrid architecture allows rapid provider switch; rule-based fallback for high-volume simple files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deprecates model version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(certainty over 12–18 months)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— managed via change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version pinning; change control process; regression test suite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provider suffers a significant data breach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— instrument data is non-PII but customer-confidential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DPA, ZDR, EU endpoints reduce impact; incident response plan required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guidance explicitly prohibits external AI processing of GxP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(no current indication)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Human-in-the-loop architecture provides strong defense; monitor FDA and EMA guidance actively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accuracy insufficient for complex instrument types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testing in OQ; instrument-type-specific escalation to Opus/GPT-4o; human review catches residual errors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terms-of-service change unfavorably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Low-Medium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DPA review; hybrid architecture limits lock-in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objects to cloud AI processing of their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Low-Medium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Configurable provider architecture; rule-based or self-hosted option can be offered as a premium tier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13.3 Architecture Changes Required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implement this decision, the following changes are required to the current codebase: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bionexus-platform/backend/core/ai_extraction/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package with: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base_client.py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BaseExtractionClient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abstract interface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claude_client.py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Anthropic Claude implementation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openai_client.py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OpenAI GPT-4o implementation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rule_based_client.py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Deterministic template parser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orchestrator.py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Provider selection, retry, and failover logic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Extend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model with: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tokens_input: IntegerField(null=True)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for cost attribution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tokens_output: IntegerField(null=True)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for cost attribution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extraction_latency_ms: IntegerField(null=True)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for SLA monitoring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Django settings: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EXTRACTION_PRIMARY_PROVIDER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EXTRACTION_FALLBACK_PROVIDER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EXTRACTION_TIMEOUT_SECONDS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EXTRACTION_MAX_RETRIES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ANTHROPIC_API_KEY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(from environment variable)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OPENAI_API_KEY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(from environment variable)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Extend extraction queue: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Celery task: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tasks/extraction_task.py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Queue configuration 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settings.py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Update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ParsingService.parse_file()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 call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AIExtractionOrchestrator.extract()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internally rather than accepting pre-computed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ai_extracted_data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as a parameter (or provide both calling conventions for backward compatibility with tests).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docs/AI_EXTRACTION_QUALITY_RUNBOOK.md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documenting: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How to run the regression test suite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How to process a model change control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How to investigate accuracy drift alerts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How to execute provider failover manually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14. Review Triggers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ADR should be formally reviewed and updated when any of the following events occur: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major new model release from Anthropic or OpenAI (e.g., Claude 4, GPT-5)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 regression test suite against new model; update recommended primary provider if materially better; raise Change Control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Either provider changes pricing by more than 30%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Re-run cost analysis; evaluate whether provider hierarchy should change; evaluate rule-based fallback expansion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Either provider changes DPA terms materially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Legal review of new terms; re-assess GDPR compliance posture; consider provider switch if terms are unacceptable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FDA or EMA issues specific guidance on AI/ML in GxP data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Assess guidance against current architecture; update validation strategy and compliance documentation accordingly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extraction volume exceeds 50,000 files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Re-evaluate self-hosted option (Option C) against cloud costs; assess whether rule-based fallback scope should be expanded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 accuracy KPI falls below 90% on any instrument type for two consecutive weeks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Immediate investigation; potential model change or prompt engineering update; raise as a quality event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significant security incident at either AI provider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Assess impact; review ZDR configuration; consider temporary provider suspension if data handling is in question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acquires a customer with explicit on-premises or air-gapped requirements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Evaluate Option C (self-hosted) or a hybrid cloud/on-premises deployment; may require this ADR to be superseded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review (no specific trigger)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all sections for continued accuracy; re-assess supplier qualification evidence; confirm DPAs are current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Prepared by: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BioNexus Engineering &amp; Regulatory Team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 Partner: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GMP4U (Johannes Eberhardt) — CSV/Qualification Specialist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Next Formal Review: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2027-02-28 (annual) or upon trigger event, whichever is earlier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an Architecture Decision Record. It captures the context, options evaluated, rationale, and consequences of a significant architectural decision. It does not supersede the System Validation Plan (BNX-VAL-001) or the GxP Compliance Master Document (BNX-COMP-001), both of which must be updated to reflect the implemented architecture upon completion of implementation.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BNX-ADR-001  ·  Proposed  ·  2026-02-28</w:t>
      </w:r>
    </w:p>
    <w:p>
      <w:pPr>
        <w:spacing w:before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© 2026 BioNexus GmbH — All rights reserved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BNX-ADR-001  ·  Confidential  ·  BioNexus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Architecture Decision Record: AI Extraction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</w:pPr>
    <w:rPr>
      <w:rFonts w:ascii="Arial" w:cs="Arial" w:eastAsia="Arial" w:hAnsi="Arial"/>
      <w:b/>
      <w:bCs/>
      <w:color w:val="2B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3B6EA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i/>
      <w:iCs/>
      <w:color w:val="2B4A7A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2026-03-05T18:15:17.402Z</dcterms:created>
  <dcterms:modified xsi:type="dcterms:W3CDTF">2026-03-05T18:15:17.403Z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