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Calibri" w:hAnsi="Calibri"/>
          <w:b/>
          <w:color w:val="70AB56"/>
          <w:sz w:val="17"/>
        </w:rPr>
        <w:t>GUIA DE REFERÊNCIA DE MARCA</w:t>
      </w:r>
    </w:p>
    <w:p>
      <w:pPr>
        <w:spacing w:after="640"/>
        <w:jc w:val="left"/>
      </w:pPr>
      <w:r/>
    </w:p>
    <w:p>
      <w:pPr>
        <w:spacing w:before="200" w:after="160"/>
      </w:pPr>
      <w:r>
        <w:rPr>
          <w:rFonts w:ascii="Calibri" w:hAnsi="Calibri"/>
          <w:b/>
          <w:color w:val="2B2E35"/>
          <w:sz w:val="60"/>
        </w:rPr>
        <w:t>BZS Tecnologia</w:t>
      </w:r>
    </w:p>
    <w:p>
      <w:pPr>
        <w:spacing w:after="520"/>
      </w:pPr>
      <w:r>
        <w:rPr>
          <w:rFonts w:ascii="Calibri" w:hAnsi="Calibri"/>
          <w:color w:val="4A4B4D"/>
          <w:sz w:val="30"/>
        </w:rPr>
        <w:t>Arquivo de identidade visual e diretrizes de aplicação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EAF6"/>
          <w:left w:val="single" w:sz="8" w:space="0" w:color="D4EAF6"/>
          <w:bottom w:val="single" w:sz="8" w:space="0" w:color="D4EAF6"/>
          <w:right w:val="single" w:sz="8" w:space="0" w:color="D4EAF6"/>
          <w:insideH w:val="single" w:sz="8" w:space="0" w:color="D4EAF6"/>
          <w:insideV w:val="single" w:sz="8" w:space="0" w:color="D4EAF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AF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A6DF"/>
                <w:sz w:val="21"/>
              </w:rPr>
              <w:t>Escopo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4A4B4D"/>
                <w:sz w:val="19"/>
              </w:rPr>
              <w:t>Documento editável criado a partir da análise do site público da BZS Tecnologia. Ele organiza a identidade percebida, tokens visuais, padrões digitais, voz de marca e recomendações para padronização futura.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DE4EA"/>
          <w:left w:val="single" w:sz="8" w:space="0" w:color="DDE4EA"/>
          <w:bottom w:val="single" w:sz="8" w:space="0" w:color="DDE4EA"/>
          <w:right w:val="single" w:sz="8" w:space="0" w:color="DDE4EA"/>
          <w:insideH w:val="single" w:sz="8" w:space="0" w:color="DDE4EA"/>
          <w:insideV w:val="single" w:sz="8" w:space="0" w:color="DDE4EA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9"/>
              </w:rPr>
              <w:t>Marca analisada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BZS Tecnologia</w:t>
            </w:r>
          </w:p>
        </w:tc>
        <w:trPr>
          <w:tblHeader/>
        </w:trPr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9"/>
              </w:rPr>
              <w:t>Fonte principal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www.bzs.com.br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9"/>
              </w:rPr>
              <w:t>Data de acesso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02/07/2026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9"/>
              </w:rPr>
              <w:t>Status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Versão de análise; não substitui um manual oficial da marca.</w:t>
            </w:r>
          </w:p>
        </w:tc>
      </w:tr>
    </w:tbl>
    <w:p>
      <w:pPr>
        <w:spacing w:before="0" w:after="200" w:line="283" w:lineRule="auto"/>
      </w:pPr>
    </w:p>
    <w:p>
      <w:pPr>
        <w:spacing w:before="80" w:after="80"/>
        <w:jc w:val="center"/>
      </w:pPr>
      <w:r/>
    </w:p>
    <w:p>
      <w:pPr>
        <w:spacing w:after="200"/>
        <w:jc w:val="center"/>
      </w:pPr>
      <w:r>
        <w:rPr>
          <w:rFonts w:ascii="Calibri" w:hAnsi="Calibri"/>
          <w:i/>
          <w:color w:val="777777"/>
          <w:sz w:val="17"/>
        </w:rPr>
        <w:t>Referência visual da home desktop capturada para análise.</w:t>
      </w:r>
    </w:p>
    <w:p>
      <w:r/>
    </w:p>
    <w:p>
      <w:pPr>
        <w:pStyle w:val="Heading1"/>
      </w:pPr>
      <w:r>
        <w:t>Sumário executivo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4A4B4D"/>
          <w:sz w:val="21"/>
        </w:rPr>
        <w:t>A identidade digital observada combina tecnologia acessível, serviço público, solidez operacional e impacto social. A marca institucional usa uma base clara, azul vivo e grafite; as soluções adicionam códigos cromáticos próprios, principalmente verde para reciclagem, amarelo/azul/laranja para água e gás, amarelo para transporte escolar e laranja para bibliotecas.</w:t>
      </w:r>
    </w:p>
    <w:p>
      <w:pPr>
        <w:pStyle w:val="Heading2"/>
      </w:pPr>
      <w:r>
        <w:t>Como usar este arquivo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Use a Seção 1 para alinhar posicionamento e atributos de marca.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Use as Seções 2 a 5 para aplicar logo, cores, tipografia, imagens e componentes digitais.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Use as Seções 6 e 7 para orientar conteúdo, subprodutos e peças de comunicação.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Use a Seção 8 como checklist de melhoria e governanca visual.</w:t>
      </w:r>
    </w:p>
    <w:p>
      <w:pPr>
        <w:pStyle w:val="Heading2"/>
      </w:pPr>
      <w:r>
        <w:t>Mapa do documento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9"/>
              </w:rPr>
              <w:t>1. Diagnóstico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Essencia, atributos, público e arquitetura de oferta.</w:t>
            </w:r>
          </w:p>
        </w:tc>
        <w:trPr>
          <w:tblHeader/>
        </w:trPr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9"/>
              </w:rPr>
              <w:t>2. Marca e logotipo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Leitura do logo, uso recomendado, sublogos e proteção.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9"/>
              </w:rPr>
              <w:t>3. Paleta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Cores institucionais, de produto e regras de proporção.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9"/>
              </w:rPr>
              <w:t>4. Tipografia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Poppins no site, escala de títulos e recomendações.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9"/>
              </w:rPr>
              <w:t>5. Linguagem gráfica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Ilustracoes, ícones, cards, botões e layout.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9"/>
              </w:rPr>
              <w:t>6. Voz e mensagem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Tom, pilares verbais, CTAs e formulas de texto.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9"/>
              </w:rPr>
              <w:t>7. Aplicações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Site, redes sociais, propostas, apresentacoes e materiais impressos.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9"/>
              </w:rPr>
              <w:t>8. Recomendacoes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Ajustes de consistencia, acessibilidade e próximos passos.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9"/>
              </w:rPr>
              <w:t>9. Fontes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9"/>
              </w:rPr>
              <w:t>URLs, ativos analisados e observacoes de metodologia.</w:t>
            </w:r>
          </w:p>
        </w:tc>
      </w:tr>
    </w:tbl>
    <w:p>
      <w:r/>
    </w:p>
    <w:p>
      <w:pPr>
        <w:pStyle w:val="Heading1"/>
      </w:pPr>
      <w:r>
        <w:t>1. Diagnóstico da marca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EAF6"/>
          <w:left w:val="single" w:sz="8" w:space="0" w:color="D4EAF6"/>
          <w:bottom w:val="single" w:sz="8" w:space="0" w:color="D4EAF6"/>
          <w:right w:val="single" w:sz="8" w:space="0" w:color="D4EAF6"/>
          <w:insideH w:val="single" w:sz="8" w:space="0" w:color="D4EAF6"/>
          <w:insideV w:val="single" w:sz="8" w:space="0" w:color="D4EAF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8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A6DF"/>
                <w:sz w:val="21"/>
              </w:rPr>
              <w:t>Sintese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4A4B4D"/>
                <w:sz w:val="19"/>
              </w:rPr>
              <w:t>A BZS comunica uma tecnologia de gestao com linguagem amigavel, voltada a eficiência, segurança, praticidade e melhoria da administracao municipal. O discurso institucional mistura software, nuvem, serviço público e impacto positivo.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</w:pPr>
      <w:r>
        <w:t>O que o site comunica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1900"/>
        <w:gridCol w:w="3520"/>
        <w:gridCol w:w="394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Pilar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 no site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Diretriz de identidade</w:t>
            </w:r>
          </w:p>
        </w:tc>
        <w:trPr>
          <w:tblHeader/>
        </w:trPr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Tecnologia simples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Termos como praticidade, segurança, otimização e interface simples.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Priorizar clareza, telas limpas, CTAs diretos e explicacoes sem excesso técnico.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Gestao pública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Soluções para município, transporte escolar, bibliotecas e planejamento municipal.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Usar linguagem responsável, institucional e orientada a resultado coletivo.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Nuvem e mobilidade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Servidor em nuvem, acesso de qualquer lugar e uso mobile aparecem em destaque.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Valorizar ícones de nuvem, dispositivos, fluxo de dados e acessibilidade remota.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Impacto social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BZS Recicle fala de dignidade, oportunidade, meio ambiente e cooperativas.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Permitir tom mais humano nas soluções com benefício social claro.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Eficiência operacional</w:t>
            </w:r>
          </w:p>
        </w:tc>
        <w:tc>
          <w:tcPr>
            <w:tcW w:type="dxa" w:w="3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Controle de estoque, relatórios, financeiro, rotas, acervo e inadimplência.</w:t>
            </w:r>
          </w:p>
        </w:tc>
        <w:tc>
          <w:tcPr>
            <w:tcW w:type="dxa" w:w="3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Mostrar processo, automação, rastreabilidade e organizacao em diagramas simples.</w:t>
            </w:r>
          </w:p>
        </w:tc>
      </w:tr>
    </w:tbl>
    <w:p>
      <w:pPr>
        <w:pStyle w:val="Heading2"/>
      </w:pPr>
      <w:r>
        <w:t>Atributos centrais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Proxima e didática: explica benefícios sem parecer distante.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Tecnica, mas acessível: usa termos de gestao, nuvem e segurança em contexto prático.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Municipalista: fala com prefeituras, setores públicos e operadores de serviços locais.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Modular: a marca mãe convive com produtos que possuem cor e personalidade próprias.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Otimista: usa ilustração, cores vivas e promessas de simplificacao.</w:t>
      </w:r>
    </w:p>
    <w:p>
      <w:pPr>
        <w:pStyle w:val="Heading2"/>
      </w:pPr>
      <w:r>
        <w:t>Publicos prioritarios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8"/>
              </w:rPr>
              <w:t>Gestores municipais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Secretarias, prefeitos, coordenadores de transporte, agricultura, educacao e bibliotecas.</w:t>
            </w:r>
          </w:p>
        </w:tc>
        <w:trPr>
          <w:tblHeader/>
        </w:trPr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8"/>
              </w:rPr>
              <w:t>Cooperativas e associacoes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Organizacoes de reciclagem que precisam profissionalizar gestao, estoque, vendas e financeiro.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8"/>
              </w:rPr>
              <w:t>Empresas de medição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Operadores de água e gás em condominios que buscam automação e redução de erros.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8"/>
              </w:rPr>
              <w:t>Cidadãos impactados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Usuários finais beneficiados por serviços públicos mais organizados, transparentes e acessíveis.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8"/>
              </w:rPr>
              <w:t>Parceiros e fornecedores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Instituições que precisam reconhecer a BZS como empresa confiável e madura.</w:t>
            </w:r>
          </w:p>
        </w:tc>
      </w:tr>
    </w:tbl>
    <w:p>
      <w:r/>
    </w:p>
    <w:p>
      <w:pPr>
        <w:pStyle w:val="Heading1"/>
      </w:pPr>
      <w:r>
        <w:t>2. Marca, logotipo e arquitetura</w:t>
      </w:r>
    </w:p>
    <w:p>
      <w:pPr>
        <w:pStyle w:val="Heading2"/>
      </w:pPr>
      <w:r>
        <w:t>Logotipo institucional</w:t>
      </w:r>
    </w:p>
    <w:p>
      <w:pPr>
        <w:spacing w:before="80" w:after="80"/>
        <w:jc w:val="center"/>
      </w:pPr>
      <w:r/>
    </w:p>
    <w:p>
      <w:pPr>
        <w:spacing w:after="200"/>
        <w:jc w:val="center"/>
      </w:pPr>
      <w:r>
        <w:rPr>
          <w:rFonts w:ascii="Calibri" w:hAnsi="Calibri"/>
          <w:i/>
          <w:color w:val="777777"/>
          <w:sz w:val="17"/>
        </w:rPr>
        <w:t>Logotipo institucional usado no cabeçalho do site.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4A4B4D"/>
          <w:sz w:val="20"/>
        </w:rPr>
        <w:t>A assinatura combina um símbolo de nuvem em um bloco azul arredondado com o lettering BZS em grafite e o descritor TECNOLOGIA. A nuvem reforça computação em nuvem, disponibilidade e serviço digital; o grafite traz estabilidade; o azul transmite tecnologia e confiança.</w:t>
      </w:r>
    </w:p>
    <w:p>
      <w:pPr>
        <w:pStyle w:val="Heading2"/>
      </w:pPr>
      <w:r>
        <w:t>Uso recomendado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Preservar o conjunto símbolo + BZS + TECNOLOGIA quando a marca precisar ser reconhecida por novos públicos.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Usar a versão branca apenas em fundos azuis ou escuros com contraste suficiente.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Manter respiro mínimo equivalente a altura do bloco azul ao redor da assinatura.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Evitar aplicar o logo sobre fundos fotografados ou ilustrações densas sem uma área branca ou azul limpa.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Em layouts pequenos, priorizar a assinatura horizontal; se houver uma versão reduzida oficial, documenta-la separadamente.</w:t>
      </w:r>
    </w:p>
    <w:p>
      <w:pPr>
        <w:pStyle w:val="Heading2"/>
      </w:pPr>
      <w:r>
        <w:t>Arquitetura de marca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Funcao</w:t>
            </w:r>
          </w:p>
        </w:tc>
        <w:trPr>
          <w:tblHeader/>
        </w:trPr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Marca mãe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BZS Tecnologia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Garantir confiança, origem e reputacao em todos os materiais.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Produto verde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BZS Recicle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Conectar tecnologia, cooperativas, reciclagem e impacto social.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Produto municipal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Selfie Tecnologia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Comunicar diagnóstico amplo e autorretrato do município.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Produto operacional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Controle Agua e Gas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Sinalizar automação, leitura, faturamento e gestao condominial.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Produtos setoriais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Transporte Escolar e Bibliotecas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Apoiar frentes especificas de gestao pública com códigos cromáticos próprios.</w:t>
            </w:r>
          </w:p>
        </w:tc>
      </w:tr>
    </w:tbl>
    <w:p>
      <w:pPr>
        <w:pStyle w:val="Heading2"/>
      </w:pPr>
      <w:r>
        <w:t>Submarcas observadas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</w:p>
        </w:tc>
        <w:trPr>
          <w:tblHeader/>
        </w:trPr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A4B4D"/>
                <w:sz w:val="16"/>
              </w:rPr>
              <w:t>BZS Recicle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A4B4D"/>
                <w:sz w:val="16"/>
              </w:rPr>
              <w:t>Selfie Tecnologia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A4B4D"/>
                <w:sz w:val="16"/>
              </w:rPr>
              <w:t>Controle Agua e Gas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A4B4D"/>
                <w:sz w:val="16"/>
              </w:rPr>
              <w:t>Transporte Escolar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4A4B4D"/>
                <w:sz w:val="16"/>
              </w:rPr>
              <w:t>Biblioteca</w:t>
            </w:r>
          </w:p>
        </w:tc>
      </w:tr>
    </w:tbl>
    <w:p>
      <w:pPr>
        <w:spacing w:before="0" w:after="120" w:line="283" w:lineRule="auto"/>
      </w:pPr>
      <w:r>
        <w:rPr>
          <w:rFonts w:ascii="Calibri" w:hAnsi="Calibri"/>
          <w:b w:val="0"/>
          <w:i/>
          <w:color w:val="666666"/>
          <w:sz w:val="19"/>
        </w:rPr>
        <w:t>Diretriz: tratar as submarcas como extensões da BZS. Em peças institucionais, a marca mãe deve aparecer no topo ou rodapé; em peças de produto, o sublogo pode liderar, mas a chancela BZS Tecnologia deve permanecer visível.</w:t>
      </w:r>
    </w:p>
    <w:p>
      <w:r/>
    </w:p>
    <w:p>
      <w:pPr>
        <w:pStyle w:val="Heading1"/>
      </w:pPr>
      <w:r>
        <w:t>3. Sistema cromático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EAF6"/>
          <w:left w:val="single" w:sz="8" w:space="0" w:color="D4EAF6"/>
          <w:bottom w:val="single" w:sz="8" w:space="0" w:color="D4EAF6"/>
          <w:right w:val="single" w:sz="8" w:space="0" w:color="D4EAF6"/>
          <w:insideH w:val="single" w:sz="8" w:space="0" w:color="D4EAF6"/>
          <w:insideV w:val="single" w:sz="8" w:space="0" w:color="D4EAF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AF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A6DF"/>
                <w:sz w:val="21"/>
              </w:rPr>
              <w:t>Leitura da paleta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4A4B4D"/>
                <w:sz w:val="19"/>
              </w:rPr>
              <w:t>O site usa azul institucional como eixo de tecnologia e confiança, grafite para texto e uma família de cores por solução. A paleta abaixo combina cores declaradas no CSS e cores extraidas dos ativos visuais públicos.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</w:pPr>
      <w:r>
        <w:t>Paleta institucional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1200"/>
        <w:gridCol w:w="1900"/>
        <w:gridCol w:w="1800"/>
        <w:gridCol w:w="4460"/>
      </w:tblGrid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Amostra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HEX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 recomendado</w:t>
            </w:r>
          </w:p>
        </w:tc>
        <w:trPr>
          <w:tblHeader/>
        </w:trPr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Azul BZS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#2AA6DF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Primaria: Links, rodapé, botões cheios, títulos internos e ícones institucionais.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Grafite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#4A4B4D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Texto forte: Navegacao, títulos da home, textos de apoio e elementos neutros.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E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Grafite profundo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#2B2E35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Contraste: Titulos hero, contornos de dispositivos e texto sobre fundos claros.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Branco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#FFFFFF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Base: Fundo principal, cards, áreas de respiro e versoes negativas.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1F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Cinza claro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#F1F1F1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Superficie: Bordas, divisores, fundos neutros e elementos de interface secundários.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CCCCCC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Cinza medio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#CCCCCC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Linha: Breadcrumbs, divisores e estrutura de formularios.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</w:pPr>
      <w:r>
        <w:t>Paleta de produtos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1200"/>
        <w:gridCol w:w="1900"/>
        <w:gridCol w:w="1800"/>
        <w:gridCol w:w="4460"/>
      </w:tblGrid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Amostra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HEX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 recomendado</w:t>
            </w:r>
          </w:p>
        </w:tc>
        <w:trPr>
          <w:tblHeader/>
        </w:trPr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70AB5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Recicle verde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#70AB56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BZS Recicle: Hero, fundos de seção, sinalizacao ambiental e sustentabilidade.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86A7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Recicle verde logo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#86A750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BZS Recicle: Simbolo de reciclagem e variantes de apoio.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0984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Selfie verde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#409848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Selfie: Codigo de produto voltado ao diagnóstico municipal.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30A8E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Controle azul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#30A8E0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Agua e Gas: Agua, tecnologia, dados e operação.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D0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Controle amarelo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#F8D000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Agua e Gas: Gas, energia e destaque visual do produto.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581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Controle laranja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#E95818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Agua e Gas: Acentos, alertas suaves e ilustração.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B8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Transporte amarelo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#E8B800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Transporte Escolar: Setor escolar, sinalizacao e movimento.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883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Biblioteca laranja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#F88830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Biblioteca: Conhecimento, calor e destaque setorial.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28C7E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FFFFFF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WhatsApp verde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#128C7E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Contato rápido: Usar apenas para canal WhatsApp, não como cor institucional.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</w:pPr>
      <w:r>
        <w:t>Proporcao recomendada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1900"/>
        <w:gridCol w:w="2500"/>
        <w:gridCol w:w="49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Proporcao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  <w:trPr>
          <w:tblHeader/>
        </w:trPr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Base branca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55-70%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Fundos limpos, área de leitura e interface administrativa.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Grafite/cinza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15-25%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Texto, hierarquia, cards, sombras e contornos.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Azul BZS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10-20%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Marca, chamadas, navegação, botões primarios e áreas institucionais.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Cor de produto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5-15%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Apenas quando a comunicação for de uma solução especifica.</w:t>
            </w:r>
          </w:p>
        </w:tc>
      </w:tr>
    </w:tbl>
    <w:p>
      <w:pPr>
        <w:pStyle w:val="Heading2"/>
      </w:pPr>
      <w:r>
        <w:t>Boas práticas de contraste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Usar texto grafite ou branco em botões e fundos coloridos, sempre testando legibilidade.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Evitar textos longos em verde Recicle ou amarelo Controle; reservar essas cores para blocos, ícones e destaques.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Em documentos oficiais, usar azul BZS para títulos e barras, com corpo em grafite.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Não misturar todas as cores de produto em uma mesma peça, a menos que seja uma vitrine de portfólio.</w:t>
      </w:r>
    </w:p>
    <w:p>
      <w:r/>
    </w:p>
    <w:p>
      <w:pPr>
        <w:pStyle w:val="Heading1"/>
      </w:pPr>
      <w:r>
        <w:t>4. Tipografia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EAF6"/>
          <w:left w:val="single" w:sz="8" w:space="0" w:color="D4EAF6"/>
          <w:bottom w:val="single" w:sz="8" w:space="0" w:color="D4EAF6"/>
          <w:right w:val="single" w:sz="8" w:space="0" w:color="D4EAF6"/>
          <w:insideH w:val="single" w:sz="8" w:space="0" w:color="D4EAF6"/>
          <w:insideV w:val="single" w:sz="8" w:space="0" w:color="D4EAF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AF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A6DF"/>
                <w:sz w:val="21"/>
              </w:rPr>
              <w:t>Fonte observada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4A4B4D"/>
                <w:sz w:val="19"/>
              </w:rPr>
              <w:t>O site carrega Poppins via Google Fonts com pesos 200, 400 e 800. O CSS também usa pesos fortes como 900 em botões e labels, provavelmente renderizados pelo navegador por apróximacao.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</w:pPr>
      <w:r>
        <w:t>Familia primária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100"/>
        <w:gridCol w:w="2200"/>
        <w:gridCol w:w="50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Diretriz</w:t>
            </w:r>
          </w:p>
        </w:tc>
        <w:trPr>
          <w:tblHeader/>
        </w:trPr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Titulos hero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Poppins 800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Usar frases curtas, alto impacto e boa quebra de linha.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Subtítulos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Poppins 400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Apoiar a promessa sem competir com o título principal.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Corpo digital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Poppins 400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Manter entre 16 e 18 px no site, com linha generosa.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Notas e menus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Poppins 400/200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Usar 14 px ou mais em navegação; evitar pesos leves em texto pequeno.</w:t>
            </w:r>
          </w:p>
        </w:tc>
      </w:tr>
    </w:tbl>
    <w:p>
      <w:pPr>
        <w:pStyle w:val="Heading2"/>
      </w:pPr>
      <w:r>
        <w:t>Escala digital observada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800"/>
        <w:gridCol w:w="2100"/>
        <w:gridCol w:w="4460"/>
      </w:tblGrid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Tamanho observado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  <w:trPr>
          <w:tblHeader/>
        </w:trPr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Header de navegação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14 px / 21 px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Peso 400, grafite, espaçamento amplo entre itens.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Titulos de recurso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40 px / 48 px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Peso 800, grafite, duas linhas máximo quando possível.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Hero de produto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32 px / 38.4 px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Peso 800, grafite, ao lado de logotipo/ilustração.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Conteúdo institucional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18 px / 30 px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Texto justificado em algumas internas; revisar para leitura responsiva.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Botao primario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20-28 px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Peso 800/900, raio 30 px, texto curto e imperativo.</w:t>
            </w:r>
          </w:p>
        </w:tc>
      </w:tr>
    </w:tbl>
    <w:p>
      <w:pPr>
        <w:pStyle w:val="Heading2"/>
      </w:pPr>
      <w:r>
        <w:t>Recomendacoes editoriais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Definir Poppins como fonte de marca para peças digitais e comerciais; usar Calibri/Aptos apenas em documentos editaveis quando Poppins não estiver instalada.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Reservar peso 800 para títulos, cards e botões; evitar todos os textos em negrito para preservar hierarquia.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Preferir títulos com uma promessa concreta: acao + benefício + público.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Em materiais oficiais, usar corpo 10.5-11 pt e títulos 16-24 pt, mantendo azul BZS nos headings.</w:t>
      </w:r>
    </w:p>
    <w:p>
      <w:r/>
    </w:p>
    <w:p>
      <w:pPr>
        <w:pStyle w:val="Heading1"/>
      </w:pPr>
      <w:r>
        <w:t>5. Linguagem gráfica e interface</w:t>
      </w:r>
    </w:p>
    <w:p>
      <w:pPr>
        <w:pStyle w:val="Heading2"/>
      </w:pPr>
      <w:r>
        <w:t>Hero e narrativa visual</w:t>
      </w:r>
    </w:p>
    <w:p>
      <w:pPr>
        <w:spacing w:before="80" w:after="80"/>
        <w:jc w:val="center"/>
      </w:pPr>
      <w:r/>
    </w:p>
    <w:p>
      <w:pPr>
        <w:spacing w:after="200"/>
        <w:jc w:val="center"/>
      </w:pPr>
      <w:r>
        <w:rPr>
          <w:rFonts w:ascii="Calibri" w:hAnsi="Calibri"/>
          <w:i/>
          <w:color w:val="777777"/>
          <w:sz w:val="17"/>
        </w:rPr>
        <w:t>Hero de produto: logotipo grande, benefício objetivo e ilustração técnica.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4A4B4D"/>
          <w:sz w:val="20"/>
        </w:rPr>
        <w:t>A home e as páginas de produto usam uma composicao de alto respiro, com textos grandes a esquerda e ilustrações vetoriais a direita. O padrão comunica software de forma mais humana do que técnica: pessoas, celulares, nuvem, ícones de processo e fundos brancos.</w:t>
      </w:r>
    </w:p>
    <w:p>
      <w:pPr>
        <w:pStyle w:val="Heading2"/>
      </w:pPr>
      <w:r>
        <w:t>Componentes observados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300"/>
        <w:gridCol w:w="2600"/>
        <w:gridCol w:w="44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Token observado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Diretriz</w:t>
            </w:r>
          </w:p>
        </w:tc>
        <w:trPr>
          <w:tblHeader/>
        </w:trPr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Cards de solução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300 px, raio 15 px, sombra 0 0 20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Usar como vitrines de produto, com logo, descrição curta e CTA.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Botões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Raio 30 px; peso 800/900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Preferir verbos simples: Saiba Mais, Acessar Sistema, Fale Conosco.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Header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Logo a esquerda, menu horizontal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Manter navegação enxuta e grande área branca.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Footer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Fundo azul BZS, logo branco, links brancos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Usar como bloco institucional padrão em landing pages.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WhatsApp fixo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Verde #128C7E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Manter como canal de acao rapida, separado da paleta principal.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Menu mobile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Botao contornado azul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Garantir área de toque minima e contraste no ícone hamburguer.</w:t>
            </w:r>
          </w:p>
        </w:tc>
      </w:tr>
    </w:tbl>
    <w:p>
      <w:pPr>
        <w:pStyle w:val="Heading2"/>
      </w:pPr>
      <w:r>
        <w:t>Mobile</w:t>
      </w:r>
    </w:p>
    <w:p>
      <w:pPr>
        <w:spacing w:before="80" w:after="80"/>
        <w:jc w:val="center"/>
      </w:pPr>
      <w:r/>
    </w:p>
    <w:p>
      <w:pPr>
        <w:spacing w:after="200"/>
        <w:jc w:val="center"/>
      </w:pPr>
      <w:r>
        <w:rPr>
          <w:rFonts w:ascii="Calibri" w:hAnsi="Calibri"/>
          <w:i/>
          <w:color w:val="777777"/>
          <w:sz w:val="17"/>
        </w:rPr>
        <w:t>Home em viewport mobile: menu hamburguer e cards em uma coluna.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Manter card em coluna unica no mobile, com CTA grande e centralizado.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Reduzir hero para evitar sobreposicao entre título, ilustração e setas do carrossel.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Garantir que o botao de menu tenha contraste e área de clique confortavel.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Evitar que setas do carrossel cubram texto do hero em telas estreitas.</w:t>
      </w:r>
    </w:p>
    <w:p>
      <w:pPr>
        <w:pStyle w:val="Heading2"/>
      </w:pPr>
      <w:r>
        <w:t>Ilustracao e iconografia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Usar vetores flat, contornos limpos, pessoas em escala humana e dispositivos digitais.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Repetir motivos de nuvem, celular, relatórios, mapa, estoque, segurança e fluxos de dados.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Evitar fotografias genéricas quando uma ilustração de processo explicar melhor o software.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Usar cor de produto no plano dominante e azul BZS apenas como assinatura institucional.</w:t>
      </w:r>
    </w:p>
    <w:p>
      <w:r/>
    </w:p>
    <w:p>
      <w:pPr>
        <w:pStyle w:val="Heading1"/>
      </w:pPr>
      <w:r>
        <w:t>6. Voz, mensagem e copy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EAF6"/>
          <w:left w:val="single" w:sz="8" w:space="0" w:color="D4EAF6"/>
          <w:bottom w:val="single" w:sz="8" w:space="0" w:color="D4EAF6"/>
          <w:right w:val="single" w:sz="8" w:space="0" w:color="D4EAF6"/>
          <w:insideH w:val="single" w:sz="8" w:space="0" w:color="D4EAF6"/>
          <w:insideV w:val="single" w:sz="8" w:space="0" w:color="D4EAF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AF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A6DF"/>
                <w:sz w:val="21"/>
              </w:rPr>
              <w:t>Territorio verbal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4A4B4D"/>
                <w:sz w:val="19"/>
              </w:rPr>
              <w:t>A BZS deve soar como uma parceira técnica que simplifica processos públicos e operacionais. O tom ideal e claro, confiante, prático e orientado a benefício mensurável.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</w:pPr>
      <w:r>
        <w:t>Pilares de mensagem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100"/>
        <w:gridCol w:w="3400"/>
        <w:gridCol w:w="38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Pilar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Promessa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Exemplos de linguagem</w:t>
            </w:r>
          </w:p>
        </w:tc>
        <w:trPr>
          <w:tblHeader/>
        </w:trPr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Simplificacao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Tirar complexidade da rotina de gestao.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Simplifique sua operação. Diga adeus aos processos manuais.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Seguranca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Dados, acesso e tomada de decisão com confiança.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Controle seguro, informações centralizadas e rastreabilidade.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Agilidade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Reduzir tempo e retrabalho.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Automatize etapas, consulte dados e gere relatórios com rapidez.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Impacto público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Melhorar serviços municipais e vida das pessoas.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Tecnologia para municípios mais organizados e transparentes.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Nuvem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Acesso de qualquer lugar e em qualquer dispositivo.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Sistema em nuvem, simples, portavel e escalavel.</w:t>
            </w:r>
          </w:p>
        </w:tc>
      </w:tr>
    </w:tbl>
    <w:p>
      <w:pPr>
        <w:pStyle w:val="Heading2"/>
      </w:pPr>
      <w:r>
        <w:t>Formula de copy recomendada</w:t>
      </w:r>
    </w:p>
    <w:p>
      <w:pPr>
        <w:pStyle w:val="ListNumber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Titulo: benefício direto + público ou processo. Ex.: Gestao de bibliotecas com mais controle e agilidade.</w:t>
      </w:r>
    </w:p>
    <w:p>
      <w:pPr>
        <w:pStyle w:val="ListNumber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Subtítulo: explicar o que o sistema resolve em uma frase concreta.</w:t>
      </w:r>
    </w:p>
    <w:p>
      <w:pPr>
        <w:pStyle w:val="ListNumber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Bloco de prova: listar recursos como cadastro, relatórios, financeiro, mapas, rotas, estoque ou backup.</w:t>
      </w:r>
    </w:p>
    <w:p>
      <w:pPr>
        <w:pStyle w:val="ListNumber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CTA: uma acao simples, sem ambiguidade: Saiba Mais, Fale Conosco, Acessar Sistema.</w:t>
      </w:r>
    </w:p>
    <w:p>
      <w:pPr>
        <w:pStyle w:val="Heading2"/>
      </w:pPr>
      <w:r>
        <w:t>Tom por contexto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8"/>
              </w:rPr>
              <w:t>Institucional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Seguro e inspirador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Simplificando a complexidade para elevar a gestao.</w:t>
            </w:r>
          </w:p>
        </w:tc>
        <w:trPr>
          <w:tblHeader/>
        </w:trPr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8"/>
              </w:rPr>
              <w:t>Produto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Pratico e demonstrativo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Veja como o sistema organiza cadastro, estoque, relatórios e financeiro.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8"/>
              </w:rPr>
              <w:t>Gestao pública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Responsavel e claro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Informacoes confiaveis para decisões municipais mais assertivas.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8"/>
              </w:rPr>
              <w:t>Reciclagem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Humano e transformador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Tecnologia que profissionaliza cooperativas e valoriza pessoas.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AA6DF"/>
                <w:sz w:val="18"/>
              </w:rPr>
              <w:t>Suporte/contato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Direto e cordial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Fale com a equipe BZS e encontre a melhor solução para sua rotina.</w:t>
            </w:r>
          </w:p>
        </w:tc>
      </w:tr>
    </w:tbl>
    <w:p>
      <w:r/>
    </w:p>
    <w:p>
      <w:pPr>
        <w:pStyle w:val="Heading1"/>
      </w:pPr>
      <w:r>
        <w:t>7. Aplicações recomendadas</w:t>
      </w:r>
    </w:p>
    <w:p>
      <w:pPr>
        <w:pStyle w:val="Heading2"/>
      </w:pPr>
      <w:r>
        <w:t>Site e landing pages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Abrir com logo de produto ou marca mãe, título de benefício e uma ilustração de processo.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Manter um unico CTA primario por dobra; CTAs secundários podem ser links discretos.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Criar cards de recurso com ícone, título curto e uma frase de resultado.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Em páginas de produto, usar a cor do produto no bloco de funcionamento e azul BZS no CTA principal.</w:t>
      </w:r>
    </w:p>
    <w:p>
      <w:pPr>
        <w:pStyle w:val="Heading2"/>
      </w:pPr>
      <w:r>
        <w:t>Propostas comerciais e institucionais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200"/>
        <w:gridCol w:w="2700"/>
        <w:gridCol w:w="44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Peca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Estrutura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Aplicacao visual</w:t>
            </w:r>
          </w:p>
        </w:tc>
        <w:trPr>
          <w:tblHeader/>
        </w:trPr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Proposta para prefeitura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Problema, solução, modulos, implantacao, suporte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Capa branca, faixa azul, tabelas limpas e ícones municipais.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One-page de produto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Promessa, recursos, benefícios, chamada de contato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Logo do produto em destaque e cor setorial como faixa lateral.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Apresentacao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Contexto, demonstracao, resultados, próximos passos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Slides com 1 ideia por tela, títulos Poppins 800 e fundos claros.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Redes sociais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Dica, dado, benefício ou chamada de demo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Cards 1:1 com azul BZS + uma cor de produto por postagem.</w:t>
            </w:r>
          </w:p>
        </w:tc>
      </w:tr>
    </w:tbl>
    <w:p>
      <w:pPr>
        <w:pStyle w:val="Heading2"/>
      </w:pPr>
      <w:r>
        <w:t>Grid de layout sugerido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Margem externa generosa: a marca ganha percepcao de organizacao quando ha respiro.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Blocos em 2 colunas no desktop: texto/benefício de um lado, imagem/diagrama do outro.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Cards com altura visual consistente; não deixar um produto parecer menos importante por cards desalinhados.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Rodape azul com contatos, redes e CNPJ para reforçar confiança em materiais digitais.</w:t>
      </w:r>
    </w:p>
    <w:p>
      <w:pPr>
        <w:pStyle w:val="Heading2"/>
      </w:pPr>
      <w:r>
        <w:t>Aplicações por produto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000"/>
        <w:gridCol w:w="1700"/>
        <w:gridCol w:w="2830"/>
        <w:gridCol w:w="2830"/>
      </w:tblGrid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Produto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 guia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Imagem dominante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4A4B4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Promessa-chave</w:t>
            </w:r>
          </w:p>
        </w:tc>
        <w:trPr>
          <w:tblHeader/>
        </w:trPr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6"/>
              </w:rPr>
              <w:t>BZS Recicle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#70AB56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Reciclagem, cooperativas, estoque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Gestao completa para cooperativas e associacoes.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6"/>
              </w:rPr>
              <w:t>Selfie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#409848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Mapa, dados municipais, diagnóstico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Autorretrato do município para decisão estratégica.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6"/>
              </w:rPr>
              <w:t>Controle Agua e Gas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#30A8E0 + #F8D000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Medicao, app, faturas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Automacao da medição individualizada.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6"/>
              </w:rPr>
              <w:t>Transporte Escolar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#E8B800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Rotas, veiculos, alunos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Controle de transporte escolar em nuvem.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6"/>
              </w:rPr>
              <w:t>Biblioteca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#F88830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Acervo, emprestimo, reserva</w:t>
            </w:r>
          </w:p>
        </w:tc>
        <w:tc>
          <w:tcPr>
            <w:tcW w:type="dxa" w:w="2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6"/>
              </w:rPr>
              <w:t>Agilidade e controle para bibliotecas públicas.</w:t>
            </w:r>
          </w:p>
        </w:tc>
      </w:tr>
    </w:tbl>
    <w:p>
      <w:r/>
    </w:p>
    <w:p>
      <w:pPr>
        <w:pStyle w:val="Heading1"/>
      </w:pPr>
      <w:r>
        <w:t>8. Recomendacoes e checklist</w:t>
      </w:r>
    </w:p>
    <w:p>
      <w:pPr>
        <w:pStyle w:val="Heading2"/>
      </w:pPr>
      <w:r>
        <w:t>Oportunidades de consistencia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Criar um pacote oficial de logos em SVG/PNG: marca mãe, versão branca, ícone isolado e sublogos.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Documentar códigos HEX oficiais para cada produto e reduzir variacoes acidentais de verde, azul e cinza.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Padronizar CTAs: usar Saiba Mais para descoberta, Acessar Sistema para login e Fale Conosco para conversão.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Revisar textos do site para pequenos ajustes de ortografia, acentuacao e consistencia de capitalizacao.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Definir um sistema de cards unico para home, listagem de soluções e blog.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Criar um banco de ilustrações com a mesma família visual usada nos banners atuais.</w:t>
      </w:r>
    </w:p>
    <w:p>
      <w:pPr>
        <w:pStyle w:val="Heading2"/>
      </w:pPr>
      <w:r>
        <w:t>Checklist de acessibilidade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OK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AA6D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rPr>
          <w:tblHeader/>
        </w:trPr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[ ]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Contraste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Texto branco em azul/verde e texto grafite em fundo claro devem passar em contraste.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[ ]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Tamanho mobile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Evitar título ou setas do carrossel sobrepostos em telas pequenas.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[ ]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Alt text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Imagens de logo e banners precisam de descricoes especificas, não apenas Foto ou Logo.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[ ]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Foco em botões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Estados de hover/focus devem ser visiveis em menu, CTA e formulario.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[ ]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Hierarquia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Usar H1/H2/H3 reais nas páginas internas para SEO e leitores de tela.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[ ]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7"/>
              </w:rPr>
              <w:t>Formularios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7"/>
              </w:rPr>
              <w:t>Labels e mensagens de erro devem ser claros e legiveis.</w:t>
            </w:r>
          </w:p>
        </w:tc>
      </w:tr>
    </w:tbl>
    <w:p>
      <w:pPr>
        <w:pStyle w:val="Heading2"/>
      </w:pPr>
      <w:r>
        <w:t>Roadmap de maturidade da identidade</w:t>
      </w:r>
    </w:p>
    <w:p>
      <w:pPr>
        <w:pStyle w:val="ListNumber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Fechar tokens oficiais: logo, cores, fontes, raio, sombra, grid e padrão de botões.</w:t>
      </w:r>
    </w:p>
    <w:p>
      <w:pPr>
        <w:pStyle w:val="ListNumber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Criar modelos editaveis: proposta comercial, one-page de produto, post de rede social, slide de apresentacao e assinatura de e-mail.</w:t>
      </w:r>
    </w:p>
    <w:p>
      <w:pPr>
        <w:pStyle w:val="ListNumber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Padronizar páginas de produto com o mesmo bloco de problema, solução, benefícios, recursos, prova e contato.</w:t>
      </w:r>
    </w:p>
    <w:p>
      <w:pPr>
        <w:pStyle w:val="ListNumber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Criar biblioteca de componentes digitais para site e materiais de venda.</w:t>
      </w:r>
    </w:p>
    <w:p>
      <w:pPr>
        <w:pStyle w:val="ListNumber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Fazer uma auditoria de acessibilidade visual e conteúdo antes de novas campanhas.</w:t>
      </w:r>
    </w:p>
    <w:p>
      <w:r/>
    </w:p>
    <w:p>
      <w:pPr>
        <w:pStyle w:val="Heading1"/>
      </w:pPr>
      <w:r>
        <w:t>9. Fontes e metodologia</w:t>
      </w:r>
    </w:p>
    <w:p>
      <w:pPr>
        <w:spacing w:before="0" w:after="120" w:line="283" w:lineRule="auto"/>
      </w:pPr>
      <w:r>
        <w:rPr>
          <w:rFonts w:ascii="Calibri" w:hAnsi="Calibri"/>
          <w:b w:val="0"/>
          <w:i w:val="0"/>
          <w:color w:val="4A4B4D"/>
          <w:sz w:val="20"/>
        </w:rPr>
        <w:t>Análise realizada por leitura do conteúdo público, inspeção visual do site renderizado, captura de desktop/mobile, leitura de CSS público e extração de cores dos ativos carregados pela própria página.</w:t>
      </w:r>
    </w:p>
    <w:p>
      <w:pPr>
        <w:pStyle w:val="Heading2"/>
      </w:pPr>
      <w:r>
        <w:t>URLs consultadas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https://www.bzs.com.br/pages/page/sobre/1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https://www.bzs.com.br/solucoes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https://www.bzs.com.br/solucoes/bzs-recicle/6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https://www.bzs.com.br/solucoes/selfie/13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https://www.bzs.com.br/solucoes/controle-agua-e-gas/17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https://www.bzs.com.br/solucoes/gestao-de-transporte-escolar/19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https://www.bzs.com.br/solucoes/gestao-de-bibliotecas/20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https://www.bzs.com.br/blog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https://www.bzs.com.br/contato</w:t>
      </w:r>
    </w:p>
    <w:p>
      <w:pPr>
        <w:pStyle w:val="ListBullet"/>
        <w:spacing w:after="80" w:line="283" w:lineRule="auto"/>
        <w:ind w:left="540" w:hanging="271"/>
      </w:pPr>
      <w:r>
        <w:rPr>
          <w:rFonts w:ascii="Calibri" w:hAnsi="Calibri"/>
          <w:color w:val="4A4B4D"/>
          <w:sz w:val="20"/>
        </w:rPr>
        <w:t>https://www.bzs.com.br/css/site/styles.css?08042022</w:t>
      </w:r>
    </w:p>
    <w:p>
      <w:pPr>
        <w:pStyle w:val="Heading2"/>
      </w:pPr>
      <w:r>
        <w:t>Ativos analisados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CE2"/>
          <w:left w:val="single" w:sz="8" w:space="0" w:color="D6DCE2"/>
          <w:bottom w:val="single" w:sz="8" w:space="0" w:color="D6DCE2"/>
          <w:right w:val="single" w:sz="8" w:space="0" w:color="D6DCE2"/>
          <w:insideH w:val="single" w:sz="8" w:space="0" w:color="D6DCE2"/>
          <w:insideV w:val="single" w:sz="8" w:space="0" w:color="D6DCE2"/>
        </w:tblBorders>
      </w:tblPr>
      <w:tblGrid>
        <w:gridCol w:w="2800"/>
        <w:gridCol w:w="6560"/>
      </w:tblGrid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Logo institucional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img/logo.png e img/logo-branca.png</w:t>
            </w:r>
          </w:p>
        </w:tc>
        <w:trPr>
          <w:tblHeader/>
        </w:trPr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Banners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uploads/banner/photo_2_617080e855623.jpg e photo_8_6239d83406260.png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Icones de solução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BZS Recicle, Selfie, Controle, Transporte Escolar e Biblioteca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Ilustracoes institucionais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ico_1.png, ico_2.png e ico_3.png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Capturas próprias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Home desktop, home mobile, página Sobre e página BZS Recicle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4A4B4D"/>
                <w:sz w:val="18"/>
              </w:rPr>
              <w:t>CSS público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B4D"/>
                <w:sz w:val="18"/>
              </w:rPr>
              <w:t>styles.css?08042022 e Google Font Poppins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4EAF6"/>
          <w:left w:val="single" w:sz="8" w:space="0" w:color="D4EAF6"/>
          <w:bottom w:val="single" w:sz="8" w:space="0" w:color="D4EAF6"/>
          <w:right w:val="single" w:sz="8" w:space="0" w:color="D4EAF6"/>
          <w:insideH w:val="single" w:sz="8" w:space="0" w:color="D4EAF6"/>
          <w:insideV w:val="single" w:sz="8" w:space="0" w:color="D4EAF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9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>Observacao</w:t>
            </w:r>
          </w:p>
          <w:p>
            <w:pPr>
              <w:spacing w:after="0" w:line="283" w:lineRule="auto"/>
            </w:pPr>
            <w:r>
              <w:rPr>
                <w:rFonts w:ascii="Calibri" w:hAnsi="Calibri"/>
                <w:color w:val="4A4B4D"/>
                <w:sz w:val="19"/>
              </w:rPr>
              <w:t>As diretrizes propostas são inferências de identidade visual feitas a partir do site público. Para um manual oficial, recomenda-se validar os tokens com arquivos originais de marca e com a equipe responsável pela comunicação da BZS.</w:t>
            </w:r>
          </w:p>
        </w:tc>
        <w:trPr>
          <w:tblHeader/>
        </w:trPr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777777"/>
        <w:sz w:val="16"/>
      </w:rPr>
      <w:t>Análise baseada no site público www.bzs.com.br - acesso em 02/07/2026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777777"/>
        <w:sz w:val="17"/>
      </w:rPr>
      <w:t>Guia de identidade visual | BZS Tecnologia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4A4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AA6D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AA6D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4A4B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color w:val="4A4B4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color w:val="4A4B4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Identidade Visual - BZS Tecnologia</dc:title>
  <dc:subject>Analise de identidade visual baseada no site publico da BZS Tecnologia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