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Variance</w:t>
      </w:r>
      <w:r>
        <w:t xml:space="preserve"> </w:t>
      </w:r>
      <w:r>
        <w:t xml:space="preserve">Pattern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2025-03-11</w:t>
      </w:r>
    </w:p>
    <w:bookmarkStart w:id="25" w:name="response-pattern-equations"/>
    <w:p>
      <w:pPr>
        <w:pStyle w:val="Heading2"/>
      </w:pPr>
      <w:r>
        <w:t xml:space="preserve">Response Pattern Equations</w:t>
      </w:r>
    </w:p>
    <w:p>
      <w:pPr>
        <w:pStyle w:val="FirstParagraph"/>
      </w:pPr>
      <w:r>
        <w:t xml:space="preserve">The response function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is defined differently for each pattern type:</w:t>
      </w:r>
    </w:p>
    <w:bookmarkStart w:id="20" w:name="decreasing-response"/>
    <w:p>
      <w:pPr>
        <w:pStyle w:val="Heading3"/>
      </w:pPr>
      <w:r>
        <w:t xml:space="preserve">Decreasing Response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sSub>
                    <m:e>
                      <m:r>
                        <m:t>d</m:t>
                      </m:r>
                    </m:e>
                    <m:sub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⋅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</m:oMath>
      </m:oMathPara>
    </w:p>
    <w:bookmarkEnd w:id="20"/>
    <w:bookmarkStart w:id="21" w:name="non-monotonic-response"/>
    <w:p>
      <w:pPr>
        <w:pStyle w:val="Heading3"/>
      </w:pPr>
      <w:r>
        <w:t xml:space="preserve">Non-monotonic Response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i</m:t>
                              </m:r>
                              <m: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m</m:t>
                              </m:r>
                              <m:r>
                                <m:t>i</m:t>
                              </m:r>
                              <m: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bookmarkEnd w:id="21"/>
    <w:bookmarkStart w:id="22" w:name="threshold-response"/>
    <w:p>
      <w:pPr>
        <w:pStyle w:val="Heading3"/>
      </w:pPr>
      <w:r>
        <w:t xml:space="preserve">Threshold Response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100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d</m:t>
                    </m:r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  <m:r>
                          <m:t>h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d</m:t>
                        </m:r>
                      </m:sub>
                    </m:sSub>
                  </m:e>
                </m:mr>
                <m:mr>
                  <m:e>
                    <m:r>
                      <m:t>100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d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t</m:t>
                                </m:r>
                                <m:r>
                                  <m:t>h</m:t>
                                </m:r>
                                <m:r>
                                  <m:t>r</m:t>
                                </m:r>
                                <m:r>
                                  <m:t>e</m:t>
                                </m:r>
                                <m:r>
                                  <m:t>s</m:t>
                                </m:r>
                                <m:r>
                                  <m:t>h</m:t>
                                </m:r>
                                <m:r>
                                  <m:t>o</m:t>
                                </m:r>
                                <m:r>
                                  <m:t>l</m:t>
                                </m:r>
                                <m:r>
                                  <m:t>d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m</m:t>
                                </m:r>
                                <m:r>
                                  <m:t>a</m:t>
                                </m:r>
                                <m: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t</m:t>
                                </m:r>
                                <m:r>
                                  <m:t>h</m:t>
                                </m:r>
                                <m:r>
                                  <m:t>r</m:t>
                                </m:r>
                                <m:r>
                                  <m:t>e</m:t>
                                </m:r>
                                <m:r>
                                  <m:t>s</m:t>
                                </m:r>
                                <m:r>
                                  <m:t>h</m:t>
                                </m:r>
                                <m:r>
                                  <m:t>o</m:t>
                                </m:r>
                                <m:r>
                                  <m:t>l</m:t>
                                </m:r>
                                <m: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d</m:t>
                    </m:r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  <m:r>
                          <m:t>h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l</m:t>
                        </m:r>
                        <m: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2"/>
    <w:bookmarkStart w:id="23" w:name="oscillating-response"/>
    <w:p>
      <w:pPr>
        <w:pStyle w:val="Heading3"/>
      </w:pPr>
      <w:r>
        <w:t xml:space="preserve">Oscillating Response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d</m:t>
              </m:r>
            </m:e>
          </m:d>
        </m:oMath>
      </m:oMathPara>
    </w:p>
    <w:bookmarkEnd w:id="23"/>
    <w:bookmarkStart w:id="24" w:name="no-response"/>
    <w:p>
      <w:pPr>
        <w:pStyle w:val="Heading3"/>
      </w:pPr>
      <w:r>
        <w:t xml:space="preserve">No Response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</m:e>
          </m:d>
          <m:r>
            <m:rPr>
              <m:sty m:val="p"/>
            </m:rPr>
            <m:t>=</m:t>
          </m:r>
          <m:r>
            <m:t>100</m:t>
          </m:r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1"/>
        </w:numPr>
        <w:pStyle w:val="Compact"/>
      </w:pPr>
      <m:oMath>
        <m:r>
          <m:t>d</m:t>
        </m:r>
      </m:oMath>
      <w:r>
        <w:t xml:space="preserve"> </w:t>
      </w:r>
      <w:r>
        <w:t xml:space="preserve">is the dose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d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is the maximum dose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d</m:t>
            </m:r>
          </m:e>
          <m:sub>
            <m:r>
              <m:t>m</m:t>
            </m:r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mean of the dose range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E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is the maximum effect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frequency (set to 1)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t>h</m:t>
            </m:r>
            <m:r>
              <m:t>r</m:t>
            </m:r>
            <m:r>
              <m:t>e</m:t>
            </m:r>
            <m:r>
              <m:t>s</m:t>
            </m:r>
            <m:r>
              <m:t>h</m:t>
            </m:r>
            <m:r>
              <m:t>o</m:t>
            </m:r>
            <m:r>
              <m:t>l</m:t>
            </m:r>
            <m:r>
              <m:t>d</m:t>
            </m:r>
          </m:sub>
        </m:sSub>
      </m:oMath>
      <w:r>
        <w:t xml:space="preserve"> </w:t>
      </w:r>
      <w:r>
        <w:t xml:space="preserve">is the threshold dose</w:t>
      </w:r>
    </w:p>
    <w:bookmarkEnd w:id="24"/>
    <w:bookmarkEnd w:id="25"/>
    <w:bookmarkStart w:id="30" w:name="variance-pattern-equations"/>
    <w:p>
      <w:pPr>
        <w:pStyle w:val="Heading2"/>
      </w:pPr>
      <w:r>
        <w:t xml:space="preserve">Variance Pattern Equations</w:t>
      </w:r>
    </w:p>
    <w:p>
      <w:pPr>
        <w:pStyle w:val="FirstParagraph"/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at dose level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defined as follows:</w:t>
      </w:r>
    </w:p>
    <w:bookmarkStart w:id="26" w:name="homogeneous-variance"/>
    <w:p>
      <w:pPr>
        <w:pStyle w:val="Heading3"/>
      </w:pPr>
      <w:r>
        <w:t xml:space="preserve">Homogeneous Variance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</m:oMath>
      </m:oMathPara>
    </w:p>
    <w:bookmarkEnd w:id="26"/>
    <w:bookmarkStart w:id="27" w:name="increasing-variance"/>
    <w:p>
      <w:pPr>
        <w:pStyle w:val="Heading3"/>
      </w:pPr>
      <w:r>
        <w:t xml:space="preserve">Increasing Variance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1.5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bookmarkEnd w:id="27"/>
    <w:bookmarkStart w:id="28" w:name="decreasing-variance"/>
    <w:p>
      <w:pPr>
        <w:pStyle w:val="Heading3"/>
      </w:pPr>
      <w:r>
        <w:t xml:space="preserve">Decreasing Variance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1.5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</m:oMath>
      </m:oMathPara>
    </w:p>
    <w:bookmarkEnd w:id="28"/>
    <w:bookmarkStart w:id="29" w:name="v-shaped-variance"/>
    <w:p>
      <w:pPr>
        <w:pStyle w:val="Heading3"/>
      </w:pPr>
      <w:r>
        <w:t xml:space="preserve">V-shaped Variance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⌈</m:t>
                            </m:r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⌉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⌈</m:t>
                    </m:r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⌉</m:t>
                    </m:r>
                  </m:e>
                </m:mr>
                <m:mr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⌈</m:t>
                            </m:r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⌉</m:t>
                            </m:r>
                          </m:num>
                          <m:den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⌈</m:t>
                            </m:r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⌉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rPr>
                        <m:sty m:val="p"/>
                      </m:rPr>
                      <m:t>⌈</m:t>
                    </m:r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⌉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2"/>
        </w:numPr>
        <w:pStyle w:val="Compact"/>
      </w:pPr>
      <m:oMath>
        <m:r>
          <m:t>i</m:t>
        </m:r>
      </m:oMath>
      <w:r>
        <w:t xml:space="preserve"> </w:t>
      </w:r>
      <w:r>
        <w:t xml:space="preserve">is the dose level index (1 to n)</w:t>
      </w:r>
    </w:p>
    <w:p>
      <w:pPr>
        <w:numPr>
          <w:ilvl w:val="0"/>
          <w:numId w:val="1002"/>
        </w:numPr>
        <w:pStyle w:val="Compact"/>
      </w:pPr>
      <m:oMath>
        <m:r>
          <m:t>n</m:t>
        </m:r>
      </m:oMath>
      <w:r>
        <w:t xml:space="preserve"> </w:t>
      </w:r>
      <w:r>
        <w:t xml:space="preserve">is the number of dose levels</w:t>
      </w:r>
    </w:p>
    <w:p>
      <w:pPr>
        <w:numPr>
          <w:ilvl w:val="0"/>
          <w:numId w:val="1002"/>
        </w:numPr>
        <w:pStyle w:val="Compact"/>
      </w:pPr>
      <m:oMath>
        <m:sSubSup>
          <m:e>
            <m:r>
              <m:t>σ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the base variance (default = 4)</w:t>
      </w:r>
    </w:p>
    <w:p>
      <w:pPr>
        <w:numPr>
          <w:ilvl w:val="0"/>
          <w:numId w:val="1002"/>
        </w:numPr>
        <w:pStyle w:val="Compact"/>
      </w:pPr>
      <m:oMath>
        <m:r>
          <m:rPr>
            <m:sty m:val="p"/>
          </m:rPr>
          <m:t>⌈</m:t>
        </m:r>
        <m:r>
          <m:t>n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⌉</m:t>
        </m:r>
      </m:oMath>
      <w:r>
        <w:t xml:space="preserve"> </w:t>
      </w:r>
      <w:r>
        <w:t xml:space="preserve">represents the ceiling of n/2 (mid-point)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Variance Pattern Functions</dc:title>
  <dc:creator>Statistical Analysis</dc:creator>
  <cp:keywords/>
  <dcterms:created xsi:type="dcterms:W3CDTF">2025-03-11T21:59:39Z</dcterms:created>
  <dcterms:modified xsi:type="dcterms:W3CDTF">2025-03-11T21:59:39Z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2025-03-11</vt:lpwstr>
  </property>
  <property fmtid="{D5CDD505-2E9C-101B-9397-08002B2CF9AE}" pid="3" name="output">
    <vt:lpwstr/>
  </property>
</Properties>
</file>