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C451" w14:textId="1FE18C5B" w:rsidR="00DB1048" w:rsidRDefault="00DB1048" w:rsidP="00DB1048">
      <w:pPr>
        <w:jc w:val="center"/>
        <w:rPr>
          <w:b/>
          <w:bCs/>
        </w:rPr>
      </w:pPr>
      <w:r w:rsidRPr="00DB1048">
        <w:rPr>
          <w:b/>
          <w:bCs/>
        </w:rPr>
        <w:t>Estimating the Best Commute</w:t>
      </w:r>
      <w:r w:rsidR="00130B93">
        <w:rPr>
          <w:b/>
          <w:bCs/>
        </w:rPr>
        <w:t>:</w:t>
      </w:r>
    </w:p>
    <w:p w14:paraId="5DB24EC2" w14:textId="5C6CAD38" w:rsidR="00DB1048" w:rsidRDefault="00DB1048" w:rsidP="00DB1048">
      <w:pPr>
        <w:jc w:val="center"/>
        <w:rPr>
          <w:b/>
          <w:bCs/>
        </w:rPr>
      </w:pPr>
      <w:r>
        <w:rPr>
          <w:b/>
          <w:bCs/>
        </w:rPr>
        <w:t xml:space="preserve">Discussion of </w:t>
      </w:r>
      <w:r w:rsidR="007022B9">
        <w:rPr>
          <w:b/>
          <w:bCs/>
        </w:rPr>
        <w:t>6</w:t>
      </w:r>
      <w:r>
        <w:rPr>
          <w:b/>
          <w:bCs/>
        </w:rPr>
        <w:t xml:space="preserve"> proposed designs</w:t>
      </w:r>
      <w:r w:rsidR="00130B93">
        <w:rPr>
          <w:b/>
          <w:bCs/>
        </w:rPr>
        <w:t>.</w:t>
      </w:r>
    </w:p>
    <w:p w14:paraId="69E37C4E" w14:textId="15E9CD8F" w:rsidR="00DB1048" w:rsidRPr="00DB1048" w:rsidRDefault="00DB1048" w:rsidP="00DB1048">
      <w:pPr>
        <w:jc w:val="center"/>
        <w:rPr>
          <w:b/>
          <w:bCs/>
        </w:rPr>
      </w:pPr>
      <w:r>
        <w:rPr>
          <w:b/>
          <w:bCs/>
        </w:rPr>
        <w:t>Elena Shergina 10/10/2023</w:t>
      </w:r>
    </w:p>
    <w:p w14:paraId="1E00F0A8" w14:textId="77777777" w:rsidR="00DB1048" w:rsidRDefault="00DB1048" w:rsidP="00DB1048"/>
    <w:p w14:paraId="5C7BD783" w14:textId="438964F2" w:rsidR="000E6B6E" w:rsidRDefault="000E6B6E" w:rsidP="000E6B6E">
      <w:pPr>
        <w:pStyle w:val="Heading2"/>
      </w:pPr>
      <w:r>
        <w:t>Overview</w:t>
      </w:r>
    </w:p>
    <w:p w14:paraId="16D618A6" w14:textId="7B17D60E" w:rsidR="00B66BE5" w:rsidRDefault="00732096" w:rsidP="00BF169A">
      <w:r>
        <w:t>The project</w:t>
      </w:r>
      <w:r w:rsidR="00D47D29">
        <w:t xml:space="preserve"> aims to determine the best driving route out of 3 available</w:t>
      </w:r>
      <w:r w:rsidR="00BC65B7">
        <w:t>.</w:t>
      </w:r>
      <w:r w:rsidR="00A53D5E">
        <w:t xml:space="preserve"> The first route called Plaza serves as a control. The other two called Rainbow and Stateline are expected to be faster than the control</w:t>
      </w:r>
      <w:r w:rsidR="000E6B6E">
        <w:t xml:space="preserve"> route</w:t>
      </w:r>
      <w:r w:rsidR="00A53D5E">
        <w:t xml:space="preserve">. To evaluate operating characteristics </w:t>
      </w:r>
      <w:r w:rsidR="00BF169A">
        <w:t>t</w:t>
      </w:r>
      <w:r w:rsidR="000E6B6E">
        <w:t>hree</w:t>
      </w:r>
      <w:r w:rsidR="00BF169A">
        <w:t xml:space="preserve"> scenarios were set. Under “Null” scenario all three routes were expected to be 15 minutes long. Under “Expected” scenario </w:t>
      </w:r>
      <w:r w:rsidR="00917451">
        <w:t>assumed driving time was 13 minutes for Rainbow and Stateline and 15 minutes for Plaza</w:t>
      </w:r>
      <w:r w:rsidR="00BF169A">
        <w:t>.</w:t>
      </w:r>
      <w:r w:rsidR="00917451">
        <w:t xml:space="preserve"> </w:t>
      </w:r>
      <w:r w:rsidR="00B66BE5">
        <w:t>The possibility of one route being the best was explored as well. The diving time for Rainbow route was expected to be 13 minutes while Stateline driving time was expected to be 14 minutes. The control Plaza route was set to 15</w:t>
      </w:r>
      <w:r w:rsidR="00DA361A">
        <w:t xml:space="preserve"> </w:t>
      </w:r>
      <w:r w:rsidR="00B66BE5">
        <w:t>minutes. During exploratory stage of the study the team estimated standard deviation for driving time to be 1.2 minutes.</w:t>
      </w:r>
    </w:p>
    <w:p w14:paraId="03EC3551" w14:textId="1DD12226" w:rsidR="00BC65B7" w:rsidRDefault="000E6B6E" w:rsidP="00BF169A">
      <w:r>
        <w:t>A</w:t>
      </w:r>
      <w:r w:rsidR="00BC65B7">
        <w:t xml:space="preserve"> driver will drive 5 times a week and complete 33 drives, which will take 6.5 weeks. Fixed trial design with 1:1:1 allocation provided 90% power with 2.5% type 1 error allowing 2 comparison</w:t>
      </w:r>
      <w:r w:rsidR="00C92902">
        <w:t>s</w:t>
      </w:r>
      <w:r w:rsidR="00BC65B7">
        <w:t xml:space="preserve"> of Rainbow and Stateline routes to the Control.</w:t>
      </w:r>
    </w:p>
    <w:p w14:paraId="4B819A65" w14:textId="257F832D" w:rsidR="00BC65B7" w:rsidRDefault="00BC65B7" w:rsidP="00BF169A">
      <w:r>
        <w:t>The study will utilize adaptive Bayesian design to improve operating characteristics and driving experience.</w:t>
      </w:r>
      <w:r w:rsidR="00270729">
        <w:t xml:space="preserve"> </w:t>
      </w:r>
      <w:r w:rsidR="004B2ACF">
        <w:t xml:space="preserve">All designs </w:t>
      </w:r>
      <w:r w:rsidR="001E0A94">
        <w:t>assumed</w:t>
      </w:r>
      <w:r w:rsidR="004B2ACF">
        <w:t xml:space="preserve"> independent dose models</w:t>
      </w:r>
      <w:r w:rsidR="008A0B06">
        <w:t>.</w:t>
      </w:r>
      <w:r w:rsidR="004B2ACF">
        <w:t xml:space="preserve"> </w:t>
      </w:r>
    </w:p>
    <w:p w14:paraId="229B1154" w14:textId="406A4EA7" w:rsidR="008A0B06" w:rsidRPr="008A0B06" w:rsidRDefault="008A0B06" w:rsidP="00BF169A">
      <w:pPr>
        <w:rPr>
          <w:rFonts w:eastAsiaTheme="minorEastAsia"/>
        </w:rPr>
      </w:pPr>
      <m:oMathPara>
        <m:oMath>
          <m:r>
            <w:rPr>
              <w:rFonts w:ascii="Cambria Math" w:hAnsi="Cambria Math"/>
            </w:rPr>
            <m:t>Y~N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m:oMathPara>
    </w:p>
    <w:p w14:paraId="49583648" w14:textId="3A3F64D9" w:rsidR="008A0B06" w:rsidRDefault="008A0B06" w:rsidP="00BF169A">
      <w:pPr>
        <w:rPr>
          <w:rFonts w:eastAsiaTheme="minorEastAsia"/>
        </w:rPr>
      </w:pPr>
      <w:r>
        <w:rPr>
          <w:rFonts w:eastAsiaTheme="minorEastAsia"/>
        </w:rPr>
        <w:t xml:space="preserve">where </w:t>
      </w:r>
      <w:r w:rsidR="0084797B" w:rsidRPr="0084797B">
        <w:rPr>
          <w:rFonts w:eastAsiaTheme="minorEastAsia"/>
          <w:i/>
          <w:iCs/>
        </w:rPr>
        <w:t>d</w:t>
      </w:r>
      <w:r w:rsidR="0084797B">
        <w:rPr>
          <w:rFonts w:eastAsiaTheme="minorEastAsia"/>
          <w:i/>
          <w:iCs/>
        </w:rPr>
        <w:t xml:space="preserve"> </w:t>
      </w:r>
      <w:r w:rsidR="0084797B">
        <w:rPr>
          <w:rFonts w:eastAsiaTheme="minorEastAsia"/>
        </w:rPr>
        <w:t xml:space="preserve">denotes one out of three routes. The following priors were assumed for mean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84797B">
        <w:rPr>
          <w:rFonts w:eastAsiaTheme="minorEastAsia"/>
        </w:rP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84797B">
        <w:rPr>
          <w:rFonts w:eastAsiaTheme="minorEastAsia"/>
        </w:rPr>
        <w:t>.</w:t>
      </w:r>
    </w:p>
    <w:p w14:paraId="44CD4D61" w14:textId="77777777" w:rsidR="00DA361A" w:rsidRPr="00DA361A" w:rsidRDefault="007022B9" w:rsidP="00BF169A">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d</m:t>
                  </m:r>
                </m:sub>
                <m:sup>
                  <m:r>
                    <w:rPr>
                      <w:rFonts w:ascii="Cambria Math" w:eastAsiaTheme="minorEastAsia" w:hAnsi="Cambria Math"/>
                    </w:rPr>
                    <m:t>2</m:t>
                  </m:r>
                </m:sup>
              </m:sSubSup>
            </m:e>
          </m:d>
        </m:oMath>
      </m:oMathPara>
    </w:p>
    <w:p w14:paraId="5B7E7267" w14:textId="63FC8A0A" w:rsidR="00DA361A" w:rsidRPr="00DA361A" w:rsidRDefault="007022B9" w:rsidP="00DA361A">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μ</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num>
            <m:den>
              <m:r>
                <w:rPr>
                  <w:rFonts w:ascii="Cambria Math" w:eastAsiaTheme="minorEastAsia" w:hAnsi="Cambria Math"/>
                </w:rPr>
                <m:t>2</m:t>
              </m:r>
            </m:den>
          </m:f>
          <m:r>
            <w:rPr>
              <w:rFonts w:ascii="Cambria Math" w:eastAsiaTheme="minorEastAsia" w:hAnsi="Cambria Math"/>
            </w:rPr>
            <m:t>)</m:t>
          </m:r>
        </m:oMath>
      </m:oMathPara>
    </w:p>
    <w:p w14:paraId="6CCBE71A" w14:textId="77777777" w:rsidR="008A0B06" w:rsidRDefault="008A0B06" w:rsidP="00BF169A"/>
    <w:p w14:paraId="6853E9F5" w14:textId="7C92CF22" w:rsidR="00324E73" w:rsidRDefault="005D65CB" w:rsidP="00BF169A">
      <w:r>
        <w:t xml:space="preserve">There were </w:t>
      </w:r>
      <w:r w:rsidR="007022B9">
        <w:t>6</w:t>
      </w:r>
      <w:r>
        <w:t xml:space="preserve"> designs proposed.</w:t>
      </w:r>
      <w:r w:rsidR="00AC1152">
        <w:t xml:space="preserve"> Operating chara</w:t>
      </w:r>
      <w:r w:rsidR="00324E73">
        <w:t>cteristics for the designs are summarized in Table 1.</w:t>
      </w:r>
    </w:p>
    <w:p w14:paraId="4D7D55FD" w14:textId="7AF81CD2" w:rsidR="000E6B6E" w:rsidRDefault="000E6B6E" w:rsidP="000E6B6E">
      <w:pPr>
        <w:pStyle w:val="Heading2"/>
      </w:pPr>
      <w:r>
        <w:t>JZ design</w:t>
      </w:r>
    </w:p>
    <w:p w14:paraId="52547545" w14:textId="1FF0155F" w:rsidR="00371339" w:rsidRDefault="000622FC" w:rsidP="00BF169A">
      <w:pPr>
        <w:rPr>
          <w:rFonts w:eastAsiaTheme="minorEastAsia"/>
        </w:rPr>
      </w:pPr>
      <w:r>
        <w:t>JZ proposed fixed design with 1:1:1 allocation ratio.</w:t>
      </w:r>
      <w:r w:rsidR="00BC3966">
        <w:t xml:space="preserve"> </w:t>
      </w:r>
      <w:r w:rsidR="005903AD">
        <w:t xml:space="preserve">The design assumed deterministic accrual with no dropouts. </w:t>
      </w:r>
      <w:r w:rsidR="00371339">
        <w:t>A trial was declared successful if</w:t>
      </w:r>
      <w:r w:rsidR="004B2ACF">
        <w:t xml:space="preserve"> posterior probability of Stateline or Rainbow drive time being less than </w:t>
      </w:r>
      <w:r w:rsidR="00833FAB">
        <w:t xml:space="preserve">the </w:t>
      </w:r>
      <w:r w:rsidR="004B2ACF">
        <w:t>Control driv</w:t>
      </w:r>
      <w:r w:rsidR="00AB08CE">
        <w:t>e</w:t>
      </w:r>
      <w:r w:rsidR="004B2ACF">
        <w:t xml:space="preserve"> time by 1 minute</w:t>
      </w:r>
      <w:r w:rsidR="00AB08CE">
        <w:t xml:space="preserve"> was greater than 0.7</w:t>
      </w:r>
      <w:r w:rsidR="004B2ACF">
        <w:t xml:space="preserve">. The route to compare to </w:t>
      </w:r>
      <w:r w:rsidR="00833FAB">
        <w:t xml:space="preserve">the </w:t>
      </w:r>
      <w:r w:rsidR="004B2ACF">
        <w:t>Control was picked based on the maximum posterior probability of</w:t>
      </w:r>
      <w:r w:rsidR="00371339">
        <w:t xml:space="preserve"> </w:t>
      </w:r>
      <w:r w:rsidR="004B2ACF">
        <w:t xml:space="preserve">Rainbow or Stateline having the lowest time. </w:t>
      </w:r>
      <w:r w:rsidR="003532AE">
        <w:t xml:space="preserve">The prior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oMath>
      <w:r w:rsidR="003532AE">
        <w:rPr>
          <w:rFonts w:eastAsiaTheme="minorEastAsia"/>
        </w:rPr>
        <w:t xml:space="preserve"> was set to 15 and prior standard deviation was set </w:t>
      </w:r>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d</m:t>
            </m:r>
          </m:sub>
          <m:sup>
            <m:r>
              <w:rPr>
                <w:rFonts w:ascii="Cambria Math" w:eastAsiaTheme="minorEastAsia" w:hAnsi="Cambria Math"/>
              </w:rPr>
              <m:t>2</m:t>
            </m:r>
          </m:sup>
        </m:sSubSup>
      </m:oMath>
      <w:r w:rsidR="003532AE">
        <w:rPr>
          <w:rFonts w:eastAsiaTheme="minorEastAsia"/>
        </w:rPr>
        <w:t xml:space="preserve"> to 6.</w:t>
      </w:r>
      <w:r w:rsidR="000750AE">
        <w:rPr>
          <w:rFonts w:eastAsiaTheme="minorEastAsia"/>
        </w:rPr>
        <w:t xml:space="preserve"> For variance prior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μ</m:t>
            </m:r>
          </m:sub>
        </m:sSub>
      </m:oMath>
      <w:r w:rsidR="000750AE">
        <w:rPr>
          <w:rFonts w:eastAsiaTheme="minorEastAsia"/>
        </w:rPr>
        <w:t xml:space="preserve"> was set to 1.2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sidR="000750AE">
        <w:rPr>
          <w:rFonts w:eastAsiaTheme="minorEastAsia"/>
        </w:rPr>
        <w:t xml:space="preserve"> was set to 0.1.</w:t>
      </w:r>
    </w:p>
    <w:p w14:paraId="32E3085D" w14:textId="4F9C3936" w:rsidR="000E6B6E" w:rsidRDefault="000E6B6E" w:rsidP="000E6B6E">
      <w:pPr>
        <w:pStyle w:val="Heading2"/>
        <w:rPr>
          <w:rFonts w:eastAsiaTheme="minorEastAsia"/>
        </w:rPr>
      </w:pPr>
      <w:r>
        <w:rPr>
          <w:rFonts w:eastAsiaTheme="minorEastAsia"/>
        </w:rPr>
        <w:lastRenderedPageBreak/>
        <w:t>DIAS design</w:t>
      </w:r>
    </w:p>
    <w:p w14:paraId="7D076502" w14:textId="536D974F" w:rsidR="007A0F1D" w:rsidRPr="00833FAB" w:rsidRDefault="007A0F1D" w:rsidP="00BF169A">
      <w:pPr>
        <w:rPr>
          <w:rFonts w:eastAsiaTheme="minorEastAsia"/>
        </w:rPr>
      </w:pPr>
      <w:r>
        <w:rPr>
          <w:rFonts w:eastAsiaTheme="minorEastAsia"/>
        </w:rPr>
        <w:t>DIAS group proposed</w:t>
      </w:r>
      <w:r w:rsidR="002F2BC3">
        <w:rPr>
          <w:rFonts w:eastAsiaTheme="minorEastAsia"/>
        </w:rPr>
        <w:t xml:space="preserve"> an adaptive design</w:t>
      </w:r>
      <w:r w:rsidR="005C7FE6">
        <w:rPr>
          <w:rFonts w:eastAsiaTheme="minorEastAsia"/>
        </w:rPr>
        <w:t xml:space="preserve">. </w:t>
      </w:r>
      <w:r w:rsidR="005C7FE6">
        <w:t>The design assumed deterministic accrual with no dropouts. The</w:t>
      </w:r>
      <w:r w:rsidR="00ED3DD3">
        <w:t xml:space="preserve">re were 3 interims planned at 8, 16, and 24 weeks. </w:t>
      </w:r>
      <w:r w:rsidR="0047382B">
        <w:t xml:space="preserve">Pre first interim 4 drives were allocated to the Control, </w:t>
      </w:r>
      <w:r w:rsidR="00833FAB">
        <w:t>4 drives were allocated</w:t>
      </w:r>
      <w:r w:rsidR="0047382B">
        <w:t xml:space="preserve"> to Rainbow and Stateline routes</w:t>
      </w:r>
      <w:r w:rsidR="00833FAB">
        <w:t xml:space="preserve"> at 1:1 ratio</w:t>
      </w:r>
      <w:r w:rsidR="0047382B">
        <w:t>. After 1</w:t>
      </w:r>
      <w:r w:rsidR="0047382B" w:rsidRPr="0047382B">
        <w:rPr>
          <w:vertAlign w:val="superscript"/>
        </w:rPr>
        <w:t>st</w:t>
      </w:r>
      <w:r w:rsidR="0047382B">
        <w:t xml:space="preserve"> interim drives were allocated </w:t>
      </w:r>
      <w:r w:rsidR="00337588">
        <w:t xml:space="preserve">in blocks of 4 </w:t>
      </w:r>
      <w:r w:rsidR="0047382B">
        <w:t xml:space="preserve">based on posterior probability of being </w:t>
      </w:r>
      <w:r w:rsidR="00337588">
        <w:t xml:space="preserve">the fastest route. One out of 4 routes would be always allocated to </w:t>
      </w:r>
      <w:r w:rsidR="00833FAB">
        <w:t xml:space="preserve">the </w:t>
      </w:r>
      <w:r w:rsidR="00337588">
        <w:t xml:space="preserve">Control. The study had stopping criteria. The study would stop for futility </w:t>
      </w:r>
      <w:r w:rsidR="009670A1">
        <w:t xml:space="preserve">if posterior probability of Stateline or Rainbow drive time being less than </w:t>
      </w:r>
      <w:r w:rsidR="00833FAB">
        <w:t xml:space="preserve">the </w:t>
      </w:r>
      <w:r w:rsidR="009670A1">
        <w:t xml:space="preserve">Control drive time by 1 minute was less than 0.1. </w:t>
      </w:r>
      <w:r w:rsidR="004B5DDC">
        <w:t xml:space="preserve">The study would stop for success if posterior probability of Stateline or Rainbow drive time being less than Control drive time was greater than 0.998. </w:t>
      </w:r>
      <w:r w:rsidR="009670A1">
        <w:t xml:space="preserve">The route to compare </w:t>
      </w:r>
      <w:r w:rsidR="00833FAB">
        <w:t xml:space="preserve">to the </w:t>
      </w:r>
      <w:r w:rsidR="009670A1">
        <w:t xml:space="preserve"> Control was picked based on the maximum posterior probability of Rainbow or Stateline having the lowest time.</w:t>
      </w:r>
      <w:r w:rsidR="004B5DDC">
        <w:t xml:space="preserve"> </w:t>
      </w:r>
      <w:r w:rsidR="00EA1B2D">
        <w:t xml:space="preserve">The final success of a trial </w:t>
      </w:r>
      <w:r w:rsidR="00833FAB">
        <w:t>was</w:t>
      </w:r>
      <w:r w:rsidR="00EA1B2D">
        <w:t xml:space="preserve"> determined by if posterior probability of Stateline or Rainbow drive time being less than Control drive time was greater than 0.9836.</w:t>
      </w:r>
      <w:r w:rsidR="00DB6B31">
        <w:t xml:space="preserve"> The prior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oMath>
      <w:r w:rsidR="00DB6B31">
        <w:rPr>
          <w:rFonts w:eastAsiaTheme="minorEastAsia"/>
        </w:rPr>
        <w:t xml:space="preserve"> was set to 15 and prior standard deviation was set </w:t>
      </w:r>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d</m:t>
            </m:r>
          </m:sub>
          <m:sup>
            <m:r>
              <w:rPr>
                <w:rFonts w:ascii="Cambria Math" w:eastAsiaTheme="minorEastAsia" w:hAnsi="Cambria Math"/>
              </w:rPr>
              <m:t>2</m:t>
            </m:r>
          </m:sup>
        </m:sSubSup>
      </m:oMath>
      <w:r w:rsidR="00DB6B31">
        <w:rPr>
          <w:rFonts w:eastAsiaTheme="minorEastAsia"/>
        </w:rPr>
        <w:t xml:space="preserve"> to 5. For variance prior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μ</m:t>
            </m:r>
          </m:sub>
        </m:sSub>
      </m:oMath>
      <w:r w:rsidR="00DB6B31">
        <w:rPr>
          <w:rFonts w:eastAsiaTheme="minorEastAsia"/>
        </w:rPr>
        <w:t xml:space="preserve"> was set to 5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sidR="00DB6B31">
        <w:rPr>
          <w:rFonts w:eastAsiaTheme="minorEastAsia"/>
        </w:rPr>
        <w:t xml:space="preserve"> was set to 0.1.</w:t>
      </w:r>
    </w:p>
    <w:p w14:paraId="6F76A30F" w14:textId="28C72411" w:rsidR="000E6B6E" w:rsidRDefault="000E6B6E" w:rsidP="000E6B6E">
      <w:pPr>
        <w:pStyle w:val="Heading2"/>
      </w:pPr>
      <w:r>
        <w:t>The StarFish design</w:t>
      </w:r>
    </w:p>
    <w:p w14:paraId="7787E6C6" w14:textId="612EA1B3" w:rsidR="00EA1B2D" w:rsidRDefault="00EA1B2D" w:rsidP="00EA1B2D">
      <w:pPr>
        <w:rPr>
          <w:rFonts w:eastAsiaTheme="minorEastAsia"/>
        </w:rPr>
      </w:pPr>
      <w:r>
        <w:t xml:space="preserve">The StarFish group </w:t>
      </w:r>
      <w:r>
        <w:rPr>
          <w:rFonts w:eastAsiaTheme="minorEastAsia"/>
        </w:rPr>
        <w:t xml:space="preserve">proposed an adaptive design. </w:t>
      </w:r>
      <w:r>
        <w:t xml:space="preserve">The design assumed </w:t>
      </w:r>
      <w:r w:rsidR="00B4740C">
        <w:t xml:space="preserve">continuous recruiting </w:t>
      </w:r>
      <w:r w:rsidR="00FB48F1">
        <w:t xml:space="preserve">with </w:t>
      </w:r>
      <w:r>
        <w:rPr>
          <w:rFonts w:eastAsiaTheme="minorEastAsia"/>
        </w:rPr>
        <w:t xml:space="preserve">5% dropout (2 drives). </w:t>
      </w:r>
      <w:r w:rsidR="00DB6B31">
        <w:rPr>
          <w:rFonts w:eastAsiaTheme="minorEastAsia"/>
        </w:rPr>
        <w:t xml:space="preserve">After first 12 drives </w:t>
      </w:r>
      <w:r w:rsidR="009E3F69">
        <w:rPr>
          <w:rFonts w:eastAsiaTheme="minorEastAsia"/>
        </w:rPr>
        <w:t xml:space="preserve">were </w:t>
      </w:r>
      <w:r w:rsidR="00833FAB">
        <w:rPr>
          <w:rFonts w:eastAsiaTheme="minorEastAsia"/>
        </w:rPr>
        <w:t>completed,</w:t>
      </w:r>
      <w:r w:rsidR="00DB6B31">
        <w:rPr>
          <w:rFonts w:eastAsiaTheme="minorEastAsia"/>
        </w:rPr>
        <w:t xml:space="preserve"> the study would have an interim analysis every 6 </w:t>
      </w:r>
      <w:r w:rsidR="008E7183">
        <w:rPr>
          <w:rFonts w:eastAsiaTheme="minorEastAsia"/>
        </w:rPr>
        <w:t>days</w:t>
      </w:r>
      <w:r w:rsidR="00FD7D47">
        <w:rPr>
          <w:rFonts w:eastAsiaTheme="minorEastAsia"/>
        </w:rPr>
        <w:t xml:space="preserve"> starting at the day of the first drive.</w:t>
      </w:r>
      <w:r w:rsidR="008E7183">
        <w:rPr>
          <w:rFonts w:eastAsiaTheme="minorEastAsia"/>
        </w:rPr>
        <w:t xml:space="preserve"> This would result in at least 4 interim </w:t>
      </w:r>
      <w:r w:rsidR="00833FAB">
        <w:rPr>
          <w:rFonts w:eastAsiaTheme="minorEastAsia"/>
        </w:rPr>
        <w:t>analyses</w:t>
      </w:r>
      <w:r w:rsidR="008E7183">
        <w:rPr>
          <w:rFonts w:eastAsiaTheme="minorEastAsia"/>
        </w:rPr>
        <w:t>.</w:t>
      </w:r>
      <w:r w:rsidR="00FD7D47">
        <w:rPr>
          <w:rFonts w:eastAsiaTheme="minorEastAsia"/>
        </w:rPr>
        <w:t xml:space="preserve"> </w:t>
      </w:r>
      <w:r w:rsidR="00FD7D47">
        <w:t xml:space="preserve">Pre first interim the subjects were allocated at 2:2:2 ratio. After </w:t>
      </w:r>
      <w:r w:rsidR="00833FAB">
        <w:t xml:space="preserve">the </w:t>
      </w:r>
      <w:r w:rsidR="00FD7D47">
        <w:t>1</w:t>
      </w:r>
      <w:r w:rsidR="00FD7D47" w:rsidRPr="0047382B">
        <w:rPr>
          <w:vertAlign w:val="superscript"/>
        </w:rPr>
        <w:t>st</w:t>
      </w:r>
      <w:r w:rsidR="00FD7D47">
        <w:t xml:space="preserve"> interim drives were allocated in blocks of 6 based </w:t>
      </w:r>
      <w:r w:rsidR="00833FAB">
        <w:t>on the</w:t>
      </w:r>
      <w:r w:rsidR="00FD7D47">
        <w:t xml:space="preserve"> posterior probability of being the fastest route raised to the power of 0.7. The study would stop for futility if the posterior probability of Stateline or Rainbow drive time being less than </w:t>
      </w:r>
      <w:r w:rsidR="00833FAB">
        <w:t xml:space="preserve">the </w:t>
      </w:r>
      <w:r w:rsidR="00FD7D47">
        <w:t xml:space="preserve">Control drive time was less than 0.4. The study would stop for success if the posterior probability of having the lowest driving time </w:t>
      </w:r>
      <w:r w:rsidR="00833FAB">
        <w:t>was</w:t>
      </w:r>
      <w:r w:rsidR="00FD7D47">
        <w:t xml:space="preserve"> greater than 0.99. The study would be declared futile if at final evaluation the posterior probability of Stateline or Rainbow drive time being less than Control drive time was less than 0.4. The study would be considered successful if one out of two following criteria </w:t>
      </w:r>
      <w:r w:rsidR="00833FAB">
        <w:t>was</w:t>
      </w:r>
      <w:r w:rsidR="00FD7D47">
        <w:t xml:space="preserve"> true. The posterior probability of having the lowest driving time </w:t>
      </w:r>
      <w:r w:rsidR="00833FAB">
        <w:t>was</w:t>
      </w:r>
      <w:r w:rsidR="00FD7D47">
        <w:t xml:space="preserve"> greater than 0.99. The posterior probability of Stateline or Rainbow drive time being less than Control drive time was greater than 0.99. The route to compare to Control was picked based on the maximum posterior probability of Rainbow or Stateline having the lowest time.</w:t>
      </w:r>
      <w:r w:rsidR="00FB49B1">
        <w:t xml:space="preserve"> The prior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oMath>
      <w:r w:rsidR="00FB49B1">
        <w:rPr>
          <w:rFonts w:eastAsiaTheme="minorEastAsia"/>
        </w:rPr>
        <w:t xml:space="preserve"> was set to 15 for Control and 13 for Rainbow and Plaza routes; and prior standard deviation was set </w:t>
      </w:r>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d</m:t>
            </m:r>
          </m:sub>
          <m:sup>
            <m:r>
              <w:rPr>
                <w:rFonts w:ascii="Cambria Math" w:eastAsiaTheme="minorEastAsia" w:hAnsi="Cambria Math"/>
              </w:rPr>
              <m:t>2</m:t>
            </m:r>
          </m:sup>
        </m:sSubSup>
      </m:oMath>
      <w:r w:rsidR="00FB49B1">
        <w:rPr>
          <w:rFonts w:eastAsiaTheme="minorEastAsia"/>
        </w:rPr>
        <w:t xml:space="preserve"> to 3 in all arms. For variance prior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μ</m:t>
            </m:r>
          </m:sub>
        </m:sSub>
      </m:oMath>
      <w:r w:rsidR="00FB49B1">
        <w:rPr>
          <w:rFonts w:eastAsiaTheme="minorEastAsia"/>
        </w:rPr>
        <w:t xml:space="preserve"> was set to 10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sidR="00FB49B1">
        <w:rPr>
          <w:rFonts w:eastAsiaTheme="minorEastAsia"/>
        </w:rPr>
        <w:t xml:space="preserve"> was set to 0.1.</w:t>
      </w:r>
    </w:p>
    <w:p w14:paraId="16209ED3" w14:textId="651DD5B6" w:rsidR="000E6B6E" w:rsidRDefault="000E6B6E" w:rsidP="000E6B6E">
      <w:pPr>
        <w:pStyle w:val="Heading2"/>
        <w:rPr>
          <w:rFonts w:eastAsiaTheme="minorEastAsia"/>
        </w:rPr>
      </w:pPr>
      <w:r>
        <w:rPr>
          <w:rFonts w:eastAsiaTheme="minorEastAsia"/>
        </w:rPr>
        <w:t>Lauren’s and Elena’s design</w:t>
      </w:r>
    </w:p>
    <w:p w14:paraId="0CD46970" w14:textId="449C82C1" w:rsidR="004B5C1D" w:rsidRDefault="008E7183" w:rsidP="00EA1B2D">
      <w:pPr>
        <w:rPr>
          <w:rFonts w:eastAsiaTheme="minorEastAsia"/>
        </w:rPr>
      </w:pPr>
      <w:r>
        <w:rPr>
          <w:rFonts w:eastAsiaTheme="minorEastAsia"/>
        </w:rPr>
        <w:t>Lauren’s and Elena’s design had an arm dropping feature.</w:t>
      </w:r>
      <w:r w:rsidR="00B4740C">
        <w:rPr>
          <w:rFonts w:eastAsiaTheme="minorEastAsia"/>
        </w:rPr>
        <w:t xml:space="preserve"> The design assumed</w:t>
      </w:r>
      <w:r w:rsidR="00FB48F1">
        <w:rPr>
          <w:rFonts w:eastAsiaTheme="minorEastAsia"/>
        </w:rPr>
        <w:t xml:space="preserve"> </w:t>
      </w:r>
      <w:r w:rsidR="00FB48F1">
        <w:t>continuous recruiting with no dropouts.</w:t>
      </w:r>
      <w:r w:rsidR="009E3F69">
        <w:t xml:space="preserve"> After first 15 drives were </w:t>
      </w:r>
      <w:r w:rsidR="000D4E8D">
        <w:t>completed,</w:t>
      </w:r>
      <w:r w:rsidR="009E3F69">
        <w:t xml:space="preserve"> the study would have one and only interim analysis. If </w:t>
      </w:r>
      <w:r w:rsidR="00E60021">
        <w:t xml:space="preserve">the </w:t>
      </w:r>
      <w:r w:rsidR="00CF1BE7">
        <w:t xml:space="preserve">posterior </w:t>
      </w:r>
      <w:r w:rsidR="009E3F69">
        <w:t xml:space="preserve">probability of </w:t>
      </w:r>
      <w:r w:rsidR="00CF1BE7">
        <w:t>having</w:t>
      </w:r>
      <w:r w:rsidR="009E3F69">
        <w:t xml:space="preserve"> </w:t>
      </w:r>
      <w:r w:rsidR="00CF1BE7">
        <w:t>the smallest driving time is less than 0.5 Rainbow or Stateline arm would be dropped.</w:t>
      </w:r>
      <w:r w:rsidR="00E60021">
        <w:t xml:space="preserve"> The study would be considered futile and stopped if one out of two following criteria is true. The posterior probability of Stateline or Rainbow drive time being less than Control drive time was less than 0.4. The posterior probability of having the smallest driving time is less than 0.4. The study would be declared futile if at final evaluation if the posterior probability of Stateline or Rainbow drive time being less than Control drive time was less than 0.4. The study would be declared successful if the posterior probability of Stateline or Rainbow drive time being less than Control drive time was greater than 0.98. The route to compare to Control was picked based on the maximum </w:t>
      </w:r>
      <w:r w:rsidR="00E60021">
        <w:lastRenderedPageBreak/>
        <w:t xml:space="preserve">posterior probability of Rainbow or Stateline having the lowest time.  The prior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oMath>
      <w:r w:rsidR="00E60021">
        <w:rPr>
          <w:rFonts w:eastAsiaTheme="minorEastAsia"/>
        </w:rPr>
        <w:t xml:space="preserve"> was set to 15 for Control and 13 for Rainbow and Plaza routes; and prior standard deviation was set </w:t>
      </w:r>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d</m:t>
            </m:r>
          </m:sub>
          <m:sup>
            <m:r>
              <w:rPr>
                <w:rFonts w:ascii="Cambria Math" w:eastAsiaTheme="minorEastAsia" w:hAnsi="Cambria Math"/>
              </w:rPr>
              <m:t>2</m:t>
            </m:r>
          </m:sup>
        </m:sSubSup>
      </m:oMath>
      <w:r w:rsidR="00E60021">
        <w:rPr>
          <w:rFonts w:eastAsiaTheme="minorEastAsia"/>
        </w:rPr>
        <w:t xml:space="preserve"> to 3 in all arms. For variance prior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μ</m:t>
            </m:r>
          </m:sub>
        </m:sSub>
      </m:oMath>
      <w:r w:rsidR="00E60021">
        <w:rPr>
          <w:rFonts w:eastAsiaTheme="minorEastAsia"/>
        </w:rPr>
        <w:t xml:space="preserve"> was set to 10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sidR="00E60021">
        <w:rPr>
          <w:rFonts w:eastAsiaTheme="minorEastAsia"/>
        </w:rPr>
        <w:t xml:space="preserve"> was set to 0.1.</w:t>
      </w:r>
    </w:p>
    <w:p w14:paraId="43510592" w14:textId="2B63E57A" w:rsidR="000E6B6E" w:rsidRDefault="000E6B6E" w:rsidP="000E6B6E">
      <w:pPr>
        <w:pStyle w:val="Heading2"/>
        <w:rPr>
          <w:rFonts w:eastAsiaTheme="minorEastAsia"/>
        </w:rPr>
      </w:pPr>
      <w:r>
        <w:rPr>
          <w:rFonts w:eastAsiaTheme="minorEastAsia"/>
        </w:rPr>
        <w:t>Dr. Byron Gajewski’s design</w:t>
      </w:r>
    </w:p>
    <w:p w14:paraId="5D67E342" w14:textId="25DD796E" w:rsidR="000D4E8D" w:rsidRDefault="000D4E8D" w:rsidP="00EA1B2D">
      <w:r>
        <w:rPr>
          <w:rFonts w:eastAsiaTheme="minorEastAsia"/>
        </w:rPr>
        <w:t xml:space="preserve">Dr. Byron Gajewski proposed two similar designs. One had fixed allocation to the </w:t>
      </w:r>
      <w:r w:rsidR="00833FAB">
        <w:rPr>
          <w:rFonts w:eastAsiaTheme="minorEastAsia"/>
        </w:rPr>
        <w:t xml:space="preserve">Control </w:t>
      </w:r>
      <w:r>
        <w:rPr>
          <w:rFonts w:eastAsiaTheme="minorEastAsia"/>
        </w:rPr>
        <w:t>and another had no fixed allocation.</w:t>
      </w:r>
      <w:r w:rsidR="00F001B3">
        <w:rPr>
          <w:rFonts w:eastAsiaTheme="minorEastAsia"/>
        </w:rPr>
        <w:t xml:space="preserve"> </w:t>
      </w:r>
      <w:r w:rsidR="00F001B3">
        <w:t xml:space="preserve">The designs assumed deterministic accrual with no dropouts. There were 5 interims planned at 10, 15, 20, 25, and 30 subjects. Under fixed allocation </w:t>
      </w:r>
      <w:r w:rsidR="000B3508">
        <w:t>among first 10 subjects 4 were allocated to the Control and remaining 6 were divided equally between Rainbow and Stateline. All remaining subjects were allocated at the blocks of 10 with 4 subjects allocated to the Control and the rest were allocated based on the posterior probability of being the fastest route weighted by the following information formula:</w:t>
      </w:r>
    </w:p>
    <w:p w14:paraId="66ECB31A" w14:textId="79270C4C" w:rsidR="000B3508" w:rsidRDefault="007022B9" w:rsidP="00EA1B2D">
      <w:pPr>
        <w:rPr>
          <w:rFonts w:eastAsiaTheme="minorEastAsia"/>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 xml:space="preserve">  Var</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θ</m:t>
                              </m:r>
                            </m:e>
                            <m: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m:t>
                                  </m:r>
                                </m:sub>
                              </m:sSub>
                            </m:sup>
                          </m:sSup>
                        </m:e>
                      </m:d>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r>
                        <w:rPr>
                          <w:rFonts w:ascii="Cambria Math" w:hAnsi="Cambria Math"/>
                          <w:sz w:val="24"/>
                          <w:szCs w:val="24"/>
                        </w:rPr>
                        <m:t>+1</m:t>
                      </m:r>
                    </m:den>
                  </m:f>
                </m:e>
              </m:d>
            </m:e>
            <m:sup>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m:oMathPara>
    </w:p>
    <w:p w14:paraId="419C4AFD" w14:textId="4C8D30FF" w:rsidR="00A62109" w:rsidRDefault="009F4FE5" w:rsidP="00A62109">
      <w:pPr>
        <w:rPr>
          <w:rFonts w:eastAsiaTheme="minorEastAsia"/>
        </w:rPr>
      </w:pPr>
      <w:r w:rsidRPr="009F4FE5">
        <w:rPr>
          <w:rFonts w:eastAsiaTheme="minorEastAsia"/>
        </w:rPr>
        <w:t xml:space="preserve">Allocation ratio in each arm was calculated as </w:t>
      </w:r>
      <m:oMath>
        <m:f>
          <m:fPr>
            <m:type m:val="lin"/>
            <m:ctrlPr>
              <w:rPr>
                <w:rFonts w:ascii="Cambria Math" w:eastAsia="Times New Roman" w:hAnsi="Cambria Math"/>
                <w:i/>
                <w:iCs/>
                <w:sz w:val="24"/>
                <w:szCs w:val="24"/>
              </w:rPr>
            </m:ctrlPr>
          </m:fPr>
          <m:num>
            <m:sSub>
              <m:sSubPr>
                <m:ctrlPr>
                  <w:rPr>
                    <w:rFonts w:ascii="Cambria Math" w:eastAsia="Times New Roman" w:hAnsi="Cambria Math"/>
                    <w:i/>
                    <w:iCs/>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j</m:t>
                </m:r>
              </m:sub>
            </m:sSub>
          </m:num>
          <m:den>
            <m:r>
              <w:rPr>
                <w:rFonts w:ascii="Cambria Math" w:eastAsia="Times New Roman" w:hAnsi="Cambria Math"/>
                <w:sz w:val="24"/>
                <w:szCs w:val="24"/>
              </w:rPr>
              <m:t>(</m:t>
            </m:r>
            <m:sSub>
              <m:sSubPr>
                <m:ctrlPr>
                  <w:rPr>
                    <w:rFonts w:ascii="Cambria Math" w:eastAsia="Times New Roman" w:hAnsi="Cambria Math"/>
                    <w:i/>
                    <w:iCs/>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iCs/>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2</m:t>
                </m:r>
              </m:sub>
            </m:sSub>
            <m:r>
              <w:rPr>
                <w:rFonts w:ascii="Cambria Math" w:eastAsia="Times New Roman" w:hAnsi="Cambria Math"/>
                <w:sz w:val="24"/>
                <w:szCs w:val="24"/>
              </w:rPr>
              <m:t>)</m:t>
            </m:r>
          </m:den>
        </m:f>
      </m:oMath>
      <w:r w:rsidRPr="009F4FE5">
        <w:rPr>
          <w:rFonts w:eastAsiaTheme="minorEastAsia"/>
        </w:rPr>
        <w:t xml:space="preserve">, and it would randomize </w:t>
      </w:r>
      <w:r>
        <w:rPr>
          <w:rFonts w:eastAsiaTheme="minorEastAsia"/>
        </w:rPr>
        <w:t>next route</w:t>
      </w:r>
      <w:r w:rsidRPr="009F4FE5">
        <w:rPr>
          <w:rFonts w:eastAsiaTheme="minorEastAsia"/>
        </w:rPr>
        <w:t xml:space="preserve"> to the more beneficial arm.</w:t>
      </w:r>
      <w:r>
        <w:rPr>
          <w:rFonts w:eastAsiaTheme="minorEastAsia"/>
        </w:rPr>
        <w:t xml:space="preserve"> Under no fixed allocation to the Control all three arms would be considered for response adaptive randomization and a</w:t>
      </w:r>
      <w:r w:rsidRPr="009F4FE5">
        <w:rPr>
          <w:rFonts w:eastAsiaTheme="minorEastAsia"/>
        </w:rPr>
        <w:t xml:space="preserve">llocation ratio in each arm was calculated as </w:t>
      </w:r>
      <m:oMath>
        <m:f>
          <m:fPr>
            <m:type m:val="lin"/>
            <m:ctrlPr>
              <w:rPr>
                <w:rFonts w:ascii="Cambria Math" w:eastAsia="Times New Roman" w:hAnsi="Cambria Math"/>
                <w:i/>
                <w:iCs/>
                <w:sz w:val="24"/>
                <w:szCs w:val="24"/>
              </w:rPr>
            </m:ctrlPr>
          </m:fPr>
          <m:num>
            <m:sSub>
              <m:sSubPr>
                <m:ctrlPr>
                  <w:rPr>
                    <w:rFonts w:ascii="Cambria Math" w:eastAsia="Times New Roman" w:hAnsi="Cambria Math"/>
                    <w:i/>
                    <w:iCs/>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d</m:t>
                </m:r>
              </m:sub>
            </m:sSub>
          </m:num>
          <m:den>
            <m:r>
              <w:rPr>
                <w:rFonts w:ascii="Cambria Math" w:eastAsia="Times New Roman" w:hAnsi="Cambria Math"/>
                <w:sz w:val="24"/>
                <w:szCs w:val="24"/>
              </w:rPr>
              <m:t>(</m:t>
            </m:r>
            <m:sSub>
              <m:sSubPr>
                <m:ctrlPr>
                  <w:rPr>
                    <w:rFonts w:ascii="Cambria Math" w:eastAsia="Times New Roman" w:hAnsi="Cambria Math"/>
                    <w:i/>
                    <w:iCs/>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iCs/>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2</m:t>
                </m:r>
              </m:sub>
            </m:sSub>
            <m:r>
              <w:rPr>
                <w:rFonts w:ascii="Cambria Math" w:eastAsia="Times New Roman" w:hAnsi="Cambria Math"/>
                <w:sz w:val="24"/>
                <w:szCs w:val="24"/>
              </w:rPr>
              <m:t>+</m:t>
            </m:r>
            <m:sSub>
              <m:sSubPr>
                <m:ctrlPr>
                  <w:rPr>
                    <w:rFonts w:ascii="Cambria Math" w:eastAsia="Times New Roman" w:hAnsi="Cambria Math"/>
                    <w:i/>
                    <w:iCs/>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3</m:t>
                </m:r>
              </m:sub>
            </m:sSub>
            <m:r>
              <w:rPr>
                <w:rFonts w:ascii="Cambria Math" w:eastAsia="Times New Roman" w:hAnsi="Cambria Math"/>
                <w:sz w:val="24"/>
                <w:szCs w:val="24"/>
              </w:rPr>
              <m:t>)</m:t>
            </m:r>
          </m:den>
        </m:f>
      </m:oMath>
      <w:r>
        <w:rPr>
          <w:rFonts w:eastAsiaTheme="minorEastAsia"/>
        </w:rPr>
        <w:t xml:space="preserve">. Both designs </w:t>
      </w:r>
      <w:r w:rsidR="00A62109">
        <w:rPr>
          <w:rFonts w:eastAsiaTheme="minorEastAsia"/>
        </w:rPr>
        <w:t xml:space="preserve">had the same success and futility criteria and priors. </w:t>
      </w:r>
      <w:r w:rsidR="00A62109">
        <w:t>The study would stop for futility if posterior probability of Stateline or Rainbow drive time being less than Control drive time by 0.5 minute was less than 0.15. The study would stop for success if posterior probability of Stateline or Rainbow drive time being less than Control drive time was greater than 0.99925. The route to compare to</w:t>
      </w:r>
      <w:r w:rsidR="00833FAB">
        <w:t xml:space="preserve"> the</w:t>
      </w:r>
      <w:r w:rsidR="00A62109">
        <w:t xml:space="preserve"> Control was picked based on the maximum posterior probability of Rainbow or Stateline having the lowest time. The final success of a trial </w:t>
      </w:r>
      <w:r w:rsidR="00833FAB">
        <w:t>was</w:t>
      </w:r>
      <w:r w:rsidR="00A62109">
        <w:t xml:space="preserve"> determined by </w:t>
      </w:r>
      <w:r w:rsidR="00833FAB">
        <w:t xml:space="preserve">the </w:t>
      </w:r>
      <w:r w:rsidR="00A62109">
        <w:t xml:space="preserve">posterior probability of Stateline or Rainbow drive time being less than Control drive time was greater than 0.99. The prior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m:t>
            </m:r>
          </m:sub>
        </m:sSub>
      </m:oMath>
      <w:r w:rsidR="00A62109">
        <w:rPr>
          <w:rFonts w:eastAsiaTheme="minorEastAsia"/>
        </w:rPr>
        <w:t xml:space="preserve"> was set to 10 and prior standard deviation was set </w:t>
      </w:r>
      <m:oMath>
        <m:sSubSup>
          <m:sSubSupPr>
            <m:ctrlPr>
              <w:rPr>
                <w:rFonts w:ascii="Cambria Math" w:eastAsiaTheme="minorEastAsia" w:hAnsi="Cambria Math"/>
                <w:i/>
              </w:rPr>
            </m:ctrlPr>
          </m:sSubSupPr>
          <m:e>
            <m:r>
              <w:rPr>
                <w:rFonts w:ascii="Cambria Math" w:eastAsiaTheme="minorEastAsia" w:hAnsi="Cambria Math"/>
              </w:rPr>
              <m:t>τ</m:t>
            </m:r>
          </m:e>
          <m:sub>
            <m:r>
              <w:rPr>
                <w:rFonts w:ascii="Cambria Math" w:eastAsiaTheme="minorEastAsia" w:hAnsi="Cambria Math"/>
              </w:rPr>
              <m:t>d</m:t>
            </m:r>
          </m:sub>
          <m:sup>
            <m:r>
              <w:rPr>
                <w:rFonts w:ascii="Cambria Math" w:eastAsiaTheme="minorEastAsia" w:hAnsi="Cambria Math"/>
              </w:rPr>
              <m:t>2</m:t>
            </m:r>
          </m:sup>
        </m:sSubSup>
      </m:oMath>
      <w:r w:rsidR="00A62109">
        <w:rPr>
          <w:rFonts w:eastAsiaTheme="minorEastAsia"/>
        </w:rPr>
        <w:t xml:space="preserve"> to 10. For variance prior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μ</m:t>
            </m:r>
          </m:sub>
        </m:sSub>
      </m:oMath>
      <w:r w:rsidR="00A62109">
        <w:rPr>
          <w:rFonts w:eastAsiaTheme="minorEastAsia"/>
        </w:rPr>
        <w:t xml:space="preserve"> was set to 1.2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oMath>
      <w:r w:rsidR="00A62109">
        <w:rPr>
          <w:rFonts w:eastAsiaTheme="minorEastAsia"/>
        </w:rPr>
        <w:t xml:space="preserve"> was set to 0.01.</w:t>
      </w:r>
    </w:p>
    <w:p w14:paraId="3DF17FF8" w14:textId="3ED16E79" w:rsidR="000E6B6E" w:rsidRDefault="000E6B6E" w:rsidP="000E6B6E">
      <w:pPr>
        <w:pStyle w:val="Heading2"/>
        <w:rPr>
          <w:rFonts w:eastAsiaTheme="minorEastAsia"/>
        </w:rPr>
      </w:pPr>
      <w:r>
        <w:rPr>
          <w:rFonts w:eastAsiaTheme="minorEastAsia"/>
        </w:rPr>
        <w:t>Discussion</w:t>
      </w:r>
    </w:p>
    <w:p w14:paraId="7AFC6505" w14:textId="4B4CC028" w:rsidR="002D1E86" w:rsidRDefault="002D1E86" w:rsidP="00A62109">
      <w:pPr>
        <w:rPr>
          <w:rFonts w:eastAsiaTheme="minorEastAsia"/>
        </w:rPr>
      </w:pPr>
      <w:r>
        <w:rPr>
          <w:rFonts w:eastAsiaTheme="minorEastAsia"/>
        </w:rPr>
        <w:t>All designs provided control over</w:t>
      </w:r>
      <w:r w:rsidR="00833FAB">
        <w:rPr>
          <w:rFonts w:eastAsiaTheme="minorEastAsia"/>
        </w:rPr>
        <w:t xml:space="preserve"> the</w:t>
      </w:r>
      <w:r>
        <w:rPr>
          <w:rFonts w:eastAsiaTheme="minorEastAsia"/>
        </w:rPr>
        <w:t xml:space="preserve"> </w:t>
      </w:r>
      <w:r w:rsidR="00833FAB">
        <w:rPr>
          <w:rFonts w:eastAsiaTheme="minorEastAsia"/>
        </w:rPr>
        <w:t>t</w:t>
      </w:r>
      <w:r>
        <w:rPr>
          <w:rFonts w:eastAsiaTheme="minorEastAsia"/>
        </w:rPr>
        <w:t>arget Type 1 error of 2.5%</w:t>
      </w:r>
      <w:r w:rsidR="009D50F2">
        <w:rPr>
          <w:rFonts w:eastAsiaTheme="minorEastAsia"/>
        </w:rPr>
        <w:t xml:space="preserve"> (Table 1)</w:t>
      </w:r>
      <w:r>
        <w:rPr>
          <w:rFonts w:eastAsiaTheme="minorEastAsia"/>
        </w:rPr>
        <w:t xml:space="preserve">. Most of the designs achieved 90% power under both “Expected” and “Best” scenario. Only designs proposed by DIAS group and Dr. Gajewski showed reduced number of drives required to achieve target power. However, No Fixed Control design by Dr. Gajewski had less desirable characteristics compared to Fixed Control design. Fixed control design and DIAS design </w:t>
      </w:r>
      <w:r w:rsidR="00D4071A">
        <w:rPr>
          <w:rFonts w:eastAsiaTheme="minorEastAsia"/>
        </w:rPr>
        <w:t>provided similar rates of early sample savings</w:t>
      </w:r>
      <w:r w:rsidR="00620DB0">
        <w:rPr>
          <w:rFonts w:eastAsiaTheme="minorEastAsia"/>
        </w:rPr>
        <w:t>, but</w:t>
      </w:r>
      <w:r w:rsidR="00D4071A">
        <w:rPr>
          <w:rFonts w:eastAsiaTheme="minorEastAsia"/>
        </w:rPr>
        <w:t xml:space="preserve"> DIAS design showed slightly improved power under both “Expected” and “Best” scenario</w:t>
      </w:r>
      <w:r w:rsidR="00620DB0">
        <w:rPr>
          <w:rFonts w:eastAsiaTheme="minorEastAsia"/>
        </w:rPr>
        <w:t xml:space="preserve">s. DIAS design required only 3 interims compared to 5 interims under Fixed Control. This could be considered as an advantage as less resources would be required to complete the study. Overall, DIAS design </w:t>
      </w:r>
      <w:r w:rsidR="009D50F2">
        <w:rPr>
          <w:rFonts w:eastAsiaTheme="minorEastAsia"/>
        </w:rPr>
        <w:t>provided the most optimal combination of operating characteristics and demonstrated opportunity for best driving experience and study execution.</w:t>
      </w:r>
      <w:r w:rsidR="00012792">
        <w:rPr>
          <w:rFonts w:eastAsiaTheme="minorEastAsia"/>
        </w:rPr>
        <w:t xml:space="preserve"> </w:t>
      </w:r>
    </w:p>
    <w:p w14:paraId="5013C57C" w14:textId="6BCC927A" w:rsidR="00A62109" w:rsidRDefault="00A62109" w:rsidP="00A62109">
      <w:pPr>
        <w:rPr>
          <w:rFonts w:eastAsiaTheme="minorEastAsia"/>
        </w:rPr>
      </w:pPr>
      <w:r>
        <w:rPr>
          <w:rFonts w:eastAsiaTheme="minorEastAsia"/>
        </w:rPr>
        <w:t>Table 1. Operating characteristics.</w:t>
      </w:r>
    </w:p>
    <w:tbl>
      <w:tblPr>
        <w:tblStyle w:val="TableGrid"/>
        <w:tblW w:w="7170" w:type="dxa"/>
        <w:tblLook w:val="0420" w:firstRow="1" w:lastRow="0" w:firstColumn="0" w:lastColumn="0" w:noHBand="0" w:noVBand="1"/>
      </w:tblPr>
      <w:tblGrid>
        <w:gridCol w:w="2059"/>
        <w:gridCol w:w="1718"/>
        <w:gridCol w:w="1378"/>
        <w:gridCol w:w="2015"/>
      </w:tblGrid>
      <w:tr w:rsidR="00A62109" w:rsidRPr="00A62109" w14:paraId="7E2D2DCF" w14:textId="77777777" w:rsidTr="00A62109">
        <w:trPr>
          <w:trHeight w:val="751"/>
        </w:trPr>
        <w:tc>
          <w:tcPr>
            <w:tcW w:w="2059" w:type="dxa"/>
            <w:hideMark/>
          </w:tcPr>
          <w:p w14:paraId="30E03226" w14:textId="77777777" w:rsidR="00A62109" w:rsidRPr="00A62109" w:rsidRDefault="00A62109" w:rsidP="00A62109">
            <w:pPr>
              <w:rPr>
                <w:rFonts w:eastAsiaTheme="minorEastAsia"/>
              </w:rPr>
            </w:pPr>
            <w:r w:rsidRPr="00A62109">
              <w:rPr>
                <w:rFonts w:eastAsiaTheme="minorEastAsia"/>
                <w:b/>
                <w:bCs/>
              </w:rPr>
              <w:t>Team</w:t>
            </w:r>
          </w:p>
        </w:tc>
        <w:tc>
          <w:tcPr>
            <w:tcW w:w="1718" w:type="dxa"/>
            <w:hideMark/>
          </w:tcPr>
          <w:p w14:paraId="402EA654" w14:textId="77777777" w:rsidR="00A62109" w:rsidRPr="00A62109" w:rsidRDefault="00A62109" w:rsidP="00A62109">
            <w:pPr>
              <w:spacing w:after="160" w:line="259" w:lineRule="auto"/>
              <w:rPr>
                <w:rFonts w:eastAsiaTheme="minorEastAsia"/>
              </w:rPr>
            </w:pPr>
            <w:r w:rsidRPr="00A62109">
              <w:rPr>
                <w:rFonts w:eastAsiaTheme="minorEastAsia"/>
                <w:b/>
                <w:bCs/>
              </w:rPr>
              <w:t>Hypothesis</w:t>
            </w:r>
          </w:p>
        </w:tc>
        <w:tc>
          <w:tcPr>
            <w:tcW w:w="1378" w:type="dxa"/>
            <w:hideMark/>
          </w:tcPr>
          <w:p w14:paraId="58AFC4DF" w14:textId="77777777" w:rsidR="00A62109" w:rsidRPr="00A62109" w:rsidRDefault="00A62109" w:rsidP="00A62109">
            <w:pPr>
              <w:spacing w:after="160" w:line="259" w:lineRule="auto"/>
              <w:rPr>
                <w:rFonts w:eastAsiaTheme="minorEastAsia"/>
              </w:rPr>
            </w:pPr>
            <w:r w:rsidRPr="00A62109">
              <w:rPr>
                <w:rFonts w:eastAsiaTheme="minorEastAsia"/>
                <w:b/>
                <w:bCs/>
              </w:rPr>
              <w:t>Mean subjects</w:t>
            </w:r>
          </w:p>
        </w:tc>
        <w:tc>
          <w:tcPr>
            <w:tcW w:w="2015" w:type="dxa"/>
            <w:hideMark/>
          </w:tcPr>
          <w:p w14:paraId="6A208F7A" w14:textId="4A4B287E" w:rsidR="00A62109" w:rsidRPr="00A62109" w:rsidRDefault="00A62109" w:rsidP="00A62109">
            <w:pPr>
              <w:spacing w:after="160" w:line="259" w:lineRule="auto"/>
              <w:rPr>
                <w:rFonts w:eastAsiaTheme="minorEastAsia"/>
              </w:rPr>
            </w:pPr>
            <w:r>
              <w:rPr>
                <w:rFonts w:eastAsiaTheme="minorEastAsia"/>
                <w:b/>
                <w:bCs/>
              </w:rPr>
              <w:t>Proportion of successful trials</w:t>
            </w:r>
          </w:p>
        </w:tc>
      </w:tr>
      <w:tr w:rsidR="00A62109" w:rsidRPr="00A62109" w14:paraId="08CEAFC9" w14:textId="77777777" w:rsidTr="00A62109">
        <w:trPr>
          <w:trHeight w:val="398"/>
        </w:trPr>
        <w:tc>
          <w:tcPr>
            <w:tcW w:w="2059" w:type="dxa"/>
            <w:vMerge w:val="restart"/>
            <w:hideMark/>
          </w:tcPr>
          <w:p w14:paraId="26434D05" w14:textId="77777777" w:rsidR="00A62109" w:rsidRPr="00A62109" w:rsidRDefault="00A62109" w:rsidP="00A62109">
            <w:pPr>
              <w:spacing w:after="160" w:line="259" w:lineRule="auto"/>
              <w:rPr>
                <w:rFonts w:eastAsiaTheme="minorEastAsia"/>
              </w:rPr>
            </w:pPr>
            <w:r w:rsidRPr="00A62109">
              <w:rPr>
                <w:rFonts w:eastAsiaTheme="minorEastAsia"/>
              </w:rPr>
              <w:lastRenderedPageBreak/>
              <w:t>DIAS</w:t>
            </w:r>
          </w:p>
        </w:tc>
        <w:tc>
          <w:tcPr>
            <w:tcW w:w="1718" w:type="dxa"/>
            <w:hideMark/>
          </w:tcPr>
          <w:p w14:paraId="4B41469C" w14:textId="77777777" w:rsidR="00A62109" w:rsidRPr="00A62109" w:rsidRDefault="00A62109" w:rsidP="00A62109">
            <w:pPr>
              <w:spacing w:after="160" w:line="259" w:lineRule="auto"/>
              <w:rPr>
                <w:rFonts w:eastAsiaTheme="minorEastAsia"/>
              </w:rPr>
            </w:pPr>
            <w:r w:rsidRPr="00A62109">
              <w:rPr>
                <w:rFonts w:eastAsiaTheme="minorEastAsia"/>
              </w:rPr>
              <w:t>Null</w:t>
            </w:r>
          </w:p>
        </w:tc>
        <w:tc>
          <w:tcPr>
            <w:tcW w:w="1378" w:type="dxa"/>
            <w:hideMark/>
          </w:tcPr>
          <w:p w14:paraId="223EB420" w14:textId="77777777" w:rsidR="00A62109" w:rsidRPr="00A62109" w:rsidRDefault="00A62109" w:rsidP="00A62109">
            <w:pPr>
              <w:spacing w:after="160" w:line="259" w:lineRule="auto"/>
              <w:rPr>
                <w:rFonts w:eastAsiaTheme="minorEastAsia"/>
              </w:rPr>
            </w:pPr>
            <w:r w:rsidRPr="00A62109">
              <w:rPr>
                <w:rFonts w:eastAsiaTheme="minorEastAsia"/>
              </w:rPr>
              <w:t>23.55</w:t>
            </w:r>
          </w:p>
        </w:tc>
        <w:tc>
          <w:tcPr>
            <w:tcW w:w="2015" w:type="dxa"/>
            <w:hideMark/>
          </w:tcPr>
          <w:p w14:paraId="5A910737" w14:textId="77777777" w:rsidR="00A62109" w:rsidRPr="00A62109" w:rsidRDefault="00A62109" w:rsidP="00A62109">
            <w:pPr>
              <w:spacing w:after="160" w:line="259" w:lineRule="auto"/>
              <w:rPr>
                <w:rFonts w:eastAsiaTheme="minorEastAsia"/>
              </w:rPr>
            </w:pPr>
            <w:r w:rsidRPr="00A62109">
              <w:rPr>
                <w:rFonts w:eastAsiaTheme="minorEastAsia"/>
              </w:rPr>
              <w:t>0.024</w:t>
            </w:r>
          </w:p>
        </w:tc>
      </w:tr>
      <w:tr w:rsidR="00A62109" w:rsidRPr="00A62109" w14:paraId="28FBE112" w14:textId="77777777" w:rsidTr="00A62109">
        <w:trPr>
          <w:trHeight w:val="398"/>
        </w:trPr>
        <w:tc>
          <w:tcPr>
            <w:tcW w:w="0" w:type="auto"/>
            <w:vMerge/>
            <w:hideMark/>
          </w:tcPr>
          <w:p w14:paraId="7C3A6D96" w14:textId="77777777" w:rsidR="00A62109" w:rsidRPr="00A62109" w:rsidRDefault="00A62109" w:rsidP="00A62109">
            <w:pPr>
              <w:rPr>
                <w:rFonts w:eastAsiaTheme="minorEastAsia"/>
              </w:rPr>
            </w:pPr>
          </w:p>
        </w:tc>
        <w:tc>
          <w:tcPr>
            <w:tcW w:w="1718" w:type="dxa"/>
            <w:hideMark/>
          </w:tcPr>
          <w:p w14:paraId="628104B8" w14:textId="77777777" w:rsidR="00A62109" w:rsidRPr="00A62109" w:rsidRDefault="00A62109" w:rsidP="00A62109">
            <w:pPr>
              <w:spacing w:after="160" w:line="259" w:lineRule="auto"/>
              <w:rPr>
                <w:rFonts w:eastAsiaTheme="minorEastAsia"/>
              </w:rPr>
            </w:pPr>
            <w:r w:rsidRPr="00A62109">
              <w:rPr>
                <w:rFonts w:eastAsiaTheme="minorEastAsia"/>
              </w:rPr>
              <w:t>Expected</w:t>
            </w:r>
          </w:p>
        </w:tc>
        <w:tc>
          <w:tcPr>
            <w:tcW w:w="1378" w:type="dxa"/>
            <w:hideMark/>
          </w:tcPr>
          <w:p w14:paraId="0A9EF405" w14:textId="77777777" w:rsidR="00A62109" w:rsidRPr="00A62109" w:rsidRDefault="00A62109" w:rsidP="00A62109">
            <w:pPr>
              <w:spacing w:after="160" w:line="259" w:lineRule="auto"/>
              <w:rPr>
                <w:rFonts w:eastAsiaTheme="minorEastAsia"/>
              </w:rPr>
            </w:pPr>
            <w:r w:rsidRPr="00A62109">
              <w:rPr>
                <w:rFonts w:eastAsiaTheme="minorEastAsia"/>
              </w:rPr>
              <w:t>23.59</w:t>
            </w:r>
          </w:p>
        </w:tc>
        <w:tc>
          <w:tcPr>
            <w:tcW w:w="2015" w:type="dxa"/>
            <w:hideMark/>
          </w:tcPr>
          <w:p w14:paraId="0F0409E2" w14:textId="656E7630" w:rsidR="00A62109" w:rsidRPr="00A62109" w:rsidRDefault="00A62109" w:rsidP="00A62109">
            <w:pPr>
              <w:spacing w:after="160" w:line="259" w:lineRule="auto"/>
              <w:rPr>
                <w:rFonts w:eastAsiaTheme="minorEastAsia"/>
              </w:rPr>
            </w:pPr>
            <w:r w:rsidRPr="00A62109">
              <w:rPr>
                <w:rFonts w:eastAsiaTheme="minorEastAsia"/>
              </w:rPr>
              <w:t>0.98</w:t>
            </w:r>
            <w:r w:rsidR="00817EAA">
              <w:rPr>
                <w:rFonts w:eastAsiaTheme="minorEastAsia"/>
              </w:rPr>
              <w:t>0</w:t>
            </w:r>
          </w:p>
        </w:tc>
      </w:tr>
      <w:tr w:rsidR="00A62109" w:rsidRPr="00A62109" w14:paraId="66A96EAB" w14:textId="77777777" w:rsidTr="00A62109">
        <w:trPr>
          <w:trHeight w:val="398"/>
        </w:trPr>
        <w:tc>
          <w:tcPr>
            <w:tcW w:w="0" w:type="auto"/>
            <w:vMerge/>
            <w:hideMark/>
          </w:tcPr>
          <w:p w14:paraId="61F62B55" w14:textId="77777777" w:rsidR="00A62109" w:rsidRPr="00A62109" w:rsidRDefault="00A62109" w:rsidP="00A62109">
            <w:pPr>
              <w:rPr>
                <w:rFonts w:eastAsiaTheme="minorEastAsia"/>
              </w:rPr>
            </w:pPr>
          </w:p>
        </w:tc>
        <w:tc>
          <w:tcPr>
            <w:tcW w:w="1718" w:type="dxa"/>
            <w:hideMark/>
          </w:tcPr>
          <w:p w14:paraId="05B9D130" w14:textId="77777777" w:rsidR="00A62109" w:rsidRPr="00A62109" w:rsidRDefault="00A62109" w:rsidP="00A62109">
            <w:pPr>
              <w:spacing w:after="160" w:line="259" w:lineRule="auto"/>
              <w:rPr>
                <w:rFonts w:eastAsiaTheme="minorEastAsia"/>
              </w:rPr>
            </w:pPr>
            <w:r w:rsidRPr="00A62109">
              <w:rPr>
                <w:rFonts w:eastAsiaTheme="minorEastAsia"/>
              </w:rPr>
              <w:t>Best</w:t>
            </w:r>
          </w:p>
        </w:tc>
        <w:tc>
          <w:tcPr>
            <w:tcW w:w="1378" w:type="dxa"/>
            <w:hideMark/>
          </w:tcPr>
          <w:p w14:paraId="449AE2FF" w14:textId="77777777" w:rsidR="00A62109" w:rsidRPr="00A62109" w:rsidRDefault="00A62109" w:rsidP="00A62109">
            <w:pPr>
              <w:spacing w:after="160" w:line="259" w:lineRule="auto"/>
              <w:rPr>
                <w:rFonts w:eastAsiaTheme="minorEastAsia"/>
              </w:rPr>
            </w:pPr>
            <w:r w:rsidRPr="00A62109">
              <w:rPr>
                <w:rFonts w:eastAsiaTheme="minorEastAsia"/>
              </w:rPr>
              <w:t>25.11</w:t>
            </w:r>
          </w:p>
        </w:tc>
        <w:tc>
          <w:tcPr>
            <w:tcW w:w="2015" w:type="dxa"/>
            <w:hideMark/>
          </w:tcPr>
          <w:p w14:paraId="05033233" w14:textId="77777777" w:rsidR="00A62109" w:rsidRPr="00A62109" w:rsidRDefault="00A62109" w:rsidP="00A62109">
            <w:pPr>
              <w:spacing w:after="160" w:line="259" w:lineRule="auto"/>
              <w:rPr>
                <w:rFonts w:eastAsiaTheme="minorEastAsia"/>
              </w:rPr>
            </w:pPr>
            <w:r w:rsidRPr="00A62109">
              <w:rPr>
                <w:rFonts w:eastAsiaTheme="minorEastAsia"/>
              </w:rPr>
              <w:t>0.944</w:t>
            </w:r>
          </w:p>
        </w:tc>
      </w:tr>
      <w:tr w:rsidR="00A62109" w:rsidRPr="00A62109" w14:paraId="555175F3" w14:textId="77777777" w:rsidTr="00A62109">
        <w:trPr>
          <w:trHeight w:val="398"/>
        </w:trPr>
        <w:tc>
          <w:tcPr>
            <w:tcW w:w="2059" w:type="dxa"/>
            <w:vMerge w:val="restart"/>
            <w:hideMark/>
          </w:tcPr>
          <w:p w14:paraId="0D079368" w14:textId="77777777" w:rsidR="00A62109" w:rsidRPr="00A62109" w:rsidRDefault="00A62109" w:rsidP="00A62109">
            <w:pPr>
              <w:spacing w:after="160" w:line="259" w:lineRule="auto"/>
              <w:rPr>
                <w:rFonts w:eastAsiaTheme="minorEastAsia"/>
              </w:rPr>
            </w:pPr>
            <w:r w:rsidRPr="00A62109">
              <w:rPr>
                <w:rFonts w:eastAsiaTheme="minorEastAsia"/>
              </w:rPr>
              <w:t>TheStarFish</w:t>
            </w:r>
          </w:p>
        </w:tc>
        <w:tc>
          <w:tcPr>
            <w:tcW w:w="1718" w:type="dxa"/>
            <w:hideMark/>
          </w:tcPr>
          <w:p w14:paraId="0A665DD0" w14:textId="77777777" w:rsidR="00A62109" w:rsidRPr="00A62109" w:rsidRDefault="00A62109" w:rsidP="00A62109">
            <w:pPr>
              <w:spacing w:after="160" w:line="259" w:lineRule="auto"/>
              <w:rPr>
                <w:rFonts w:eastAsiaTheme="minorEastAsia"/>
              </w:rPr>
            </w:pPr>
            <w:r w:rsidRPr="00A62109">
              <w:rPr>
                <w:rFonts w:eastAsiaTheme="minorEastAsia"/>
              </w:rPr>
              <w:t>Null</w:t>
            </w:r>
          </w:p>
        </w:tc>
        <w:tc>
          <w:tcPr>
            <w:tcW w:w="1378" w:type="dxa"/>
            <w:hideMark/>
          </w:tcPr>
          <w:p w14:paraId="1429B647" w14:textId="77777777" w:rsidR="00A62109" w:rsidRPr="00A62109" w:rsidRDefault="00A62109" w:rsidP="00A62109">
            <w:pPr>
              <w:spacing w:after="160" w:line="259" w:lineRule="auto"/>
              <w:rPr>
                <w:rFonts w:eastAsiaTheme="minorEastAsia"/>
              </w:rPr>
            </w:pPr>
            <w:r w:rsidRPr="00A62109">
              <w:rPr>
                <w:rFonts w:eastAsiaTheme="minorEastAsia"/>
              </w:rPr>
              <w:t>29.48</w:t>
            </w:r>
          </w:p>
        </w:tc>
        <w:tc>
          <w:tcPr>
            <w:tcW w:w="2015" w:type="dxa"/>
            <w:hideMark/>
          </w:tcPr>
          <w:p w14:paraId="1F4280BC" w14:textId="138B6355" w:rsidR="00A62109" w:rsidRPr="00A62109" w:rsidRDefault="00A62109" w:rsidP="00A62109">
            <w:pPr>
              <w:spacing w:after="160" w:line="259" w:lineRule="auto"/>
              <w:rPr>
                <w:rFonts w:eastAsiaTheme="minorEastAsia"/>
              </w:rPr>
            </w:pPr>
            <w:r w:rsidRPr="00A62109">
              <w:rPr>
                <w:rFonts w:eastAsiaTheme="minorEastAsia"/>
              </w:rPr>
              <w:t>0.02</w:t>
            </w:r>
            <w:r w:rsidR="00817EAA">
              <w:rPr>
                <w:rFonts w:eastAsiaTheme="minorEastAsia"/>
              </w:rPr>
              <w:t>4</w:t>
            </w:r>
          </w:p>
        </w:tc>
      </w:tr>
      <w:tr w:rsidR="00A62109" w:rsidRPr="00A62109" w14:paraId="594B13E3" w14:textId="77777777" w:rsidTr="00A62109">
        <w:trPr>
          <w:trHeight w:val="398"/>
        </w:trPr>
        <w:tc>
          <w:tcPr>
            <w:tcW w:w="0" w:type="auto"/>
            <w:vMerge/>
            <w:hideMark/>
          </w:tcPr>
          <w:p w14:paraId="3126DA53" w14:textId="77777777" w:rsidR="00A62109" w:rsidRPr="00A62109" w:rsidRDefault="00A62109" w:rsidP="00A62109">
            <w:pPr>
              <w:rPr>
                <w:rFonts w:eastAsiaTheme="minorEastAsia"/>
              </w:rPr>
            </w:pPr>
          </w:p>
        </w:tc>
        <w:tc>
          <w:tcPr>
            <w:tcW w:w="1718" w:type="dxa"/>
            <w:hideMark/>
          </w:tcPr>
          <w:p w14:paraId="1B052E92" w14:textId="77777777" w:rsidR="00A62109" w:rsidRPr="00A62109" w:rsidRDefault="00A62109" w:rsidP="00A62109">
            <w:pPr>
              <w:spacing w:after="160" w:line="259" w:lineRule="auto"/>
              <w:rPr>
                <w:rFonts w:eastAsiaTheme="minorEastAsia"/>
              </w:rPr>
            </w:pPr>
            <w:r w:rsidRPr="00A62109">
              <w:rPr>
                <w:rFonts w:eastAsiaTheme="minorEastAsia"/>
              </w:rPr>
              <w:t>Expected</w:t>
            </w:r>
          </w:p>
        </w:tc>
        <w:tc>
          <w:tcPr>
            <w:tcW w:w="1378" w:type="dxa"/>
            <w:hideMark/>
          </w:tcPr>
          <w:p w14:paraId="30D8639E" w14:textId="77777777" w:rsidR="00A62109" w:rsidRPr="00A62109" w:rsidRDefault="00A62109" w:rsidP="00A62109">
            <w:pPr>
              <w:spacing w:after="160" w:line="259" w:lineRule="auto"/>
              <w:rPr>
                <w:rFonts w:eastAsiaTheme="minorEastAsia"/>
              </w:rPr>
            </w:pPr>
            <w:r w:rsidRPr="00A62109">
              <w:rPr>
                <w:rFonts w:eastAsiaTheme="minorEastAsia"/>
              </w:rPr>
              <w:t>32.89</w:t>
            </w:r>
          </w:p>
        </w:tc>
        <w:tc>
          <w:tcPr>
            <w:tcW w:w="2015" w:type="dxa"/>
            <w:hideMark/>
          </w:tcPr>
          <w:p w14:paraId="7872704C" w14:textId="77777777" w:rsidR="00A62109" w:rsidRPr="00A62109" w:rsidRDefault="00A62109" w:rsidP="00A62109">
            <w:pPr>
              <w:spacing w:after="160" w:line="259" w:lineRule="auto"/>
              <w:rPr>
                <w:rFonts w:eastAsiaTheme="minorEastAsia"/>
              </w:rPr>
            </w:pPr>
            <w:r w:rsidRPr="00A62109">
              <w:rPr>
                <w:rFonts w:eastAsiaTheme="minorEastAsia"/>
              </w:rPr>
              <w:t>0.949</w:t>
            </w:r>
          </w:p>
        </w:tc>
      </w:tr>
      <w:tr w:rsidR="00A62109" w:rsidRPr="00A62109" w14:paraId="5B45AA64" w14:textId="77777777" w:rsidTr="00A62109">
        <w:trPr>
          <w:trHeight w:val="574"/>
        </w:trPr>
        <w:tc>
          <w:tcPr>
            <w:tcW w:w="0" w:type="auto"/>
            <w:vMerge/>
            <w:hideMark/>
          </w:tcPr>
          <w:p w14:paraId="3046C41B" w14:textId="77777777" w:rsidR="00A62109" w:rsidRPr="00A62109" w:rsidRDefault="00A62109" w:rsidP="00A62109">
            <w:pPr>
              <w:rPr>
                <w:rFonts w:eastAsiaTheme="minorEastAsia"/>
              </w:rPr>
            </w:pPr>
          </w:p>
        </w:tc>
        <w:tc>
          <w:tcPr>
            <w:tcW w:w="1718" w:type="dxa"/>
            <w:hideMark/>
          </w:tcPr>
          <w:p w14:paraId="243902E2" w14:textId="77777777" w:rsidR="00A62109" w:rsidRPr="00A62109" w:rsidRDefault="00A62109" w:rsidP="00A62109">
            <w:pPr>
              <w:spacing w:after="160" w:line="259" w:lineRule="auto"/>
              <w:rPr>
                <w:rFonts w:eastAsiaTheme="minorEastAsia"/>
              </w:rPr>
            </w:pPr>
            <w:r w:rsidRPr="00A62109">
              <w:rPr>
                <w:rFonts w:eastAsiaTheme="minorEastAsia"/>
              </w:rPr>
              <w:t>Best</w:t>
            </w:r>
          </w:p>
        </w:tc>
        <w:tc>
          <w:tcPr>
            <w:tcW w:w="1378" w:type="dxa"/>
            <w:hideMark/>
          </w:tcPr>
          <w:p w14:paraId="3A304F79" w14:textId="77777777" w:rsidR="00A62109" w:rsidRPr="00A62109" w:rsidRDefault="00A62109" w:rsidP="00A62109">
            <w:pPr>
              <w:spacing w:after="160" w:line="259" w:lineRule="auto"/>
              <w:rPr>
                <w:rFonts w:eastAsiaTheme="minorEastAsia"/>
              </w:rPr>
            </w:pPr>
            <w:r w:rsidRPr="00A62109">
              <w:rPr>
                <w:rFonts w:eastAsiaTheme="minorEastAsia"/>
              </w:rPr>
              <w:t>31.93</w:t>
            </w:r>
          </w:p>
        </w:tc>
        <w:tc>
          <w:tcPr>
            <w:tcW w:w="2015" w:type="dxa"/>
            <w:hideMark/>
          </w:tcPr>
          <w:p w14:paraId="6A65B7B6" w14:textId="31C2DE9B" w:rsidR="00A62109" w:rsidRPr="00A62109" w:rsidRDefault="00A62109" w:rsidP="00A62109">
            <w:pPr>
              <w:spacing w:after="160" w:line="259" w:lineRule="auto"/>
              <w:rPr>
                <w:rFonts w:eastAsiaTheme="minorEastAsia"/>
              </w:rPr>
            </w:pPr>
            <w:r w:rsidRPr="00A62109">
              <w:rPr>
                <w:rFonts w:eastAsiaTheme="minorEastAsia"/>
              </w:rPr>
              <w:t>0.89</w:t>
            </w:r>
            <w:r w:rsidR="00051C90">
              <w:rPr>
                <w:rFonts w:eastAsiaTheme="minorEastAsia"/>
              </w:rPr>
              <w:t>7</w:t>
            </w:r>
          </w:p>
        </w:tc>
      </w:tr>
      <w:tr w:rsidR="00A62109" w:rsidRPr="00A62109" w14:paraId="347DDB03" w14:textId="77777777" w:rsidTr="00A62109">
        <w:trPr>
          <w:trHeight w:val="398"/>
        </w:trPr>
        <w:tc>
          <w:tcPr>
            <w:tcW w:w="2059" w:type="dxa"/>
            <w:vMerge w:val="restart"/>
            <w:hideMark/>
          </w:tcPr>
          <w:p w14:paraId="1AA6A00A" w14:textId="77777777" w:rsidR="00A62109" w:rsidRPr="00A62109" w:rsidRDefault="00A62109" w:rsidP="00A62109">
            <w:pPr>
              <w:spacing w:after="160" w:line="259" w:lineRule="auto"/>
              <w:rPr>
                <w:rFonts w:eastAsiaTheme="minorEastAsia"/>
              </w:rPr>
            </w:pPr>
            <w:r w:rsidRPr="00A62109">
              <w:rPr>
                <w:rFonts w:eastAsiaTheme="minorEastAsia"/>
              </w:rPr>
              <w:t>Lauren&amp;Elena</w:t>
            </w:r>
          </w:p>
        </w:tc>
        <w:tc>
          <w:tcPr>
            <w:tcW w:w="1718" w:type="dxa"/>
            <w:hideMark/>
          </w:tcPr>
          <w:p w14:paraId="44682C8C" w14:textId="77777777" w:rsidR="00A62109" w:rsidRPr="00A62109" w:rsidRDefault="00A62109" w:rsidP="00A62109">
            <w:pPr>
              <w:spacing w:after="160" w:line="259" w:lineRule="auto"/>
              <w:rPr>
                <w:rFonts w:eastAsiaTheme="minorEastAsia"/>
              </w:rPr>
            </w:pPr>
            <w:r w:rsidRPr="00A62109">
              <w:rPr>
                <w:rFonts w:eastAsiaTheme="minorEastAsia"/>
              </w:rPr>
              <w:t>Null</w:t>
            </w:r>
          </w:p>
        </w:tc>
        <w:tc>
          <w:tcPr>
            <w:tcW w:w="1378" w:type="dxa"/>
            <w:hideMark/>
          </w:tcPr>
          <w:p w14:paraId="6B81D9FD" w14:textId="77777777" w:rsidR="00A62109" w:rsidRPr="00A62109" w:rsidRDefault="00A62109" w:rsidP="00A62109">
            <w:pPr>
              <w:spacing w:after="160" w:line="259" w:lineRule="auto"/>
              <w:rPr>
                <w:rFonts w:eastAsiaTheme="minorEastAsia"/>
              </w:rPr>
            </w:pPr>
            <w:r w:rsidRPr="00A62109">
              <w:rPr>
                <w:rFonts w:eastAsiaTheme="minorEastAsia"/>
              </w:rPr>
              <w:t>30.13</w:t>
            </w:r>
          </w:p>
        </w:tc>
        <w:tc>
          <w:tcPr>
            <w:tcW w:w="2015" w:type="dxa"/>
            <w:hideMark/>
          </w:tcPr>
          <w:p w14:paraId="6F94A4A9" w14:textId="59B9061F" w:rsidR="00A62109" w:rsidRPr="00A62109" w:rsidRDefault="00A62109" w:rsidP="00A62109">
            <w:pPr>
              <w:spacing w:after="160" w:line="259" w:lineRule="auto"/>
              <w:rPr>
                <w:rFonts w:eastAsiaTheme="minorEastAsia"/>
              </w:rPr>
            </w:pPr>
            <w:r w:rsidRPr="00A62109">
              <w:rPr>
                <w:rFonts w:eastAsiaTheme="minorEastAsia"/>
              </w:rPr>
              <w:t>0.020</w:t>
            </w:r>
          </w:p>
        </w:tc>
      </w:tr>
      <w:tr w:rsidR="00A62109" w:rsidRPr="00A62109" w14:paraId="0907A909" w14:textId="77777777" w:rsidTr="00A62109">
        <w:trPr>
          <w:trHeight w:val="398"/>
        </w:trPr>
        <w:tc>
          <w:tcPr>
            <w:tcW w:w="0" w:type="auto"/>
            <w:vMerge/>
            <w:hideMark/>
          </w:tcPr>
          <w:p w14:paraId="5B47C00E" w14:textId="77777777" w:rsidR="00A62109" w:rsidRPr="00A62109" w:rsidRDefault="00A62109" w:rsidP="00A62109">
            <w:pPr>
              <w:rPr>
                <w:rFonts w:eastAsiaTheme="minorEastAsia"/>
              </w:rPr>
            </w:pPr>
          </w:p>
        </w:tc>
        <w:tc>
          <w:tcPr>
            <w:tcW w:w="1718" w:type="dxa"/>
            <w:hideMark/>
          </w:tcPr>
          <w:p w14:paraId="64ABEBD1" w14:textId="77777777" w:rsidR="00A62109" w:rsidRPr="00A62109" w:rsidRDefault="00A62109" w:rsidP="00A62109">
            <w:pPr>
              <w:spacing w:after="160" w:line="259" w:lineRule="auto"/>
              <w:rPr>
                <w:rFonts w:eastAsiaTheme="minorEastAsia"/>
              </w:rPr>
            </w:pPr>
            <w:r w:rsidRPr="00A62109">
              <w:rPr>
                <w:rFonts w:eastAsiaTheme="minorEastAsia"/>
              </w:rPr>
              <w:t>Expected</w:t>
            </w:r>
          </w:p>
        </w:tc>
        <w:tc>
          <w:tcPr>
            <w:tcW w:w="1378" w:type="dxa"/>
            <w:hideMark/>
          </w:tcPr>
          <w:p w14:paraId="3282A8BD" w14:textId="77777777" w:rsidR="00A62109" w:rsidRPr="00A62109" w:rsidRDefault="00A62109" w:rsidP="00A62109">
            <w:pPr>
              <w:spacing w:after="160" w:line="259" w:lineRule="auto"/>
              <w:rPr>
                <w:rFonts w:eastAsiaTheme="minorEastAsia"/>
              </w:rPr>
            </w:pPr>
            <w:r w:rsidRPr="00A62109">
              <w:rPr>
                <w:rFonts w:eastAsiaTheme="minorEastAsia"/>
              </w:rPr>
              <w:t>33</w:t>
            </w:r>
          </w:p>
        </w:tc>
        <w:tc>
          <w:tcPr>
            <w:tcW w:w="2015" w:type="dxa"/>
            <w:hideMark/>
          </w:tcPr>
          <w:p w14:paraId="59901F25" w14:textId="1C52E00E" w:rsidR="00A62109" w:rsidRPr="00A62109" w:rsidRDefault="00A62109" w:rsidP="00A62109">
            <w:pPr>
              <w:spacing w:after="160" w:line="259" w:lineRule="auto"/>
              <w:rPr>
                <w:rFonts w:eastAsiaTheme="minorEastAsia"/>
              </w:rPr>
            </w:pPr>
            <w:r w:rsidRPr="00A62109">
              <w:rPr>
                <w:rFonts w:eastAsiaTheme="minorEastAsia"/>
              </w:rPr>
              <w:t>0.98</w:t>
            </w:r>
            <w:r w:rsidR="00817EAA">
              <w:rPr>
                <w:rFonts w:eastAsiaTheme="minorEastAsia"/>
              </w:rPr>
              <w:t>7</w:t>
            </w:r>
          </w:p>
        </w:tc>
      </w:tr>
      <w:tr w:rsidR="00A62109" w:rsidRPr="00A62109" w14:paraId="0F1BF48C" w14:textId="77777777" w:rsidTr="00A62109">
        <w:trPr>
          <w:trHeight w:val="398"/>
        </w:trPr>
        <w:tc>
          <w:tcPr>
            <w:tcW w:w="0" w:type="auto"/>
            <w:vMerge/>
            <w:hideMark/>
          </w:tcPr>
          <w:p w14:paraId="05EC628A" w14:textId="77777777" w:rsidR="00A62109" w:rsidRPr="00A62109" w:rsidRDefault="00A62109" w:rsidP="00A62109">
            <w:pPr>
              <w:rPr>
                <w:rFonts w:eastAsiaTheme="minorEastAsia"/>
              </w:rPr>
            </w:pPr>
          </w:p>
        </w:tc>
        <w:tc>
          <w:tcPr>
            <w:tcW w:w="1718" w:type="dxa"/>
            <w:hideMark/>
          </w:tcPr>
          <w:p w14:paraId="4392132B" w14:textId="77777777" w:rsidR="00A62109" w:rsidRPr="00A62109" w:rsidRDefault="00A62109" w:rsidP="00A62109">
            <w:pPr>
              <w:spacing w:after="160" w:line="259" w:lineRule="auto"/>
              <w:rPr>
                <w:rFonts w:eastAsiaTheme="minorEastAsia"/>
              </w:rPr>
            </w:pPr>
            <w:r w:rsidRPr="00A62109">
              <w:rPr>
                <w:rFonts w:eastAsiaTheme="minorEastAsia"/>
              </w:rPr>
              <w:t>Best</w:t>
            </w:r>
          </w:p>
        </w:tc>
        <w:tc>
          <w:tcPr>
            <w:tcW w:w="1378" w:type="dxa"/>
            <w:hideMark/>
          </w:tcPr>
          <w:p w14:paraId="55F63CB9" w14:textId="77777777" w:rsidR="00A62109" w:rsidRPr="00A62109" w:rsidRDefault="00A62109" w:rsidP="00A62109">
            <w:pPr>
              <w:spacing w:after="160" w:line="259" w:lineRule="auto"/>
              <w:rPr>
                <w:rFonts w:eastAsiaTheme="minorEastAsia"/>
              </w:rPr>
            </w:pPr>
            <w:r w:rsidRPr="00A62109">
              <w:rPr>
                <w:rFonts w:eastAsiaTheme="minorEastAsia"/>
              </w:rPr>
              <w:t>32.98</w:t>
            </w:r>
          </w:p>
        </w:tc>
        <w:tc>
          <w:tcPr>
            <w:tcW w:w="2015" w:type="dxa"/>
            <w:hideMark/>
          </w:tcPr>
          <w:p w14:paraId="628478D2" w14:textId="77777777" w:rsidR="00A62109" w:rsidRPr="00A62109" w:rsidRDefault="00A62109" w:rsidP="00A62109">
            <w:pPr>
              <w:spacing w:after="160" w:line="259" w:lineRule="auto"/>
              <w:rPr>
                <w:rFonts w:eastAsiaTheme="minorEastAsia"/>
              </w:rPr>
            </w:pPr>
            <w:r w:rsidRPr="00A62109">
              <w:rPr>
                <w:rFonts w:eastAsiaTheme="minorEastAsia"/>
              </w:rPr>
              <w:t>0.937</w:t>
            </w:r>
          </w:p>
        </w:tc>
      </w:tr>
      <w:tr w:rsidR="00A62109" w:rsidRPr="00A62109" w14:paraId="0DEE71DC" w14:textId="77777777" w:rsidTr="00A62109">
        <w:trPr>
          <w:trHeight w:val="398"/>
        </w:trPr>
        <w:tc>
          <w:tcPr>
            <w:tcW w:w="2059" w:type="dxa"/>
            <w:vMerge w:val="restart"/>
            <w:hideMark/>
          </w:tcPr>
          <w:p w14:paraId="3E8153AF" w14:textId="77777777" w:rsidR="00A62109" w:rsidRPr="00A62109" w:rsidRDefault="00A62109" w:rsidP="00A62109">
            <w:pPr>
              <w:spacing w:after="160" w:line="259" w:lineRule="auto"/>
              <w:rPr>
                <w:rFonts w:eastAsiaTheme="minorEastAsia"/>
              </w:rPr>
            </w:pPr>
            <w:r w:rsidRPr="00A62109">
              <w:rPr>
                <w:rFonts w:eastAsiaTheme="minorEastAsia"/>
              </w:rPr>
              <w:t>JZ</w:t>
            </w:r>
          </w:p>
        </w:tc>
        <w:tc>
          <w:tcPr>
            <w:tcW w:w="1718" w:type="dxa"/>
            <w:hideMark/>
          </w:tcPr>
          <w:p w14:paraId="3746AAEF" w14:textId="77777777" w:rsidR="00A62109" w:rsidRPr="00A62109" w:rsidRDefault="00A62109" w:rsidP="00A62109">
            <w:pPr>
              <w:spacing w:after="160" w:line="259" w:lineRule="auto"/>
              <w:rPr>
                <w:rFonts w:eastAsiaTheme="minorEastAsia"/>
              </w:rPr>
            </w:pPr>
            <w:r w:rsidRPr="00A62109">
              <w:rPr>
                <w:rFonts w:eastAsiaTheme="minorEastAsia"/>
              </w:rPr>
              <w:t>Null</w:t>
            </w:r>
          </w:p>
        </w:tc>
        <w:tc>
          <w:tcPr>
            <w:tcW w:w="1378" w:type="dxa"/>
            <w:hideMark/>
          </w:tcPr>
          <w:p w14:paraId="2D185C8E" w14:textId="77777777" w:rsidR="00A62109" w:rsidRPr="00A62109" w:rsidRDefault="00A62109" w:rsidP="00A62109">
            <w:pPr>
              <w:spacing w:after="160" w:line="259" w:lineRule="auto"/>
              <w:rPr>
                <w:rFonts w:eastAsiaTheme="minorEastAsia"/>
              </w:rPr>
            </w:pPr>
            <w:r w:rsidRPr="00A62109">
              <w:rPr>
                <w:rFonts w:eastAsiaTheme="minorEastAsia"/>
              </w:rPr>
              <w:t>33</w:t>
            </w:r>
          </w:p>
        </w:tc>
        <w:tc>
          <w:tcPr>
            <w:tcW w:w="2015" w:type="dxa"/>
            <w:hideMark/>
          </w:tcPr>
          <w:p w14:paraId="1AA3833D" w14:textId="77777777" w:rsidR="00A62109" w:rsidRPr="00A62109" w:rsidRDefault="00A62109" w:rsidP="00A62109">
            <w:pPr>
              <w:spacing w:after="160" w:line="259" w:lineRule="auto"/>
              <w:rPr>
                <w:rFonts w:eastAsiaTheme="minorEastAsia"/>
              </w:rPr>
            </w:pPr>
            <w:r w:rsidRPr="00A62109">
              <w:rPr>
                <w:rFonts w:eastAsiaTheme="minorEastAsia"/>
              </w:rPr>
              <w:t>0.015</w:t>
            </w:r>
          </w:p>
        </w:tc>
      </w:tr>
      <w:tr w:rsidR="00A62109" w:rsidRPr="00A62109" w14:paraId="1AC87958" w14:textId="77777777" w:rsidTr="00A62109">
        <w:trPr>
          <w:trHeight w:val="398"/>
        </w:trPr>
        <w:tc>
          <w:tcPr>
            <w:tcW w:w="0" w:type="auto"/>
            <w:vMerge/>
            <w:hideMark/>
          </w:tcPr>
          <w:p w14:paraId="0F92CF54" w14:textId="77777777" w:rsidR="00A62109" w:rsidRPr="00A62109" w:rsidRDefault="00A62109" w:rsidP="00A62109">
            <w:pPr>
              <w:rPr>
                <w:rFonts w:eastAsiaTheme="minorEastAsia"/>
              </w:rPr>
            </w:pPr>
          </w:p>
        </w:tc>
        <w:tc>
          <w:tcPr>
            <w:tcW w:w="1718" w:type="dxa"/>
            <w:hideMark/>
          </w:tcPr>
          <w:p w14:paraId="796463A3" w14:textId="77777777" w:rsidR="00A62109" w:rsidRPr="00A62109" w:rsidRDefault="00A62109" w:rsidP="00A62109">
            <w:pPr>
              <w:spacing w:after="160" w:line="259" w:lineRule="auto"/>
              <w:rPr>
                <w:rFonts w:eastAsiaTheme="minorEastAsia"/>
              </w:rPr>
            </w:pPr>
            <w:r w:rsidRPr="00A62109">
              <w:rPr>
                <w:rFonts w:eastAsiaTheme="minorEastAsia"/>
              </w:rPr>
              <w:t>Expected</w:t>
            </w:r>
          </w:p>
        </w:tc>
        <w:tc>
          <w:tcPr>
            <w:tcW w:w="1378" w:type="dxa"/>
            <w:hideMark/>
          </w:tcPr>
          <w:p w14:paraId="1B4F52E3" w14:textId="77777777" w:rsidR="00A62109" w:rsidRPr="00A62109" w:rsidRDefault="00A62109" w:rsidP="00A62109">
            <w:pPr>
              <w:spacing w:after="160" w:line="259" w:lineRule="auto"/>
              <w:rPr>
                <w:rFonts w:eastAsiaTheme="minorEastAsia"/>
              </w:rPr>
            </w:pPr>
            <w:r w:rsidRPr="00A62109">
              <w:rPr>
                <w:rFonts w:eastAsiaTheme="minorEastAsia"/>
              </w:rPr>
              <w:t>33</w:t>
            </w:r>
          </w:p>
        </w:tc>
        <w:tc>
          <w:tcPr>
            <w:tcW w:w="2015" w:type="dxa"/>
            <w:hideMark/>
          </w:tcPr>
          <w:p w14:paraId="4D2B8CE1" w14:textId="77777777" w:rsidR="00A62109" w:rsidRPr="00A62109" w:rsidRDefault="00A62109" w:rsidP="00A62109">
            <w:pPr>
              <w:spacing w:after="160" w:line="259" w:lineRule="auto"/>
              <w:rPr>
                <w:rFonts w:eastAsiaTheme="minorEastAsia"/>
              </w:rPr>
            </w:pPr>
            <w:r w:rsidRPr="00A62109">
              <w:rPr>
                <w:rFonts w:eastAsiaTheme="minorEastAsia"/>
              </w:rPr>
              <w:t>0.979</w:t>
            </w:r>
          </w:p>
        </w:tc>
      </w:tr>
      <w:tr w:rsidR="00A62109" w:rsidRPr="00A62109" w14:paraId="6CCEE379" w14:textId="77777777" w:rsidTr="00A62109">
        <w:trPr>
          <w:trHeight w:val="398"/>
        </w:trPr>
        <w:tc>
          <w:tcPr>
            <w:tcW w:w="0" w:type="auto"/>
            <w:vMerge/>
            <w:hideMark/>
          </w:tcPr>
          <w:p w14:paraId="17E3E423" w14:textId="77777777" w:rsidR="00A62109" w:rsidRPr="00A62109" w:rsidRDefault="00A62109" w:rsidP="00A62109">
            <w:pPr>
              <w:rPr>
                <w:rFonts w:eastAsiaTheme="minorEastAsia"/>
              </w:rPr>
            </w:pPr>
          </w:p>
        </w:tc>
        <w:tc>
          <w:tcPr>
            <w:tcW w:w="1718" w:type="dxa"/>
            <w:hideMark/>
          </w:tcPr>
          <w:p w14:paraId="0F306576" w14:textId="77777777" w:rsidR="00A62109" w:rsidRPr="00A62109" w:rsidRDefault="00A62109" w:rsidP="00A62109">
            <w:pPr>
              <w:spacing w:after="160" w:line="259" w:lineRule="auto"/>
              <w:rPr>
                <w:rFonts w:eastAsiaTheme="minorEastAsia"/>
              </w:rPr>
            </w:pPr>
            <w:r w:rsidRPr="00A62109">
              <w:rPr>
                <w:rFonts w:eastAsiaTheme="minorEastAsia"/>
              </w:rPr>
              <w:t>Best</w:t>
            </w:r>
          </w:p>
        </w:tc>
        <w:tc>
          <w:tcPr>
            <w:tcW w:w="1378" w:type="dxa"/>
            <w:hideMark/>
          </w:tcPr>
          <w:p w14:paraId="4EB11F55" w14:textId="77777777" w:rsidR="00A62109" w:rsidRPr="00A62109" w:rsidRDefault="00A62109" w:rsidP="00A62109">
            <w:pPr>
              <w:spacing w:after="160" w:line="259" w:lineRule="auto"/>
              <w:rPr>
                <w:rFonts w:eastAsiaTheme="minorEastAsia"/>
              </w:rPr>
            </w:pPr>
            <w:r w:rsidRPr="00A62109">
              <w:rPr>
                <w:rFonts w:eastAsiaTheme="minorEastAsia"/>
              </w:rPr>
              <w:t>33</w:t>
            </w:r>
          </w:p>
        </w:tc>
        <w:tc>
          <w:tcPr>
            <w:tcW w:w="2015" w:type="dxa"/>
            <w:hideMark/>
          </w:tcPr>
          <w:p w14:paraId="7C0BD3F2" w14:textId="77777777" w:rsidR="00A62109" w:rsidRPr="00A62109" w:rsidRDefault="00A62109" w:rsidP="00A62109">
            <w:pPr>
              <w:spacing w:after="160" w:line="259" w:lineRule="auto"/>
              <w:rPr>
                <w:rFonts w:eastAsiaTheme="minorEastAsia"/>
              </w:rPr>
            </w:pPr>
            <w:r w:rsidRPr="00A62109">
              <w:rPr>
                <w:rFonts w:eastAsiaTheme="minorEastAsia"/>
              </w:rPr>
              <w:t>0.926</w:t>
            </w:r>
          </w:p>
        </w:tc>
      </w:tr>
      <w:tr w:rsidR="00A62109" w:rsidRPr="00A62109" w14:paraId="66692031" w14:textId="77777777" w:rsidTr="00A62109">
        <w:trPr>
          <w:trHeight w:val="398"/>
        </w:trPr>
        <w:tc>
          <w:tcPr>
            <w:tcW w:w="2059" w:type="dxa"/>
            <w:vMerge w:val="restart"/>
            <w:hideMark/>
          </w:tcPr>
          <w:p w14:paraId="57F97CD6" w14:textId="3E998CA4" w:rsidR="00A62109" w:rsidRPr="00A62109" w:rsidRDefault="00A62109" w:rsidP="00A62109">
            <w:pPr>
              <w:spacing w:after="160" w:line="259" w:lineRule="auto"/>
              <w:rPr>
                <w:rFonts w:eastAsiaTheme="minorEastAsia"/>
              </w:rPr>
            </w:pPr>
            <w:r>
              <w:rPr>
                <w:rFonts w:eastAsiaTheme="minorEastAsia"/>
              </w:rPr>
              <w:t>Fixed Control by Gajewski</w:t>
            </w:r>
          </w:p>
        </w:tc>
        <w:tc>
          <w:tcPr>
            <w:tcW w:w="1718" w:type="dxa"/>
            <w:hideMark/>
          </w:tcPr>
          <w:p w14:paraId="2B2826F8" w14:textId="77777777" w:rsidR="00A62109" w:rsidRPr="00A62109" w:rsidRDefault="00A62109" w:rsidP="00A62109">
            <w:pPr>
              <w:spacing w:after="160" w:line="259" w:lineRule="auto"/>
              <w:rPr>
                <w:rFonts w:eastAsiaTheme="minorEastAsia"/>
              </w:rPr>
            </w:pPr>
            <w:r w:rsidRPr="00A62109">
              <w:rPr>
                <w:rFonts w:eastAsiaTheme="minorEastAsia"/>
              </w:rPr>
              <w:t>Null</w:t>
            </w:r>
          </w:p>
        </w:tc>
        <w:tc>
          <w:tcPr>
            <w:tcW w:w="1378" w:type="dxa"/>
            <w:hideMark/>
          </w:tcPr>
          <w:p w14:paraId="3E6BC891" w14:textId="77777777" w:rsidR="00A62109" w:rsidRPr="00A62109" w:rsidRDefault="00A62109" w:rsidP="00A62109">
            <w:pPr>
              <w:spacing w:after="160" w:line="259" w:lineRule="auto"/>
              <w:rPr>
                <w:rFonts w:eastAsiaTheme="minorEastAsia"/>
              </w:rPr>
            </w:pPr>
            <w:r w:rsidRPr="00A62109">
              <w:rPr>
                <w:rFonts w:eastAsiaTheme="minorEastAsia"/>
              </w:rPr>
              <w:t>25.55</w:t>
            </w:r>
          </w:p>
        </w:tc>
        <w:tc>
          <w:tcPr>
            <w:tcW w:w="2015" w:type="dxa"/>
            <w:hideMark/>
          </w:tcPr>
          <w:p w14:paraId="47FA3FA9" w14:textId="77777777" w:rsidR="00A62109" w:rsidRPr="00A62109" w:rsidRDefault="00A62109" w:rsidP="00A62109">
            <w:pPr>
              <w:spacing w:after="160" w:line="259" w:lineRule="auto"/>
              <w:rPr>
                <w:rFonts w:eastAsiaTheme="minorEastAsia"/>
              </w:rPr>
            </w:pPr>
            <w:r w:rsidRPr="00A62109">
              <w:rPr>
                <w:rFonts w:eastAsiaTheme="minorEastAsia"/>
              </w:rPr>
              <w:t>0.020</w:t>
            </w:r>
          </w:p>
        </w:tc>
      </w:tr>
      <w:tr w:rsidR="00A62109" w:rsidRPr="00A62109" w14:paraId="5A9BE6F3" w14:textId="77777777" w:rsidTr="00A62109">
        <w:trPr>
          <w:trHeight w:val="398"/>
        </w:trPr>
        <w:tc>
          <w:tcPr>
            <w:tcW w:w="0" w:type="auto"/>
            <w:vMerge/>
            <w:hideMark/>
          </w:tcPr>
          <w:p w14:paraId="6A04E3EC" w14:textId="77777777" w:rsidR="00A62109" w:rsidRPr="00A62109" w:rsidRDefault="00A62109" w:rsidP="00A62109">
            <w:pPr>
              <w:rPr>
                <w:rFonts w:eastAsiaTheme="minorEastAsia"/>
              </w:rPr>
            </w:pPr>
          </w:p>
        </w:tc>
        <w:tc>
          <w:tcPr>
            <w:tcW w:w="1718" w:type="dxa"/>
            <w:hideMark/>
          </w:tcPr>
          <w:p w14:paraId="4AF5E547" w14:textId="77777777" w:rsidR="00A62109" w:rsidRPr="00A62109" w:rsidRDefault="00A62109" w:rsidP="00A62109">
            <w:pPr>
              <w:spacing w:after="160" w:line="259" w:lineRule="auto"/>
              <w:rPr>
                <w:rFonts w:eastAsiaTheme="minorEastAsia"/>
              </w:rPr>
            </w:pPr>
            <w:r w:rsidRPr="00A62109">
              <w:rPr>
                <w:rFonts w:eastAsiaTheme="minorEastAsia"/>
              </w:rPr>
              <w:t>Expected</w:t>
            </w:r>
          </w:p>
        </w:tc>
        <w:tc>
          <w:tcPr>
            <w:tcW w:w="1378" w:type="dxa"/>
            <w:hideMark/>
          </w:tcPr>
          <w:p w14:paraId="5669B79F" w14:textId="77777777" w:rsidR="00A62109" w:rsidRPr="00A62109" w:rsidRDefault="00A62109" w:rsidP="00A62109">
            <w:pPr>
              <w:spacing w:after="160" w:line="259" w:lineRule="auto"/>
              <w:rPr>
                <w:rFonts w:eastAsiaTheme="minorEastAsia"/>
              </w:rPr>
            </w:pPr>
            <w:r w:rsidRPr="00A62109">
              <w:rPr>
                <w:rFonts w:eastAsiaTheme="minorEastAsia"/>
              </w:rPr>
              <w:t>22.53</w:t>
            </w:r>
          </w:p>
        </w:tc>
        <w:tc>
          <w:tcPr>
            <w:tcW w:w="2015" w:type="dxa"/>
            <w:hideMark/>
          </w:tcPr>
          <w:p w14:paraId="30B63F01" w14:textId="77777777" w:rsidR="00A62109" w:rsidRPr="00A62109" w:rsidRDefault="00A62109" w:rsidP="00A62109">
            <w:pPr>
              <w:spacing w:after="160" w:line="259" w:lineRule="auto"/>
              <w:rPr>
                <w:rFonts w:eastAsiaTheme="minorEastAsia"/>
              </w:rPr>
            </w:pPr>
            <w:r w:rsidRPr="00A62109">
              <w:rPr>
                <w:rFonts w:eastAsiaTheme="minorEastAsia"/>
              </w:rPr>
              <w:t>0.978</w:t>
            </w:r>
          </w:p>
        </w:tc>
      </w:tr>
      <w:tr w:rsidR="00A62109" w:rsidRPr="00A62109" w14:paraId="7AE6A2E6" w14:textId="77777777" w:rsidTr="00A62109">
        <w:trPr>
          <w:trHeight w:val="574"/>
        </w:trPr>
        <w:tc>
          <w:tcPr>
            <w:tcW w:w="0" w:type="auto"/>
            <w:vMerge/>
            <w:hideMark/>
          </w:tcPr>
          <w:p w14:paraId="29F7CD19" w14:textId="77777777" w:rsidR="00A62109" w:rsidRPr="00A62109" w:rsidRDefault="00A62109" w:rsidP="00A62109">
            <w:pPr>
              <w:rPr>
                <w:rFonts w:eastAsiaTheme="minorEastAsia"/>
              </w:rPr>
            </w:pPr>
          </w:p>
        </w:tc>
        <w:tc>
          <w:tcPr>
            <w:tcW w:w="1718" w:type="dxa"/>
            <w:hideMark/>
          </w:tcPr>
          <w:p w14:paraId="7DECC899" w14:textId="77777777" w:rsidR="00A62109" w:rsidRPr="00A62109" w:rsidRDefault="00A62109" w:rsidP="00A62109">
            <w:pPr>
              <w:spacing w:after="160" w:line="259" w:lineRule="auto"/>
              <w:rPr>
                <w:rFonts w:eastAsiaTheme="minorEastAsia"/>
              </w:rPr>
            </w:pPr>
            <w:r w:rsidRPr="00A62109">
              <w:rPr>
                <w:rFonts w:eastAsiaTheme="minorEastAsia"/>
              </w:rPr>
              <w:t>Best</w:t>
            </w:r>
          </w:p>
        </w:tc>
        <w:tc>
          <w:tcPr>
            <w:tcW w:w="1378" w:type="dxa"/>
            <w:hideMark/>
          </w:tcPr>
          <w:p w14:paraId="7FD88D77" w14:textId="77777777" w:rsidR="00A62109" w:rsidRPr="00A62109" w:rsidRDefault="00A62109" w:rsidP="00A62109">
            <w:pPr>
              <w:spacing w:after="160" w:line="259" w:lineRule="auto"/>
              <w:rPr>
                <w:rFonts w:eastAsiaTheme="minorEastAsia"/>
              </w:rPr>
            </w:pPr>
            <w:r w:rsidRPr="00A62109">
              <w:rPr>
                <w:rFonts w:eastAsiaTheme="minorEastAsia"/>
              </w:rPr>
              <w:t>24.11</w:t>
            </w:r>
          </w:p>
        </w:tc>
        <w:tc>
          <w:tcPr>
            <w:tcW w:w="2015" w:type="dxa"/>
            <w:hideMark/>
          </w:tcPr>
          <w:p w14:paraId="31B8000C" w14:textId="77777777" w:rsidR="00A62109" w:rsidRPr="00A62109" w:rsidRDefault="00A62109" w:rsidP="00A62109">
            <w:pPr>
              <w:spacing w:after="160" w:line="259" w:lineRule="auto"/>
              <w:rPr>
                <w:rFonts w:eastAsiaTheme="minorEastAsia"/>
              </w:rPr>
            </w:pPr>
            <w:r w:rsidRPr="00A62109">
              <w:rPr>
                <w:rFonts w:eastAsiaTheme="minorEastAsia"/>
              </w:rPr>
              <w:t>0.935</w:t>
            </w:r>
          </w:p>
        </w:tc>
      </w:tr>
      <w:tr w:rsidR="00A62109" w:rsidRPr="00A62109" w14:paraId="58A796AF" w14:textId="77777777" w:rsidTr="00A62109">
        <w:trPr>
          <w:trHeight w:val="398"/>
        </w:trPr>
        <w:tc>
          <w:tcPr>
            <w:tcW w:w="2059" w:type="dxa"/>
            <w:vMerge w:val="restart"/>
            <w:hideMark/>
          </w:tcPr>
          <w:p w14:paraId="7D0449E3" w14:textId="1F89EB8D" w:rsidR="00A62109" w:rsidRPr="00A62109" w:rsidRDefault="00A62109" w:rsidP="00A62109">
            <w:pPr>
              <w:spacing w:after="160" w:line="259" w:lineRule="auto"/>
              <w:rPr>
                <w:rFonts w:eastAsiaTheme="minorEastAsia"/>
              </w:rPr>
            </w:pPr>
            <w:r>
              <w:rPr>
                <w:rFonts w:eastAsiaTheme="minorEastAsia"/>
              </w:rPr>
              <w:t>No Fixed Control by Gajewski</w:t>
            </w:r>
          </w:p>
        </w:tc>
        <w:tc>
          <w:tcPr>
            <w:tcW w:w="1718" w:type="dxa"/>
            <w:hideMark/>
          </w:tcPr>
          <w:p w14:paraId="73E6D0A1" w14:textId="77777777" w:rsidR="00A62109" w:rsidRPr="00A62109" w:rsidRDefault="00A62109" w:rsidP="00A62109">
            <w:pPr>
              <w:spacing w:after="160" w:line="259" w:lineRule="auto"/>
              <w:rPr>
                <w:rFonts w:eastAsiaTheme="minorEastAsia"/>
              </w:rPr>
            </w:pPr>
            <w:r w:rsidRPr="00A62109">
              <w:rPr>
                <w:rFonts w:eastAsiaTheme="minorEastAsia"/>
              </w:rPr>
              <w:t>Null</w:t>
            </w:r>
          </w:p>
        </w:tc>
        <w:tc>
          <w:tcPr>
            <w:tcW w:w="1378" w:type="dxa"/>
            <w:hideMark/>
          </w:tcPr>
          <w:p w14:paraId="78DEAB5E" w14:textId="77777777" w:rsidR="00A62109" w:rsidRPr="00A62109" w:rsidRDefault="00A62109" w:rsidP="00A62109">
            <w:pPr>
              <w:spacing w:after="160" w:line="259" w:lineRule="auto"/>
              <w:rPr>
                <w:rFonts w:eastAsiaTheme="minorEastAsia"/>
              </w:rPr>
            </w:pPr>
            <w:r w:rsidRPr="00A62109">
              <w:rPr>
                <w:rFonts w:eastAsiaTheme="minorEastAsia"/>
              </w:rPr>
              <w:t>25.67</w:t>
            </w:r>
          </w:p>
        </w:tc>
        <w:tc>
          <w:tcPr>
            <w:tcW w:w="2015" w:type="dxa"/>
            <w:hideMark/>
          </w:tcPr>
          <w:p w14:paraId="11613128" w14:textId="77777777" w:rsidR="00A62109" w:rsidRPr="00A62109" w:rsidRDefault="00A62109" w:rsidP="00A62109">
            <w:pPr>
              <w:spacing w:after="160" w:line="259" w:lineRule="auto"/>
              <w:rPr>
                <w:rFonts w:eastAsiaTheme="minorEastAsia"/>
              </w:rPr>
            </w:pPr>
            <w:r w:rsidRPr="00A62109">
              <w:rPr>
                <w:rFonts w:eastAsiaTheme="minorEastAsia"/>
              </w:rPr>
              <w:t>0.026</w:t>
            </w:r>
          </w:p>
        </w:tc>
      </w:tr>
      <w:tr w:rsidR="00A62109" w:rsidRPr="00A62109" w14:paraId="4A38AA45" w14:textId="77777777" w:rsidTr="00A62109">
        <w:trPr>
          <w:trHeight w:val="398"/>
        </w:trPr>
        <w:tc>
          <w:tcPr>
            <w:tcW w:w="0" w:type="auto"/>
            <w:vMerge/>
            <w:hideMark/>
          </w:tcPr>
          <w:p w14:paraId="304C9888" w14:textId="77777777" w:rsidR="00A62109" w:rsidRPr="00A62109" w:rsidRDefault="00A62109" w:rsidP="00A62109">
            <w:pPr>
              <w:rPr>
                <w:rFonts w:eastAsiaTheme="minorEastAsia"/>
              </w:rPr>
            </w:pPr>
          </w:p>
        </w:tc>
        <w:tc>
          <w:tcPr>
            <w:tcW w:w="1718" w:type="dxa"/>
            <w:hideMark/>
          </w:tcPr>
          <w:p w14:paraId="24F6A5EF" w14:textId="77777777" w:rsidR="00A62109" w:rsidRPr="00A62109" w:rsidRDefault="00A62109" w:rsidP="00A62109">
            <w:pPr>
              <w:spacing w:after="160" w:line="259" w:lineRule="auto"/>
              <w:rPr>
                <w:rFonts w:eastAsiaTheme="minorEastAsia"/>
              </w:rPr>
            </w:pPr>
            <w:r w:rsidRPr="00A62109">
              <w:rPr>
                <w:rFonts w:eastAsiaTheme="minorEastAsia"/>
              </w:rPr>
              <w:t>Expected</w:t>
            </w:r>
          </w:p>
        </w:tc>
        <w:tc>
          <w:tcPr>
            <w:tcW w:w="1378" w:type="dxa"/>
            <w:hideMark/>
          </w:tcPr>
          <w:p w14:paraId="2548984B" w14:textId="77777777" w:rsidR="00A62109" w:rsidRPr="00A62109" w:rsidRDefault="00A62109" w:rsidP="00A62109">
            <w:pPr>
              <w:spacing w:after="160" w:line="259" w:lineRule="auto"/>
              <w:rPr>
                <w:rFonts w:eastAsiaTheme="minorEastAsia"/>
              </w:rPr>
            </w:pPr>
            <w:r w:rsidRPr="00A62109">
              <w:rPr>
                <w:rFonts w:eastAsiaTheme="minorEastAsia"/>
              </w:rPr>
              <w:t>24.34</w:t>
            </w:r>
          </w:p>
        </w:tc>
        <w:tc>
          <w:tcPr>
            <w:tcW w:w="2015" w:type="dxa"/>
            <w:hideMark/>
          </w:tcPr>
          <w:p w14:paraId="6D07403F" w14:textId="77777777" w:rsidR="00A62109" w:rsidRPr="00A62109" w:rsidRDefault="00A62109" w:rsidP="00A62109">
            <w:pPr>
              <w:spacing w:after="160" w:line="259" w:lineRule="auto"/>
              <w:rPr>
                <w:rFonts w:eastAsiaTheme="minorEastAsia"/>
              </w:rPr>
            </w:pPr>
            <w:r w:rsidRPr="00A62109">
              <w:rPr>
                <w:rFonts w:eastAsiaTheme="minorEastAsia"/>
              </w:rPr>
              <w:t>0.902</w:t>
            </w:r>
          </w:p>
        </w:tc>
      </w:tr>
      <w:tr w:rsidR="00A62109" w:rsidRPr="00A62109" w14:paraId="64F8EECD" w14:textId="77777777" w:rsidTr="00A62109">
        <w:trPr>
          <w:trHeight w:val="398"/>
        </w:trPr>
        <w:tc>
          <w:tcPr>
            <w:tcW w:w="0" w:type="auto"/>
            <w:vMerge/>
            <w:hideMark/>
          </w:tcPr>
          <w:p w14:paraId="7AE8FCCB" w14:textId="77777777" w:rsidR="00A62109" w:rsidRPr="00A62109" w:rsidRDefault="00A62109" w:rsidP="00A62109">
            <w:pPr>
              <w:rPr>
                <w:rFonts w:eastAsiaTheme="minorEastAsia"/>
              </w:rPr>
            </w:pPr>
          </w:p>
        </w:tc>
        <w:tc>
          <w:tcPr>
            <w:tcW w:w="1718" w:type="dxa"/>
            <w:hideMark/>
          </w:tcPr>
          <w:p w14:paraId="031654A4" w14:textId="77777777" w:rsidR="00A62109" w:rsidRPr="00A62109" w:rsidRDefault="00A62109" w:rsidP="00A62109">
            <w:pPr>
              <w:spacing w:after="160" w:line="259" w:lineRule="auto"/>
              <w:rPr>
                <w:rFonts w:eastAsiaTheme="minorEastAsia"/>
              </w:rPr>
            </w:pPr>
            <w:r w:rsidRPr="00A62109">
              <w:rPr>
                <w:rFonts w:eastAsiaTheme="minorEastAsia"/>
              </w:rPr>
              <w:t>Best</w:t>
            </w:r>
          </w:p>
        </w:tc>
        <w:tc>
          <w:tcPr>
            <w:tcW w:w="1378" w:type="dxa"/>
            <w:hideMark/>
          </w:tcPr>
          <w:p w14:paraId="0AB9D6BF" w14:textId="77777777" w:rsidR="00A62109" w:rsidRPr="00A62109" w:rsidRDefault="00A62109" w:rsidP="00A62109">
            <w:pPr>
              <w:spacing w:after="160" w:line="259" w:lineRule="auto"/>
              <w:rPr>
                <w:rFonts w:eastAsiaTheme="minorEastAsia"/>
              </w:rPr>
            </w:pPr>
            <w:r w:rsidRPr="00A62109">
              <w:rPr>
                <w:rFonts w:eastAsiaTheme="minorEastAsia"/>
              </w:rPr>
              <w:t>25.39</w:t>
            </w:r>
          </w:p>
        </w:tc>
        <w:tc>
          <w:tcPr>
            <w:tcW w:w="2015" w:type="dxa"/>
            <w:hideMark/>
          </w:tcPr>
          <w:p w14:paraId="16701597" w14:textId="77777777" w:rsidR="00A62109" w:rsidRPr="00A62109" w:rsidRDefault="00A62109" w:rsidP="00A62109">
            <w:pPr>
              <w:spacing w:after="160" w:line="259" w:lineRule="auto"/>
              <w:rPr>
                <w:rFonts w:eastAsiaTheme="minorEastAsia"/>
              </w:rPr>
            </w:pPr>
            <w:r w:rsidRPr="00A62109">
              <w:rPr>
                <w:rFonts w:eastAsiaTheme="minorEastAsia"/>
              </w:rPr>
              <w:t>0.886</w:t>
            </w:r>
          </w:p>
        </w:tc>
      </w:tr>
    </w:tbl>
    <w:p w14:paraId="4C650899" w14:textId="77777777" w:rsidR="00A62109" w:rsidRDefault="00A62109" w:rsidP="00A62109">
      <w:pPr>
        <w:rPr>
          <w:rFonts w:eastAsiaTheme="minorEastAsia"/>
        </w:rPr>
      </w:pPr>
    </w:p>
    <w:p w14:paraId="39228A1C" w14:textId="23F5B5F0" w:rsidR="000750AE" w:rsidRDefault="000750AE" w:rsidP="00BF169A"/>
    <w:p w14:paraId="3B27B191" w14:textId="77777777" w:rsidR="00BC65B7" w:rsidRDefault="00BC65B7" w:rsidP="00BF169A"/>
    <w:p w14:paraId="5F3CCF33" w14:textId="2B47FE1C" w:rsidR="00BC65B7" w:rsidRDefault="00BC65B7" w:rsidP="00BF169A">
      <w:r>
        <w:t xml:space="preserve"> </w:t>
      </w:r>
    </w:p>
    <w:p w14:paraId="3C041A2E" w14:textId="2664262A" w:rsidR="00A6126F" w:rsidRDefault="00A6126F"/>
    <w:sectPr w:rsidR="00A6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1D"/>
    <w:rsid w:val="00012792"/>
    <w:rsid w:val="00031F1D"/>
    <w:rsid w:val="00051C90"/>
    <w:rsid w:val="000622FC"/>
    <w:rsid w:val="000750AE"/>
    <w:rsid w:val="000B3508"/>
    <w:rsid w:val="000D4E8D"/>
    <w:rsid w:val="000E6B6E"/>
    <w:rsid w:val="00130B93"/>
    <w:rsid w:val="001E0A94"/>
    <w:rsid w:val="00270729"/>
    <w:rsid w:val="002D1E86"/>
    <w:rsid w:val="002F2BC3"/>
    <w:rsid w:val="00324E73"/>
    <w:rsid w:val="00337588"/>
    <w:rsid w:val="003532AE"/>
    <w:rsid w:val="00371339"/>
    <w:rsid w:val="0047382B"/>
    <w:rsid w:val="004B2ACF"/>
    <w:rsid w:val="004B5C1D"/>
    <w:rsid w:val="004B5DDC"/>
    <w:rsid w:val="005903AD"/>
    <w:rsid w:val="005C7FE6"/>
    <w:rsid w:val="005D65CB"/>
    <w:rsid w:val="00620DB0"/>
    <w:rsid w:val="007022B9"/>
    <w:rsid w:val="00732096"/>
    <w:rsid w:val="007A0F1D"/>
    <w:rsid w:val="00817EAA"/>
    <w:rsid w:val="00832B2A"/>
    <w:rsid w:val="00833FAB"/>
    <w:rsid w:val="0084797B"/>
    <w:rsid w:val="008A0B06"/>
    <w:rsid w:val="008E7183"/>
    <w:rsid w:val="00917451"/>
    <w:rsid w:val="009670A1"/>
    <w:rsid w:val="009D50F2"/>
    <w:rsid w:val="009E3F69"/>
    <w:rsid w:val="009F4FE5"/>
    <w:rsid w:val="00A53D5E"/>
    <w:rsid w:val="00A6126F"/>
    <w:rsid w:val="00A62109"/>
    <w:rsid w:val="00AB08CE"/>
    <w:rsid w:val="00AC1152"/>
    <w:rsid w:val="00B4740C"/>
    <w:rsid w:val="00B66BE5"/>
    <w:rsid w:val="00BC3966"/>
    <w:rsid w:val="00BC65B7"/>
    <w:rsid w:val="00BF169A"/>
    <w:rsid w:val="00C92902"/>
    <w:rsid w:val="00CF1BE7"/>
    <w:rsid w:val="00D4071A"/>
    <w:rsid w:val="00D47D29"/>
    <w:rsid w:val="00DA361A"/>
    <w:rsid w:val="00DB1048"/>
    <w:rsid w:val="00DB6B31"/>
    <w:rsid w:val="00E60021"/>
    <w:rsid w:val="00EA1B2D"/>
    <w:rsid w:val="00ED3DD3"/>
    <w:rsid w:val="00F001B3"/>
    <w:rsid w:val="00FB48F1"/>
    <w:rsid w:val="00FB49B1"/>
    <w:rsid w:val="00FD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892C"/>
  <w15:docId w15:val="{88F39A29-CE93-4C1D-86CB-8EBB0449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ACF"/>
    <w:rPr>
      <w:color w:val="808080"/>
    </w:rPr>
  </w:style>
  <w:style w:type="table" w:styleId="TableGrid">
    <w:name w:val="Table Grid"/>
    <w:basedOn w:val="TableNormal"/>
    <w:uiPriority w:val="39"/>
    <w:rsid w:val="00A6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6B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6B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7811">
      <w:bodyDiv w:val="1"/>
      <w:marLeft w:val="0"/>
      <w:marRight w:val="0"/>
      <w:marTop w:val="0"/>
      <w:marBottom w:val="0"/>
      <w:divBdr>
        <w:top w:val="none" w:sz="0" w:space="0" w:color="auto"/>
        <w:left w:val="none" w:sz="0" w:space="0" w:color="auto"/>
        <w:bottom w:val="none" w:sz="0" w:space="0" w:color="auto"/>
        <w:right w:val="none" w:sz="0" w:space="0" w:color="auto"/>
      </w:divBdr>
    </w:div>
    <w:div w:id="157516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5341</TotalTime>
  <Pages>4</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Kansas Medical Center</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Shergina</dc:creator>
  <cp:keywords/>
  <dc:description/>
  <cp:lastModifiedBy>Elena Shergina</cp:lastModifiedBy>
  <cp:revision>26</cp:revision>
  <dcterms:created xsi:type="dcterms:W3CDTF">2023-09-29T18:39:00Z</dcterms:created>
  <dcterms:modified xsi:type="dcterms:W3CDTF">2023-10-10T21:32:00Z</dcterms:modified>
</cp:coreProperties>
</file>