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40F1" w14:textId="29E0672F" w:rsidR="00D6641D" w:rsidRPr="007045FB" w:rsidRDefault="00F4797C" w:rsidP="00844DF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About </w:t>
      </w:r>
      <w:proofErr w:type="spellStart"/>
      <w:r w:rsidR="00844DFC" w:rsidRPr="0091010D">
        <w:rPr>
          <w:rFonts w:ascii="Courier" w:hAnsi="Courier"/>
          <w:b/>
          <w:bCs/>
          <w:sz w:val="22"/>
          <w:szCs w:val="22"/>
        </w:rPr>
        <w:t>ShinyBHB</w:t>
      </w:r>
      <w:proofErr w:type="spellEnd"/>
    </w:p>
    <w:p w14:paraId="3BD3EEA1" w14:textId="4C7676C5" w:rsidR="00844DFC" w:rsidRPr="007045FB" w:rsidRDefault="00844DFC" w:rsidP="00844DFC">
      <w:pPr>
        <w:jc w:val="center"/>
        <w:rPr>
          <w:b/>
          <w:bCs/>
          <w:sz w:val="22"/>
          <w:szCs w:val="22"/>
        </w:rPr>
      </w:pPr>
    </w:p>
    <w:p w14:paraId="77B74D10" w14:textId="46DB74E0" w:rsidR="00844DFC" w:rsidRDefault="00844DFC" w:rsidP="00844DFC">
      <w:pPr>
        <w:jc w:val="center"/>
        <w:rPr>
          <w:sz w:val="22"/>
          <w:szCs w:val="22"/>
        </w:rPr>
      </w:pPr>
      <w:proofErr w:type="spellStart"/>
      <w:r w:rsidRPr="007045FB">
        <w:rPr>
          <w:sz w:val="22"/>
          <w:szCs w:val="22"/>
        </w:rPr>
        <w:t>Weicong</w:t>
      </w:r>
      <w:proofErr w:type="spellEnd"/>
      <w:r w:rsidRPr="007045FB">
        <w:rPr>
          <w:sz w:val="22"/>
          <w:szCs w:val="22"/>
        </w:rPr>
        <w:t xml:space="preserve"> </w:t>
      </w:r>
      <w:proofErr w:type="spellStart"/>
      <w:r w:rsidRPr="007045FB">
        <w:rPr>
          <w:sz w:val="22"/>
          <w:szCs w:val="22"/>
        </w:rPr>
        <w:t>Lyu</w:t>
      </w:r>
      <w:proofErr w:type="spellEnd"/>
    </w:p>
    <w:p w14:paraId="4B51076A" w14:textId="0411D06B" w:rsidR="00E65754" w:rsidRDefault="00E65754" w:rsidP="00E65754">
      <w:pPr>
        <w:jc w:val="center"/>
        <w:rPr>
          <w:sz w:val="22"/>
          <w:szCs w:val="22"/>
        </w:rPr>
      </w:pPr>
      <w:proofErr w:type="spellStart"/>
      <w:r w:rsidRPr="00E65754">
        <w:rPr>
          <w:sz w:val="22"/>
          <w:szCs w:val="22"/>
        </w:rPr>
        <w:t>Shaojie</w:t>
      </w:r>
      <w:proofErr w:type="spellEnd"/>
      <w:r w:rsidRPr="00E65754">
        <w:rPr>
          <w:sz w:val="22"/>
          <w:szCs w:val="22"/>
        </w:rPr>
        <w:t xml:space="preserve"> Ye</w:t>
      </w:r>
    </w:p>
    <w:p w14:paraId="3A754FB8" w14:textId="6B12D0D5" w:rsidR="00E65754" w:rsidRPr="00E65754" w:rsidRDefault="00E65754" w:rsidP="00E65754">
      <w:pPr>
        <w:jc w:val="center"/>
        <w:rPr>
          <w:sz w:val="22"/>
          <w:szCs w:val="22"/>
        </w:rPr>
      </w:pPr>
      <w:proofErr w:type="spellStart"/>
      <w:r w:rsidRPr="007045FB">
        <w:rPr>
          <w:sz w:val="22"/>
          <w:szCs w:val="22"/>
        </w:rPr>
        <w:t>Jianshen</w:t>
      </w:r>
      <w:proofErr w:type="spellEnd"/>
      <w:r w:rsidRPr="007045FB">
        <w:rPr>
          <w:sz w:val="22"/>
          <w:szCs w:val="22"/>
        </w:rPr>
        <w:t xml:space="preserve"> Chen</w:t>
      </w:r>
    </w:p>
    <w:p w14:paraId="11CAADBA" w14:textId="2F988AFE" w:rsidR="00844DFC" w:rsidRPr="007045FB" w:rsidRDefault="00844DFC" w:rsidP="00844DFC">
      <w:pPr>
        <w:jc w:val="center"/>
        <w:rPr>
          <w:sz w:val="22"/>
          <w:szCs w:val="22"/>
        </w:rPr>
      </w:pPr>
      <w:r w:rsidRPr="007045FB">
        <w:rPr>
          <w:sz w:val="22"/>
          <w:szCs w:val="22"/>
        </w:rPr>
        <w:t>Sinan Yavuz</w:t>
      </w:r>
    </w:p>
    <w:p w14:paraId="0A19078C" w14:textId="234A8113" w:rsidR="00844DFC" w:rsidRPr="007045FB" w:rsidRDefault="00844DFC" w:rsidP="00844DFC">
      <w:pPr>
        <w:jc w:val="center"/>
        <w:rPr>
          <w:sz w:val="22"/>
          <w:szCs w:val="22"/>
        </w:rPr>
      </w:pPr>
      <w:r w:rsidRPr="007045FB">
        <w:rPr>
          <w:sz w:val="22"/>
          <w:szCs w:val="22"/>
        </w:rPr>
        <w:t>David Kaplan</w:t>
      </w:r>
    </w:p>
    <w:p w14:paraId="7C46743D" w14:textId="35E64D29" w:rsidR="00844DFC" w:rsidRPr="007045FB" w:rsidRDefault="00844DFC" w:rsidP="00844DFC">
      <w:pPr>
        <w:jc w:val="center"/>
        <w:rPr>
          <w:sz w:val="22"/>
          <w:szCs w:val="22"/>
        </w:rPr>
      </w:pPr>
    </w:p>
    <w:p w14:paraId="268F379F" w14:textId="159966E6" w:rsidR="006A4909" w:rsidRDefault="00844DFC" w:rsidP="006A4909">
      <w:pPr>
        <w:rPr>
          <w:sz w:val="22"/>
          <w:szCs w:val="22"/>
        </w:rPr>
      </w:pPr>
      <w:proofErr w:type="spellStart"/>
      <w:r w:rsidRPr="00423698">
        <w:rPr>
          <w:rFonts w:ascii="Courier" w:eastAsia="Microsoft YaHei" w:hAnsi="Courier"/>
          <w:b/>
          <w:bCs/>
          <w:sz w:val="22"/>
          <w:szCs w:val="22"/>
        </w:rPr>
        <w:t>ShinyBHB</w:t>
      </w:r>
      <w:proofErr w:type="spellEnd"/>
      <w:r w:rsidRPr="00F4797C">
        <w:rPr>
          <w:b/>
          <w:bCs/>
          <w:sz w:val="22"/>
          <w:szCs w:val="22"/>
        </w:rPr>
        <w:t xml:space="preserve"> </w:t>
      </w:r>
      <w:r w:rsidRPr="007045FB">
        <w:rPr>
          <w:sz w:val="22"/>
          <w:szCs w:val="22"/>
        </w:rPr>
        <w:t xml:space="preserve">is </w:t>
      </w:r>
      <w:r w:rsidR="00737A3E">
        <w:rPr>
          <w:sz w:val="22"/>
          <w:szCs w:val="22"/>
        </w:rPr>
        <w:t>a comprehensive</w:t>
      </w:r>
      <w:r w:rsidRPr="007045FB">
        <w:rPr>
          <w:sz w:val="22"/>
          <w:szCs w:val="22"/>
        </w:rPr>
        <w:t xml:space="preserve"> application package written </w:t>
      </w:r>
      <w:r w:rsidR="00F4797C">
        <w:rPr>
          <w:sz w:val="22"/>
          <w:szCs w:val="22"/>
        </w:rPr>
        <w:t xml:space="preserve">in the </w:t>
      </w:r>
      <w:r w:rsidR="00F4797C" w:rsidRPr="00423698">
        <w:rPr>
          <w:rFonts w:ascii="Courier" w:eastAsia="Microsoft YaHei" w:hAnsi="Courier" w:cs="Times New Roman"/>
          <w:sz w:val="22"/>
          <w:szCs w:val="22"/>
        </w:rPr>
        <w:t>R</w:t>
      </w:r>
      <w:r w:rsidR="00F4797C">
        <w:rPr>
          <w:b/>
          <w:bCs/>
          <w:sz w:val="22"/>
          <w:szCs w:val="22"/>
        </w:rPr>
        <w:t xml:space="preserve"> </w:t>
      </w:r>
      <w:r w:rsidR="0091010D">
        <w:rPr>
          <w:rFonts w:cstheme="minorHAnsi"/>
          <w:sz w:val="22"/>
          <w:szCs w:val="22"/>
        </w:rPr>
        <w:t>program</w:t>
      </w:r>
      <w:r w:rsidR="00F4797C">
        <w:rPr>
          <w:sz w:val="22"/>
          <w:szCs w:val="22"/>
        </w:rPr>
        <w:t xml:space="preserve"> </w:t>
      </w:r>
      <w:r w:rsidRPr="00423698">
        <w:rPr>
          <w:rFonts w:ascii="Courier" w:eastAsia="Microsoft YaHei" w:hAnsi="Courier"/>
          <w:sz w:val="22"/>
          <w:szCs w:val="22"/>
        </w:rPr>
        <w:t>Shiny</w:t>
      </w:r>
      <w:r w:rsidRPr="007045FB">
        <w:rPr>
          <w:sz w:val="22"/>
          <w:szCs w:val="22"/>
        </w:rPr>
        <w:t xml:space="preserve"> to conduct Bayesian historical borrowing. </w:t>
      </w:r>
      <w:r w:rsidR="006A4909" w:rsidRPr="007045FB">
        <w:rPr>
          <w:sz w:val="22"/>
          <w:szCs w:val="22"/>
        </w:rPr>
        <w:t xml:space="preserve">Two general approaches to historical borrowing can be implemented in </w:t>
      </w:r>
      <w:proofErr w:type="spellStart"/>
      <w:r w:rsidR="006A4909" w:rsidRPr="00423698">
        <w:rPr>
          <w:rFonts w:ascii="Courier" w:eastAsia="Microsoft YaHei" w:hAnsi="Courier"/>
          <w:sz w:val="22"/>
          <w:szCs w:val="22"/>
        </w:rPr>
        <w:t>ShinyBHB</w:t>
      </w:r>
      <w:proofErr w:type="spellEnd"/>
      <w:r w:rsidR="006A4909" w:rsidRPr="007045FB">
        <w:rPr>
          <w:sz w:val="22"/>
          <w:szCs w:val="22"/>
        </w:rPr>
        <w:t xml:space="preserve">: </w:t>
      </w:r>
      <w:r w:rsidR="006A4909" w:rsidRPr="007045FB">
        <w:rPr>
          <w:i/>
          <w:iCs/>
          <w:sz w:val="22"/>
          <w:szCs w:val="22"/>
        </w:rPr>
        <w:t>static borrowing</w:t>
      </w:r>
      <w:r w:rsidR="007B31BA">
        <w:rPr>
          <w:sz w:val="22"/>
          <w:szCs w:val="22"/>
        </w:rPr>
        <w:t>,</w:t>
      </w:r>
      <w:r w:rsidR="006A4909" w:rsidRPr="007045FB">
        <w:rPr>
          <w:sz w:val="22"/>
          <w:szCs w:val="22"/>
        </w:rPr>
        <w:t xml:space="preserve"> where prior strength does not automatically vary based on the similarity between the historical data and the current data</w:t>
      </w:r>
      <w:r w:rsidR="00737A3E">
        <w:rPr>
          <w:sz w:val="22"/>
          <w:szCs w:val="22"/>
        </w:rPr>
        <w:t xml:space="preserve">, and </w:t>
      </w:r>
      <w:r w:rsidR="006A4909" w:rsidRPr="007045FB">
        <w:rPr>
          <w:i/>
          <w:iCs/>
          <w:sz w:val="22"/>
          <w:szCs w:val="22"/>
        </w:rPr>
        <w:t>dynamic borrowing</w:t>
      </w:r>
      <w:r w:rsidR="007B31BA">
        <w:rPr>
          <w:sz w:val="22"/>
          <w:szCs w:val="22"/>
        </w:rPr>
        <w:t>,</w:t>
      </w:r>
      <w:r w:rsidR="006A4909" w:rsidRPr="007045FB">
        <w:rPr>
          <w:sz w:val="22"/>
          <w:szCs w:val="22"/>
        </w:rPr>
        <w:t xml:space="preserve"> </w:t>
      </w:r>
      <w:r w:rsidR="00737A3E">
        <w:rPr>
          <w:sz w:val="22"/>
          <w:szCs w:val="22"/>
        </w:rPr>
        <w:t xml:space="preserve">where </w:t>
      </w:r>
      <w:r w:rsidR="006A4909" w:rsidRPr="007045FB">
        <w:rPr>
          <w:sz w:val="22"/>
          <w:szCs w:val="22"/>
        </w:rPr>
        <w:t xml:space="preserve">a hyperprior </w:t>
      </w:r>
      <w:r w:rsidR="00737A3E">
        <w:rPr>
          <w:sz w:val="22"/>
          <w:szCs w:val="22"/>
        </w:rPr>
        <w:t>is</w:t>
      </w:r>
      <w:r w:rsidR="006A4909" w:rsidRPr="007045FB">
        <w:rPr>
          <w:sz w:val="22"/>
          <w:szCs w:val="22"/>
        </w:rPr>
        <w:t xml:space="preserve"> specified</w:t>
      </w:r>
      <w:r w:rsidR="007045FB">
        <w:rPr>
          <w:sz w:val="22"/>
          <w:szCs w:val="22"/>
        </w:rPr>
        <w:t xml:space="preserve"> </w:t>
      </w:r>
      <w:r w:rsidR="006A4909" w:rsidRPr="007045FB">
        <w:rPr>
          <w:sz w:val="22"/>
          <w:szCs w:val="22"/>
        </w:rPr>
        <w:t>to indicate the researcher’s judgement regarding the similarity between the historical data</w:t>
      </w:r>
      <w:r w:rsidR="007045FB">
        <w:rPr>
          <w:sz w:val="22"/>
          <w:szCs w:val="22"/>
        </w:rPr>
        <w:t xml:space="preserve"> </w:t>
      </w:r>
      <w:r w:rsidR="006A4909" w:rsidRPr="007045FB">
        <w:rPr>
          <w:sz w:val="22"/>
          <w:szCs w:val="22"/>
        </w:rPr>
        <w:t xml:space="preserve">and the current data, </w:t>
      </w:r>
      <w:r w:rsidR="007045FB" w:rsidRPr="007045FB">
        <w:rPr>
          <w:sz w:val="22"/>
          <w:szCs w:val="22"/>
        </w:rPr>
        <w:t>and</w:t>
      </w:r>
      <w:r w:rsidR="006A4909" w:rsidRPr="007045FB">
        <w:rPr>
          <w:sz w:val="22"/>
          <w:szCs w:val="22"/>
        </w:rPr>
        <w:t xml:space="preserve"> the heterogeneity between the historical data and the</w:t>
      </w:r>
      <w:r w:rsidR="00F4797C">
        <w:rPr>
          <w:sz w:val="22"/>
          <w:szCs w:val="22"/>
        </w:rPr>
        <w:t xml:space="preserve"> </w:t>
      </w:r>
      <w:r w:rsidR="006A4909" w:rsidRPr="007045FB">
        <w:rPr>
          <w:sz w:val="22"/>
          <w:szCs w:val="22"/>
        </w:rPr>
        <w:t>current data is accounted for by the joint prior.</w:t>
      </w:r>
      <w:r w:rsidR="00737A3E">
        <w:rPr>
          <w:sz w:val="22"/>
          <w:szCs w:val="22"/>
        </w:rPr>
        <w:t xml:space="preserve">  </w:t>
      </w:r>
      <w:r w:rsidR="00737A3E" w:rsidRPr="007045FB">
        <w:rPr>
          <w:sz w:val="22"/>
          <w:szCs w:val="22"/>
        </w:rPr>
        <w:t xml:space="preserve">The backend program for </w:t>
      </w:r>
      <w:proofErr w:type="spellStart"/>
      <w:r w:rsidR="00423698" w:rsidRPr="00423698">
        <w:rPr>
          <w:rFonts w:ascii="Courier" w:eastAsia="Microsoft YaHei" w:hAnsi="Courier"/>
          <w:sz w:val="22"/>
          <w:szCs w:val="22"/>
        </w:rPr>
        <w:t>ShinyBHB</w:t>
      </w:r>
      <w:proofErr w:type="spellEnd"/>
      <w:r w:rsidR="00423698" w:rsidRPr="007045FB">
        <w:rPr>
          <w:sz w:val="22"/>
          <w:szCs w:val="22"/>
        </w:rPr>
        <w:t xml:space="preserve"> </w:t>
      </w:r>
      <w:r w:rsidR="00737A3E" w:rsidRPr="007045FB">
        <w:rPr>
          <w:sz w:val="22"/>
          <w:szCs w:val="22"/>
        </w:rPr>
        <w:t xml:space="preserve">is written with </w:t>
      </w:r>
      <w:r w:rsidR="00737A3E" w:rsidRPr="00423698">
        <w:rPr>
          <w:rFonts w:ascii="Courier" w:hAnsi="Courier"/>
          <w:sz w:val="22"/>
          <w:szCs w:val="22"/>
        </w:rPr>
        <w:t>Stan</w:t>
      </w:r>
      <w:r w:rsidR="009F4530">
        <w:rPr>
          <w:sz w:val="22"/>
          <w:szCs w:val="22"/>
        </w:rPr>
        <w:t xml:space="preserve">.  </w:t>
      </w:r>
      <w:proofErr w:type="spellStart"/>
      <w:r w:rsidR="00423698" w:rsidRPr="00423698">
        <w:rPr>
          <w:rFonts w:ascii="Courier" w:eastAsia="Microsoft YaHei" w:hAnsi="Courier"/>
          <w:sz w:val="22"/>
          <w:szCs w:val="22"/>
        </w:rPr>
        <w:t>ShinyBHB</w:t>
      </w:r>
      <w:proofErr w:type="spellEnd"/>
      <w:r w:rsidR="00423698">
        <w:rPr>
          <w:sz w:val="22"/>
          <w:szCs w:val="22"/>
        </w:rPr>
        <w:t xml:space="preserve"> </w:t>
      </w:r>
      <w:r w:rsidR="009F4530">
        <w:rPr>
          <w:sz w:val="22"/>
          <w:szCs w:val="22"/>
        </w:rPr>
        <w:t>provides user-friendly and flexible features, including</w:t>
      </w:r>
    </w:p>
    <w:p w14:paraId="305B9622" w14:textId="449B63E7" w:rsidR="009F4530" w:rsidRDefault="009F4530" w:rsidP="006A4909">
      <w:pPr>
        <w:rPr>
          <w:sz w:val="22"/>
          <w:szCs w:val="22"/>
        </w:rPr>
      </w:pPr>
    </w:p>
    <w:p w14:paraId="0B063078" w14:textId="3C16A560" w:rsidR="009E6AE7" w:rsidRPr="00F4797C" w:rsidRDefault="009E6AE7" w:rsidP="006A4909">
      <w:pPr>
        <w:rPr>
          <w:b/>
          <w:bCs/>
          <w:sz w:val="22"/>
          <w:szCs w:val="22"/>
        </w:rPr>
      </w:pPr>
      <w:r w:rsidRPr="00F4797C">
        <w:rPr>
          <w:b/>
          <w:bCs/>
          <w:sz w:val="22"/>
          <w:szCs w:val="22"/>
        </w:rPr>
        <w:t xml:space="preserve">Types of data </w:t>
      </w:r>
      <w:r w:rsidR="00F4797C">
        <w:rPr>
          <w:b/>
          <w:bCs/>
          <w:sz w:val="22"/>
          <w:szCs w:val="22"/>
        </w:rPr>
        <w:t>structures</w:t>
      </w:r>
    </w:p>
    <w:p w14:paraId="6969823B" w14:textId="0E566892" w:rsidR="009E6AE7" w:rsidRDefault="009E6AE7" w:rsidP="009E6AE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Cross-sectional single-level or multilevel data structures.</w:t>
      </w:r>
    </w:p>
    <w:p w14:paraId="66F3128D" w14:textId="5ABF2858" w:rsidR="009E6AE7" w:rsidRPr="009E6AE7" w:rsidRDefault="009E6AE7" w:rsidP="009E6AE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Longitudinal </w:t>
      </w:r>
      <w:r w:rsidR="00F4797C">
        <w:rPr>
          <w:sz w:val="22"/>
          <w:szCs w:val="22"/>
        </w:rPr>
        <w:t xml:space="preserve">multilevel data structures (note that data </w:t>
      </w:r>
      <w:r>
        <w:rPr>
          <w:sz w:val="22"/>
          <w:szCs w:val="22"/>
        </w:rPr>
        <w:t>must be in long format)</w:t>
      </w:r>
    </w:p>
    <w:p w14:paraId="2765CCF1" w14:textId="0773F9B1" w:rsidR="006A4909" w:rsidRPr="007045FB" w:rsidRDefault="006A4909" w:rsidP="006A4909">
      <w:pPr>
        <w:rPr>
          <w:sz w:val="22"/>
          <w:szCs w:val="22"/>
        </w:rPr>
      </w:pPr>
    </w:p>
    <w:p w14:paraId="56E9C1B3" w14:textId="77777777" w:rsidR="00F4797C" w:rsidRDefault="006A4909" w:rsidP="00F4797C">
      <w:pPr>
        <w:rPr>
          <w:b/>
          <w:bCs/>
          <w:sz w:val="22"/>
          <w:szCs w:val="22"/>
        </w:rPr>
      </w:pPr>
      <w:r w:rsidRPr="00F4797C">
        <w:rPr>
          <w:b/>
          <w:bCs/>
          <w:sz w:val="22"/>
          <w:szCs w:val="22"/>
        </w:rPr>
        <w:t xml:space="preserve">Methods of static borrowing </w:t>
      </w:r>
    </w:p>
    <w:p w14:paraId="5E9DAC6B" w14:textId="59053CCE" w:rsidR="006A4909" w:rsidRPr="00F4797C" w:rsidRDefault="006A4909" w:rsidP="00F479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4797C">
        <w:rPr>
          <w:sz w:val="22"/>
          <w:szCs w:val="22"/>
        </w:rPr>
        <w:t xml:space="preserve">No borrowing – including Bayesian linear regression </w:t>
      </w:r>
      <w:r w:rsidR="007045FB" w:rsidRPr="00F4797C">
        <w:rPr>
          <w:sz w:val="22"/>
          <w:szCs w:val="22"/>
        </w:rPr>
        <w:t xml:space="preserve">on current data </w:t>
      </w:r>
      <w:r w:rsidRPr="00F4797C">
        <w:rPr>
          <w:sz w:val="22"/>
          <w:szCs w:val="22"/>
        </w:rPr>
        <w:t>using non-informative or informative priors.</w:t>
      </w:r>
    </w:p>
    <w:p w14:paraId="47AD50FA" w14:textId="34D6B855" w:rsidR="009E624A" w:rsidRPr="007045FB" w:rsidRDefault="009E624A" w:rsidP="006A490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Pooling (also known at </w:t>
      </w:r>
      <w:r>
        <w:rPr>
          <w:i/>
          <w:iCs/>
          <w:sz w:val="22"/>
          <w:szCs w:val="22"/>
        </w:rPr>
        <w:t>Integrative Data Analysis</w:t>
      </w:r>
      <w:r>
        <w:rPr>
          <w:sz w:val="22"/>
          <w:szCs w:val="22"/>
        </w:rPr>
        <w:t>)</w:t>
      </w:r>
    </w:p>
    <w:p w14:paraId="57588C18" w14:textId="27D5A308" w:rsidR="006A4909" w:rsidRPr="007045FB" w:rsidRDefault="006A4909" w:rsidP="006A49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045FB">
        <w:rPr>
          <w:sz w:val="22"/>
          <w:szCs w:val="22"/>
        </w:rPr>
        <w:t>Power priors – allowing the user to control the power parameter</w:t>
      </w:r>
    </w:p>
    <w:p w14:paraId="2BFCBFAE" w14:textId="71EE37B1" w:rsidR="006A4909" w:rsidRPr="007045FB" w:rsidRDefault="006A4909" w:rsidP="006A49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045FB">
        <w:rPr>
          <w:sz w:val="22"/>
          <w:szCs w:val="22"/>
        </w:rPr>
        <w:t>Bayesian synthesis using aggregated data priors.</w:t>
      </w:r>
    </w:p>
    <w:p w14:paraId="5ADB8433" w14:textId="6714F154" w:rsidR="006A4909" w:rsidRPr="007045FB" w:rsidRDefault="006A4909" w:rsidP="006A4909">
      <w:pPr>
        <w:rPr>
          <w:sz w:val="22"/>
          <w:szCs w:val="22"/>
        </w:rPr>
      </w:pPr>
    </w:p>
    <w:p w14:paraId="5A7D93E3" w14:textId="216D2363" w:rsidR="006A4909" w:rsidRPr="00F4797C" w:rsidRDefault="006A4909" w:rsidP="006A4909">
      <w:pPr>
        <w:rPr>
          <w:b/>
          <w:bCs/>
          <w:sz w:val="22"/>
          <w:szCs w:val="22"/>
        </w:rPr>
      </w:pPr>
      <w:r w:rsidRPr="00F4797C">
        <w:rPr>
          <w:b/>
          <w:bCs/>
          <w:sz w:val="22"/>
          <w:szCs w:val="22"/>
        </w:rPr>
        <w:t>Methods of dynamic</w:t>
      </w:r>
      <w:r w:rsidR="00F4797C">
        <w:rPr>
          <w:b/>
          <w:bCs/>
          <w:sz w:val="22"/>
          <w:szCs w:val="22"/>
        </w:rPr>
        <w:t xml:space="preserve"> borrowing</w:t>
      </w:r>
    </w:p>
    <w:p w14:paraId="00B4EC63" w14:textId="6EACE67E" w:rsidR="006A4909" w:rsidRPr="007045FB" w:rsidRDefault="006A4909" w:rsidP="006A49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045FB">
        <w:rPr>
          <w:sz w:val="22"/>
          <w:szCs w:val="22"/>
        </w:rPr>
        <w:t>Commensurate priors</w:t>
      </w:r>
    </w:p>
    <w:p w14:paraId="7BC0B38B" w14:textId="1CD61FF4" w:rsidR="006A4909" w:rsidRDefault="006A4909" w:rsidP="006A49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045FB">
        <w:rPr>
          <w:sz w:val="22"/>
          <w:szCs w:val="22"/>
        </w:rPr>
        <w:t>Bayesian dynamic borrowing</w:t>
      </w:r>
    </w:p>
    <w:p w14:paraId="5D94A097" w14:textId="0F41CEB2" w:rsidR="009F4530" w:rsidRDefault="009F4530" w:rsidP="009F4530">
      <w:pPr>
        <w:rPr>
          <w:sz w:val="22"/>
          <w:szCs w:val="22"/>
        </w:rPr>
      </w:pPr>
    </w:p>
    <w:p w14:paraId="68A90B19" w14:textId="339653FE" w:rsidR="007B31BA" w:rsidRPr="007B31BA" w:rsidRDefault="009F4530" w:rsidP="007B31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Interface</w:t>
      </w:r>
    </w:p>
    <w:p w14:paraId="10DD0970" w14:textId="73BC11EA" w:rsidR="007B31BA" w:rsidRPr="007B31BA" w:rsidRDefault="007B31BA" w:rsidP="007B31B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Flexible model building via </w:t>
      </w:r>
      <w:proofErr w:type="spellStart"/>
      <w:r>
        <w:rPr>
          <w:sz w:val="22"/>
          <w:szCs w:val="22"/>
        </w:rPr>
        <w:t>xxxxx</w:t>
      </w:r>
      <w:proofErr w:type="spellEnd"/>
    </w:p>
    <w:p w14:paraId="1DF1A199" w14:textId="6A59C4BA" w:rsidR="007B31BA" w:rsidRDefault="007B31BA" w:rsidP="009F453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Computational diagnostics</w:t>
      </w:r>
    </w:p>
    <w:p w14:paraId="61597350" w14:textId="3BFC58E3" w:rsidR="009F4530" w:rsidRPr="009F4530" w:rsidRDefault="009F4530" w:rsidP="009F453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Output available in LaTeX format</w:t>
      </w:r>
    </w:p>
    <w:p w14:paraId="04E9F04A" w14:textId="19B2A794" w:rsidR="00617C94" w:rsidRDefault="00617C94" w:rsidP="00617C94">
      <w:pPr>
        <w:rPr>
          <w:sz w:val="22"/>
          <w:szCs w:val="22"/>
        </w:rPr>
      </w:pPr>
    </w:p>
    <w:p w14:paraId="6586D8BB" w14:textId="6A4A7A4A" w:rsidR="006A4909" w:rsidRPr="007045FB" w:rsidRDefault="00617C94" w:rsidP="006A4909">
      <w:pPr>
        <w:rPr>
          <w:sz w:val="22"/>
          <w:szCs w:val="22"/>
        </w:rPr>
      </w:pPr>
      <w:r w:rsidRPr="007045FB">
        <w:rPr>
          <w:sz w:val="22"/>
          <w:szCs w:val="22"/>
        </w:rPr>
        <w:t xml:space="preserve">The development of </w:t>
      </w:r>
      <w:proofErr w:type="spellStart"/>
      <w:r w:rsidR="00423698" w:rsidRPr="00423698">
        <w:rPr>
          <w:rFonts w:ascii="Courier" w:eastAsia="Microsoft YaHei" w:hAnsi="Courier"/>
          <w:sz w:val="22"/>
          <w:szCs w:val="22"/>
        </w:rPr>
        <w:t>ShinyBHB</w:t>
      </w:r>
      <w:proofErr w:type="spellEnd"/>
      <w:r w:rsidR="00423698" w:rsidRPr="007045FB">
        <w:rPr>
          <w:sz w:val="22"/>
          <w:szCs w:val="22"/>
        </w:rPr>
        <w:t xml:space="preserve"> </w:t>
      </w:r>
      <w:r w:rsidRPr="007045FB">
        <w:rPr>
          <w:sz w:val="22"/>
          <w:szCs w:val="22"/>
        </w:rPr>
        <w:t>was supported by the Institute of Education Sciences,</w:t>
      </w:r>
      <w:r w:rsidR="007045FB">
        <w:rPr>
          <w:sz w:val="22"/>
          <w:szCs w:val="22"/>
        </w:rPr>
        <w:t xml:space="preserve"> </w:t>
      </w:r>
      <w:r w:rsidRPr="007045FB">
        <w:rPr>
          <w:sz w:val="22"/>
          <w:szCs w:val="22"/>
        </w:rPr>
        <w:t>U.S. Department of Education, through Grant R305D190053 to The University of</w:t>
      </w:r>
      <w:r w:rsidR="007045FB">
        <w:rPr>
          <w:sz w:val="22"/>
          <w:szCs w:val="22"/>
        </w:rPr>
        <w:t xml:space="preserve"> </w:t>
      </w:r>
      <w:r w:rsidRPr="007045FB">
        <w:rPr>
          <w:sz w:val="22"/>
          <w:szCs w:val="22"/>
        </w:rPr>
        <w:t>Wisconsin-Madison. The opinions expressed are those of the authors and do not represent the views of the Institute or the U.S. Department of Education.</w:t>
      </w:r>
    </w:p>
    <w:p w14:paraId="79F03082" w14:textId="2921013B" w:rsidR="006A4909" w:rsidRDefault="006A4909" w:rsidP="006A4909">
      <w:pPr>
        <w:rPr>
          <w:sz w:val="22"/>
          <w:szCs w:val="22"/>
        </w:rPr>
      </w:pPr>
    </w:p>
    <w:p w14:paraId="7238F29F" w14:textId="15D5D114" w:rsidR="007B31BA" w:rsidRPr="007B31BA" w:rsidRDefault="007B31BA" w:rsidP="007B31B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Supporting Documents</w:t>
      </w:r>
    </w:p>
    <w:p w14:paraId="5F2AE141" w14:textId="10EC6B2D" w:rsidR="00844DFC" w:rsidRPr="007045FB" w:rsidRDefault="00844DFC" w:rsidP="00844DFC">
      <w:pPr>
        <w:rPr>
          <w:sz w:val="22"/>
          <w:szCs w:val="22"/>
        </w:rPr>
      </w:pPr>
    </w:p>
    <w:sectPr w:rsidR="00844DFC" w:rsidRPr="007045FB" w:rsidSect="00A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B25"/>
    <w:multiLevelType w:val="hybridMultilevel"/>
    <w:tmpl w:val="6922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6F71"/>
    <w:multiLevelType w:val="hybridMultilevel"/>
    <w:tmpl w:val="F99A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90CDD"/>
    <w:multiLevelType w:val="hybridMultilevel"/>
    <w:tmpl w:val="B16E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5220"/>
    <w:multiLevelType w:val="hybridMultilevel"/>
    <w:tmpl w:val="81FAC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FC"/>
    <w:rsid w:val="00423698"/>
    <w:rsid w:val="00617C94"/>
    <w:rsid w:val="00696FCD"/>
    <w:rsid w:val="006A4909"/>
    <w:rsid w:val="007045FB"/>
    <w:rsid w:val="00737A3E"/>
    <w:rsid w:val="007B31BA"/>
    <w:rsid w:val="00844DFC"/>
    <w:rsid w:val="0091010D"/>
    <w:rsid w:val="009E624A"/>
    <w:rsid w:val="009E6AE7"/>
    <w:rsid w:val="009F4530"/>
    <w:rsid w:val="00A65268"/>
    <w:rsid w:val="00D6641D"/>
    <w:rsid w:val="00E65754"/>
    <w:rsid w:val="00F4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8283E"/>
  <w15:chartTrackingRefBased/>
  <w15:docId w15:val="{C2814E92-9571-6342-A389-D5E846D7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Kaplan</dc:creator>
  <cp:keywords/>
  <dc:description/>
  <cp:lastModifiedBy>David Kaplan</cp:lastModifiedBy>
  <cp:revision>4</cp:revision>
  <dcterms:created xsi:type="dcterms:W3CDTF">2022-02-25T17:32:00Z</dcterms:created>
  <dcterms:modified xsi:type="dcterms:W3CDTF">2022-02-26T00:46:00Z</dcterms:modified>
</cp:coreProperties>
</file>