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0"/>
        </w:rPr>
        <w:t>Отчёт о моделировании MIMO-решётки 8 Rx + 4 Tx в CST Studio Suite</w:t>
      </w:r>
    </w:p>
    <w:p>
      <w:pPr>
        <w:jc w:val="center"/>
      </w:pPr>
      <w:r>
        <w:rPr>
          <w:b w:val="0"/>
          <w:i w:val="0"/>
          <w:sz w:val="22"/>
        </w:rPr>
        <w:t>ДЗ2 по курсу ОТиТРСКУ, тема «Границы применимости виртуальной антенной решётки MIMO». Этапы 2–3 плана.</w:t>
      </w:r>
    </w:p>
    <w:p>
      <w:pPr>
        <w:jc w:val="center"/>
      </w:pPr>
      <w:r>
        <w:rPr>
          <w:b w:val="0"/>
          <w:i w:val="0"/>
          <w:sz w:val="22"/>
        </w:rPr>
        <w:t>Студент Сухарев Е. С., РЛ1-104. 22 октября 2026 г.</w:t>
      </w:r>
    </w:p>
    <w:p>
      <w:pPr>
        <w:pStyle w:val="Heading1"/>
      </w:pPr>
      <w:r>
        <w:t>1. Цель и проверяемые гипотезы</w:t>
      </w:r>
    </w:p>
    <w:p>
      <w:pPr>
        <w:jc w:val="both"/>
      </w:pPr>
      <w:r>
        <w:rPr>
          <w:b w:val="0"/>
          <w:i w:val="0"/>
        </w:rPr>
        <w:t>Модель виртуальной антенной решётки (ВАР) считает отклик пары передатчик–приёмник эквивалентным элементу в точке r_tx + r_rx, а фазу каждого элемента — пропорциональной его геометрической координате. Цель работы — проверить электродинамическим расчётом, насколько это верно для реальных излучателей со взаимной связью.</w:t>
      </w:r>
    </w:p>
    <w:p>
      <w:pPr>
        <w:pStyle w:val="ListBullet"/>
        <w:jc w:val="both"/>
      </w:pPr>
      <w:r>
        <w:rPr>
          <w:b/>
          <w:i w:val="0"/>
        </w:rPr>
        <w:t xml:space="preserve">Г2 (элемент). </w:t>
      </w:r>
      <w:r>
        <w:rPr>
          <w:b w:val="0"/>
          <w:i w:val="0"/>
        </w:rPr>
        <w:t>Фазовый центр элемента в решётке совпадает с его геометрическим центром: смещение не более λ/20 (1,5 мм на 10 ГГц) в полосе ±2 %.</w:t>
      </w:r>
    </w:p>
    <w:p>
      <w:pPr>
        <w:pStyle w:val="ListBullet"/>
        <w:jc w:val="both"/>
      </w:pPr>
      <w:r>
        <w:rPr>
          <w:b/>
          <w:i w:val="0"/>
        </w:rPr>
        <w:t xml:space="preserve">Г1 (пара). </w:t>
      </w:r>
      <w:r>
        <w:rPr>
          <w:b w:val="0"/>
          <w:i w:val="0"/>
        </w:rPr>
        <w:t>Фазовый центр произведения диаграмм F_tx·F_rx равен сумме фазовых центров передатчика и приёмника с точностью λ/20.</w:t>
      </w:r>
    </w:p>
    <w:p>
      <w:pPr>
        <w:pStyle w:val="Heading1"/>
      </w:pPr>
      <w:r>
        <w:t>2. Модель в CST</w:t>
      </w:r>
    </w:p>
    <w:p>
      <w:pPr>
        <w:jc w:val="both"/>
      </w:pPr>
      <w:r>
        <w:rPr>
          <w:b w:val="0"/>
          <w:i w:val="0"/>
        </w:rPr>
        <w:t>Решётка из задания ДЗ1 (dz1/8r4t.txt) при λ = 30 мм: 8 приёмников Rx на оси x с шагом 30 мм (x = −105…105 мм, y = 0) и 4 передатчика Tx на x = ±112,5 и ±127,5 мм. Так как Tx в 7,5 мм от крайнего Rx физически не помещается, ряд Tx сдвинут поперёк оси на y = +30 мм (рекомендация [1], вывод 3). Все 12 излучателей — диполи вдоль y в плоскости z = 0 с дискретным портом 50 Ом в зазоре (рис.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9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1. Геометрия решётки (слева) и её виртуальная решётка из 32 элементов (справа)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1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72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Этап 2</w:t>
            </w:r>
          </w:p>
        </w:tc>
        <w:tc>
          <w:tcPr>
            <w:tcW w:type="dxa" w:w="3572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Этап 3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20"/>
              </w:rPr>
              <w:t>Излучатель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диполь 1,5 мм (λ/20), r = 0,1 мм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диполь 12,5 мм, r = 0,25 мм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20"/>
              </w:rPr>
              <w:t>Назначение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точечные источники, проверка методики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полуволновые диполи, слабая связь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20"/>
              </w:rPr>
              <w:t>Резонанс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10,19–10,30 ГГц; |S11| ≤ −13,8 дБ на 10 ГГц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20"/>
              </w:rPr>
              <w:t>Сетка, время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300 тыс. ячеек, 5 с на порт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500 тыс. ячеек, 20 с на порт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20"/>
              </w:rPr>
              <w:t>Решатель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CST 2024, Transient, 9–11 ГГц, границы open с запасом 15–20 мм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то же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20"/>
              </w:rPr>
              <w:t>Мониторы ДН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9,8 / 10,0 / 10,2 ГГц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то же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20"/>
              </w:rPr>
              <w:t>Возбуждение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по очереди каждый порт, остальные нагружены 50 Ом (встроенные ДН)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sz w:val="20"/>
              </w:rPr>
              <w:t>то же</w:t>
            </w:r>
          </w:p>
        </w:tc>
      </w:tr>
    </w:tbl>
    <w:p>
      <w:pPr>
        <w:spacing w:after="200"/>
        <w:jc w:val="center"/>
      </w:pPr>
      <w:r>
        <w:rPr>
          <w:b w:val="0"/>
          <w:i/>
          <w:sz w:val="20"/>
        </w:rPr>
        <w:t>Табл. 1. Параметры расчётов</w:t>
      </w:r>
    </w:p>
    <w:p>
      <w:pPr>
        <w:jc w:val="both"/>
      </w:pPr>
      <w:r>
        <w:rPr>
          <w:b w:val="0"/>
          <w:i w:val="0"/>
        </w:rPr>
        <w:t>Диаграммы всех 12 портов выгружены по сетке θ = 0…180°, φ = 0…359° с шагом 1° с началом отсчёта фазы в глобальном нуле (0, 0, 0). Порты 1–8 — Rx1…Rx8, 9–12 — Tx1…Tx4.</w:t>
      </w:r>
    </w:p>
    <w:p>
      <w:pPr>
        <w:pStyle w:val="Heading1"/>
      </w:pPr>
      <w:r>
        <w:t>3. Методика оценки фазовых центров</w:t>
      </w:r>
    </w:p>
    <w:p>
      <w:pPr>
        <w:jc w:val="both"/>
      </w:pPr>
      <w:r>
        <w:rPr>
          <w:b w:val="0"/>
          <w:i w:val="0"/>
        </w:rPr>
        <w:t>Фазовый центр оценивается методом наименьших квадратов по фазе дальнего поля (tools/phase_center_fit.py): phase(θ, φ) ≈ φ0 + k·(x·sinθ·cosφ + y·sinθ·sinφ + z·cosθ), веса |E|². Используется ко-поляризационная компонента Людвига E_θ·sinφ + E_φ·cosφ: у отдельных сферических компонент диполя есть смена знака по φ, и фит по ним срывается.</w:t>
      </w:r>
    </w:p>
    <w:p>
      <w:pPr>
        <w:pStyle w:val="ListBullet"/>
        <w:jc w:val="both"/>
      </w:pPr>
      <w:r>
        <w:rPr>
          <w:b w:val="0"/>
          <w:i w:val="0"/>
        </w:rPr>
        <w:t>Элемент и произведение ДН пары: сектор ±30° вокруг нормали, фит x, y, z. При остатке более 30° (изрезанная ДН крайнего элемента) сектор сужается до 20°.</w:t>
      </w:r>
    </w:p>
    <w:p>
      <w:pPr>
        <w:pStyle w:val="ListBullet"/>
        <w:jc w:val="both"/>
      </w:pPr>
      <w:r>
        <w:rPr>
          <w:b w:val="0"/>
          <w:i w:val="0"/>
        </w:rPr>
        <w:t>Подрешётка (синфазная сумма ДН) и её произведения: сектор ±3° внутри главного лепестка (при шаге λ первый нуль на 7,2°), z фиксирован — в узком секторе он не обусловлен.</w:t>
      </w:r>
    </w:p>
    <w:p>
      <w:pPr>
        <w:pStyle w:val="ListBullet"/>
        <w:jc w:val="both"/>
      </w:pPr>
      <w:r>
        <w:rPr>
          <w:b w:val="0"/>
          <w:i w:val="0"/>
        </w:rPr>
        <w:t>Гипотезы оцениваются по координатам x, y в плоскости решётки. Смещение по z эквивалентно фазовой кривизне k·z·(1 − cosθ) и координатами ВАР не исправляется.</w:t>
      </w:r>
    </w:p>
    <w:p>
      <w:pPr>
        <w:pStyle w:val="Heading1"/>
      </w:pPr>
      <w:r>
        <w:t>4. Этап 2: точечные источники</w:t>
      </w:r>
    </w:p>
    <w:p>
      <w:pPr>
        <w:jc w:val="both"/>
      </w:pPr>
      <w:r>
        <w:rPr>
          <w:b w:val="0"/>
          <w:i w:val="0"/>
        </w:rPr>
        <w:t>Этап проверяет саму цепочку «CST → экспорт ДН → фиттер → произведение ДН». Все фазовые центры совпали с координатами источников с ошибкой много меньше λ/50 (табл. 2), знак фазы CST соответствует модели фиттера.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252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Объект (3 частоты)</w:t>
            </w:r>
          </w:p>
        </w:tc>
        <w:tc>
          <w:tcPr>
            <w:tcW w:type="dxa" w:w="2835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Макс. отклонение по x, y</w:t>
            </w:r>
          </w:p>
        </w:tc>
        <w:tc>
          <w:tcPr>
            <w:tcW w:type="dxa" w:w="1871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Остаток фазы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12 элементов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0,04 мм (λ/850)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sz w:val="20"/>
              </w:rPr>
              <w:t>0,0°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Подрешётки Rx, Tx, пары Tx, 4 левых Rx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0,03 мм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sz w:val="20"/>
              </w:rPr>
              <w:t>0,0°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Произведения пар и подрешёток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0,02 мм (λ/1500)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sz w:val="20"/>
              </w:rPr>
              <w:t>0,0°</w:t>
            </w:r>
          </w:p>
        </w:tc>
      </w:tr>
    </w:tbl>
    <w:p>
      <w:pPr>
        <w:spacing w:after="200"/>
        <w:jc w:val="center"/>
      </w:pPr>
      <w:r>
        <w:rPr>
          <w:b w:val="0"/>
          <w:i/>
          <w:sz w:val="20"/>
        </w:rPr>
        <w:t>Табл. 2. Погрешность методики на точечных источниках</w:t>
      </w:r>
    </w:p>
    <w:p>
      <w:pPr>
        <w:pStyle w:val="Heading1"/>
      </w:pPr>
      <w:r>
        <w:t>5. Этап 3: полуволновые диполи</w:t>
      </w:r>
    </w:p>
    <w:p>
      <w:pPr>
        <w:pStyle w:val="Heading2"/>
      </w:pPr>
      <w:r>
        <w:t>5.1. Фазовые центры элементов</w:t>
      </w:r>
    </w:p>
    <w:p>
      <w:pPr>
        <w:jc w:val="both"/>
      </w:pPr>
      <w:r>
        <w:rPr>
          <w:b w:val="0"/>
          <w:i w:val="0"/>
        </w:rPr>
        <w:t>Таблица 3 приводит результат на 10 ГГц, рис. 2 — смещение по оси решётки и фазу элементов на трёх частотах.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361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1701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Геометрия x; y, мм</w:t>
            </w:r>
          </w:p>
        </w:tc>
        <w:tc>
          <w:tcPr>
            <w:tcW w:type="dxa" w:w="181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Фит x; y, мм</w:t>
            </w:r>
          </w:p>
        </w:tc>
        <w:tc>
          <w:tcPr>
            <w:tcW w:type="dxa" w:w="147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Откл. x, y, мм</w:t>
            </w:r>
          </w:p>
        </w:tc>
        <w:tc>
          <w:tcPr>
            <w:tcW w:type="dxa" w:w="1247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Фит z, мм</w:t>
            </w:r>
          </w:p>
        </w:tc>
        <w:tc>
          <w:tcPr>
            <w:tcW w:type="dxa" w:w="1361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φ0 отн. rx4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sz w:val="20"/>
              </w:rPr>
              <w:t>rx1 / rx8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∓105; 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0"/>
              </w:rPr>
              <w:t>∓105,16; 0,23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0,23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−11,1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−70,5°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sz w:val="20"/>
              </w:rPr>
              <w:t>rx2 / rx7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∓75; 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0"/>
              </w:rPr>
              <w:t>∓75,21; 0,06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0,21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−15,5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−21,9°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sz w:val="20"/>
              </w:rPr>
              <w:t>rx3…rx6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∓45, ∓15; 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0"/>
              </w:rPr>
              <w:t>откл. ≤ 0,04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≤ 0,04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−17,4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≈ 0°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sz w:val="20"/>
              </w:rPr>
              <w:t>tx1 / tx4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∓127,5; 30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0"/>
              </w:rPr>
              <w:t>∓126,30; 30,31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1,20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1,6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159°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sz w:val="20"/>
              </w:rPr>
              <w:t>tx2 / tx3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∓112,5; 30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0"/>
              </w:rPr>
              <w:t>∓113,68; 29,48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1,18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4,6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125°</w:t>
            </w:r>
          </w:p>
        </w:tc>
      </w:tr>
    </w:tbl>
    <w:p>
      <w:pPr>
        <w:spacing w:after="200"/>
        <w:jc w:val="center"/>
      </w:pPr>
      <w:r>
        <w:rPr>
          <w:b w:val="0"/>
          <w:i/>
          <w:sz w:val="20"/>
        </w:rPr>
        <w:t>Табл. 3. Фазовые центры элементов на 10 ГГц (диполи 12,5 мм). В полосе 9,8–10,2 ГГц: Rx ≤ 0,7 мм, Tx ≤ 1,52 мм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7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3_dx_p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2. Смещение фазового центра по x (слева, пунктир — λ/20) и фаза встроенной ДН φ0 (справа)</w:t>
      </w:r>
    </w:p>
    <w:p>
      <w:pPr>
        <w:pStyle w:val="Heading2"/>
      </w:pPr>
      <w:r>
        <w:t>5.2. Подрешётки и произведения (гипотеза Г1)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75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Объект</w:t>
            </w:r>
          </w:p>
        </w:tc>
        <w:tc>
          <w:tcPr>
            <w:tcW w:type="dxa" w:w="2381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Ожидание x; y, мм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Фит x; y, мм</w:t>
            </w:r>
          </w:p>
        </w:tc>
        <w:tc>
          <w:tcPr>
            <w:tcW w:type="dxa" w:w="147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Откл. x, y, мм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sz w:val="20"/>
              </w:rPr>
              <w:t>Сумма 8 Rx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sz w:val="20"/>
              </w:rPr>
              <w:t>0; 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20"/>
              </w:rPr>
              <w:t>0,00; 0,26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0,26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sz w:val="20"/>
              </w:rPr>
              <w:t>Сумма 4 Tx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sz w:val="20"/>
              </w:rPr>
              <w:t>0; 30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20"/>
              </w:rPr>
              <w:t>0,00; 29,76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0,24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sz w:val="20"/>
              </w:rPr>
              <w:t>Левая пара Tx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sz w:val="20"/>
              </w:rPr>
              <w:t>−120; 30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20"/>
              </w:rPr>
              <w:t>−119,32; 29,78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0,68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sz w:val="20"/>
              </w:rPr>
              <w:t>Сумма rx1…rx4 (несимметричная)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sz w:val="20"/>
              </w:rPr>
              <w:t>−60; 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20"/>
              </w:rPr>
              <w:t>−68,04; 0,25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8,04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sz w:val="20"/>
              </w:rPr>
              <w:t>Произведение tx1·rx8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sz w:val="20"/>
              </w:rPr>
              <w:t>сумма центров −21,1; 30,5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20"/>
              </w:rPr>
              <w:t>−21,50; 30,59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0,36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sz w:val="20"/>
              </w:rPr>
              <w:t>Произведение tx2·rx4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sz w:val="20"/>
              </w:rPr>
              <w:t>сумма центров −128,7; 29,5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20"/>
              </w:rPr>
              <w:t>−128,20; 29,42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0,49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sz w:val="20"/>
              </w:rPr>
              <w:t>Произведение ΣTx·ΣRx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sz w:val="20"/>
              </w:rPr>
              <w:t>0; 30,0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20"/>
              </w:rPr>
              <w:t>0,00; 30,02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0,00</w:t>
            </w:r>
          </w:p>
        </w:tc>
      </w:tr>
    </w:tbl>
    <w:p>
      <w:pPr>
        <w:spacing w:after="200"/>
        <w:jc w:val="center"/>
      </w:pPr>
      <w:r>
        <w:rPr>
          <w:b w:val="0"/>
          <w:i/>
          <w:sz w:val="20"/>
        </w:rPr>
        <w:t>Табл. 4. Подрешётки и произведения ДН на 10 ГГц; в полосе отклонение произведений пар ≤ 0,6 мм</w:t>
      </w:r>
    </w:p>
    <w:p>
      <w:pPr>
        <w:pStyle w:val="Heading2"/>
      </w:pPr>
      <w:r>
        <w:t>5.3. S-матрица</w:t>
      </w:r>
    </w:p>
    <w:p>
      <w:pPr>
        <w:jc w:val="both"/>
      </w:pPr>
      <w:r>
        <w:rPr>
          <w:b w:val="0"/>
          <w:i w:val="0"/>
        </w:rPr>
        <w:t>Согласование всех портов на 10 ГГц от −13,8 до −15,4 дБ. Худшая развязка Tx–Rx при сдвиге ряда Tx на λ равна −27,4 дБ (Tx2–Rx1, Tx3–Rx8), между соседними Rx с шагом λ — −19,1 дБ. Для диполей 13,6 мм (резонанс 9,2–9,5 ГГц, расстроены) развязка почти та же (−28,8 и −19,6 дБ), а смещения Tx больше: 1,9–2,4 мм — расстроенный элемент связан сильнее.</w:t>
      </w:r>
    </w:p>
    <w:p>
      <w:pPr>
        <w:pStyle w:val="Heading1"/>
      </w:pPr>
      <w:r>
        <w:t>6. Выводы</w:t>
      </w:r>
    </w:p>
    <w:p>
      <w:pPr>
        <w:pStyle w:val="ListBullet"/>
        <w:jc w:val="both"/>
      </w:pPr>
      <w:r>
        <w:rPr>
          <w:b/>
          <w:i w:val="0"/>
        </w:rPr>
        <w:t xml:space="preserve">Г1 подтверждена. </w:t>
      </w:r>
      <w:r>
        <w:rPr>
          <w:b w:val="0"/>
          <w:i w:val="0"/>
        </w:rPr>
        <w:t>Фазовый центр произведения ДН пары равен сумме центров с точностью ≤ 0,6 мм (λ/50) по x, y; для подрешёток — ≤ 0,01 мм. Модель ВАР для пары Tx–Rx верна.</w:t>
      </w:r>
    </w:p>
    <w:p>
      <w:pPr>
        <w:pStyle w:val="ListBullet"/>
        <w:jc w:val="both"/>
      </w:pPr>
      <w:r>
        <w:rPr>
          <w:b/>
          <w:i w:val="0"/>
        </w:rPr>
        <w:t xml:space="preserve">Г2 выполняется для Rx </w:t>
      </w:r>
      <w:r>
        <w:rPr>
          <w:b w:val="0"/>
          <w:i w:val="0"/>
        </w:rPr>
        <w:t>(шаг λ): смещения ≤ 0,23 мм на 10 ГГц и ≤ 0,7 мм в полосе — λ/40.</w:t>
      </w:r>
    </w:p>
    <w:p>
      <w:pPr>
        <w:pStyle w:val="ListBullet"/>
        <w:jc w:val="both"/>
      </w:pPr>
      <w:r>
        <w:rPr>
          <w:b/>
          <w:i w:val="0"/>
        </w:rPr>
        <w:t xml:space="preserve">Г2 на пределе для пар Tx </w:t>
      </w:r>
      <w:r>
        <w:rPr>
          <w:b w:val="0"/>
          <w:i w:val="0"/>
        </w:rPr>
        <w:t>(шаг λ/2): 1,2 мм на 10 ГГц и 1,5 мм на 10,2 ГГц, ровно λ/20. Диполи пары «расходятся» по x из-за взаимной связи; по y смещение ∓0,5 мм.</w:t>
      </w:r>
    </w:p>
    <w:p>
      <w:pPr>
        <w:pStyle w:val="ListBullet"/>
        <w:jc w:val="both"/>
      </w:pPr>
      <w:r>
        <w:rPr>
          <w:b/>
          <w:i w:val="0"/>
        </w:rPr>
        <w:t xml:space="preserve">Разнофазность встроенных ДН — главное, чего нет в модели ВАР. </w:t>
      </w:r>
      <w:r>
        <w:rPr>
          <w:b w:val="0"/>
          <w:i w:val="0"/>
        </w:rPr>
        <w:t>Фаза крайних Rx отстаёт на 70°, предпоследних на 22°, Tx — на 125–159° относительно внутренних Rx. Без калибровки это действует как ошибка координат: синфазная сумма rx1…rx4 даёт кажущийся центр −68 мм вместо −60. После учёта φ0 (комплексного коэффициента каждого элемента) ВАР работает, что и показывает Г1.</w:t>
      </w:r>
    </w:p>
    <w:p>
      <w:pPr>
        <w:pStyle w:val="ListBullet"/>
        <w:jc w:val="both"/>
      </w:pPr>
      <w:r>
        <w:rPr>
          <w:b/>
          <w:i w:val="0"/>
        </w:rPr>
        <w:t xml:space="preserve">Фазовая кривизна. </w:t>
      </w:r>
      <w:r>
        <w:rPr>
          <w:b w:val="0"/>
          <w:i w:val="0"/>
        </w:rPr>
        <w:t>Фит даёт z = −11…−17 мм при остатке 5–10°: ДН диполя среди нагруженных соседей не сферическая, рябь фазы до ±10° в секторе ±30°. Координатами это не исправляется; при широкоугольной обработке (ОФН, обратные проекции) нужна угловая калибровка по таблице ДН.</w:t>
      </w:r>
    </w:p>
    <w:p>
      <w:pPr>
        <w:jc w:val="both"/>
      </w:pPr>
      <w:r>
        <w:rPr>
          <w:b w:val="0"/>
          <w:i w:val="0"/>
        </w:rPr>
        <w:t>Рекомендации по расстановке: приёмники с шагом λ можно ставить по чертежу; пары Tx с шагом λ/2 либо разносить, либо вводить поправки эффективных координат из табл. 3; в обработке обязательно учитывать комплексные коэффициенты элементов (φ0), особенно крайних.</w:t>
      </w:r>
    </w:p>
    <w:p>
      <w:pPr>
        <w:pStyle w:val="Heading1"/>
      </w:pPr>
      <w:r>
        <w:t>7. Что не сделано и файлы</w:t>
      </w:r>
    </w:p>
    <w:p>
      <w:pPr>
        <w:jc w:val="both"/>
      </w:pPr>
      <w:r>
        <w:rPr>
          <w:b w:val="0"/>
          <w:i w:val="0"/>
        </w:rPr>
        <w:t>Этап 4 (патчи на общей подложке RO4003) по решению руководителя работы не выполнялся. Остальные этапы плана (0, 1, 5, 6) — вне CST.</w:t>
      </w:r>
    </w:p>
    <w:p>
      <w:pPr>
        <w:jc w:val="both"/>
      </w:pPr>
      <w:r>
        <w:rPr>
          <w:b w:val="0"/>
          <w:i w:val="0"/>
        </w:rPr>
        <w:t>Все скрипты и результаты — в репозитории BaykaI/MIMO, ветка claude/sweet-archimedes-gcmsuv, папка cst/: build_array.py (построение, расчёт, экспорт), export_ff.py, export_s.py, analyze_stage.py (таблицы фазовых центров), analyze_s.py (S-матрица), README.md (подробности и найденные особенности CST 2024), stage2/ и stage3/ (проекты .cst, Touchstone .s12p, таблицы phase_centers.md). Сырые экспорты ДН (36 файлов по 5 МБ) в репозиторий не включены и восстанавливаются перезапуском build_array.py.</w:t>
      </w:r>
    </w:p>
    <w:p>
      <w:pPr>
        <w:jc w:val="both"/>
      </w:pPr>
      <w:r>
        <w:rPr>
          <w:b w:val="0"/>
          <w:i w:val="0"/>
        </w:rPr>
        <w:t>Литература: [1] Зайцев Н. А., Макарецкий Е. А. Анализ направленных свойств антенных решёток MIMO РЛС // Изв. ТулГУ. Техн. науки. 2016. Вып. 12, ч. 2. С. 111–121. Полный список — в HANDOFF_CST.md репозитория.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