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30"/>
        </w:rPr>
        <w:t>Проверка концепции виртуальной антенной решётки MIMO полноволновым расчётом в CST Studio Suite</w:t>
      </w:r>
    </w:p>
    <w:p>
      <w:pPr>
        <w:jc w:val="center"/>
      </w:pPr>
      <w:r>
        <w:rPr>
          <w:b w:val="0"/>
          <w:i w:val="0"/>
          <w:sz w:val="22"/>
        </w:rPr>
        <w:t>ДЗ2 по курсу ОТиТРСКУ: линейная решётка 8 Rx + 4 Tx и кольцевая решётка 20 Rx + 10 Tx из ДЗ1.</w:t>
      </w:r>
    </w:p>
    <w:p>
      <w:pPr>
        <w:jc w:val="center"/>
      </w:pPr>
      <w:r>
        <w:rPr>
          <w:b w:val="0"/>
          <w:i w:val="0"/>
          <w:sz w:val="22"/>
        </w:rPr>
        <w:t>Студент Сухарев Е. С., РЛ1-104. 22 октября 2026 г.</w:t>
      </w:r>
    </w:p>
    <w:p>
      <w:pPr>
        <w:pStyle w:val="Heading1"/>
      </w:pPr>
      <w:r>
        <w:t>1. Что проверяется</w:t>
      </w:r>
    </w:p>
    <w:p>
      <w:pPr>
        <w:jc w:val="both"/>
      </w:pPr>
      <w:r>
        <w:rPr>
          <w:b w:val="0"/>
          <w:i w:val="0"/>
        </w:rPr>
        <w:t>В ДЗ1 направленные свойства MIMO-решёток считались по концепции виртуальной антенной решётки (ВАР): каждая пара «передатчик–приёмник» заменяется изотропным элементом в точке r_tx + r_rx, а диаграмма направленности — сумма плоских волн с фазами k·(r_tx + r_rx)·u. Здесь эта концепция проверяется электродинамически: все элементы считаются в CST вместе, со взаимной связью, и отклик каждой пары берётся как произведение встроенных ДН F_tx(u)·F_rx(u). Проверяемые утверждения источников:</w:t>
      </w:r>
    </w:p>
    <w:p>
      <w:pPr>
        <w:spacing w:after="80"/>
        <w:ind w:left="567"/>
        <w:jc w:val="both"/>
      </w:pPr>
      <w:r>
        <w:rPr>
          <w:i/>
          <w:sz w:val="22"/>
        </w:rPr>
        <w:t>«…приёмником будут приняты четыре сигнала, отличающихся фазовыми сдвигами, … что эквивалентно использованию традиционной антенной решётки с количеством элементов, равным четырём»</w:t>
      </w:r>
      <w:r>
        <w:rPr>
          <w:sz w:val="20"/>
        </w:rPr>
        <w:t xml:space="preserve"> — [1], с. 113, ф. (4)</w:t>
      </w:r>
    </w:p>
    <w:p>
      <w:pPr>
        <w:spacing w:after="80"/>
        <w:ind w:left="567"/>
        <w:jc w:val="both"/>
      </w:pPr>
      <w:r>
        <w:rPr>
          <w:i/>
          <w:sz w:val="22"/>
        </w:rPr>
        <w:t>«Относительные координаты виртуальных приёмных антенн при этом определяются по формуле ρ_m = r_tx,p + r_rx,q − r_0»</w:t>
      </w:r>
      <w:r>
        <w:rPr>
          <w:sz w:val="20"/>
        </w:rPr>
        <w:t xml:space="preserve"> — [3], с. 240</w:t>
      </w:r>
    </w:p>
    <w:p>
      <w:pPr>
        <w:spacing w:after="80"/>
        <w:ind w:left="567"/>
        <w:jc w:val="both"/>
      </w:pPr>
      <w:r>
        <w:rPr>
          <w:i/>
          <w:sz w:val="22"/>
        </w:rPr>
        <w:t>«Сигнал, принимаемый таким элементом, определяется коэффициентом передачи в канале между соответствующими передающей и приёмной антеннами»</w:t>
      </w:r>
      <w:r>
        <w:rPr>
          <w:sz w:val="20"/>
        </w:rPr>
        <w:t xml:space="preserve"> — [3], с. 241</w:t>
      </w:r>
    </w:p>
    <w:p>
      <w:pPr>
        <w:spacing w:after="80"/>
        <w:ind w:left="567"/>
        <w:jc w:val="both"/>
      </w:pPr>
      <w:r>
        <w:rPr>
          <w:i/>
          <w:sz w:val="22"/>
        </w:rPr>
        <w:t>«Сравнение рис. 7, а, б показывает, что поперечное смещение передающей подрешётки практически не влияет на диаграмму направленности виртуальной антенной решётки. Поэтому данный метод целесообразен для снижения электромагнитных связей между передающими и приёмными каналами (расстояние может составлять несколько длин волн)»</w:t>
      </w:r>
      <w:r>
        <w:rPr>
          <w:sz w:val="20"/>
        </w:rPr>
        <w:t xml:space="preserve"> — [1], с. 118; то же — вывод 3, с. 120</w:t>
      </w:r>
    </w:p>
    <w:p>
      <w:pPr>
        <w:spacing w:after="80"/>
        <w:ind w:left="567"/>
        <w:jc w:val="both"/>
      </w:pPr>
      <w:r>
        <w:rPr>
          <w:i/>
          <w:sz w:val="22"/>
        </w:rPr>
        <w:t>«…рассовмещение передающей и приёмной АР, необходимое на практике для осуществления развязки приём-передача, не приводит к существенному изменению результатов и качества фокусировки радиоизображения»</w:t>
      </w:r>
      <w:r>
        <w:rPr>
          <w:sz w:val="20"/>
        </w:rPr>
        <w:t xml:space="preserve"> — [7], с. 83</w:t>
      </w:r>
    </w:p>
    <w:p>
      <w:pPr>
        <w:jc w:val="both"/>
      </w:pPr>
      <w:r>
        <w:rPr>
          <w:b w:val="0"/>
          <w:i w:val="0"/>
        </w:rPr>
        <w:t>Из ДЗ1 проверяются числа: линейная решётка — ширина луча 3,16°, УБЛ −13,2 дБ; кольцо — «крайне узкий главный луч, что составляет порядка 0,5°, … уровень боковых лепестков может приближаться к уровню −3 дБ» (ДЗ1, с. 9; после исправления квадранта в DZ_py.py — 0,24° и −4,0 дБ).</w:t>
      </w:r>
    </w:p>
    <w:p>
      <w:pPr>
        <w:jc w:val="both"/>
      </w:pPr>
      <w:r>
        <w:rPr>
          <w:b w:val="0"/>
          <w:i w:val="0"/>
        </w:rPr>
        <w:t>Проверка считается пройденной, если: (а) фазовый центр каждого элемента в решётке совпадает с его геометрической точкой с точностью λ/20 = 1,5 мм; (б) ДН суммы произведений F_tx·F_rx совпадает с ДН ВАР по формуле по ширине луча и УБЛ; (в) сдвиг ряда Tx на λ поперёк оси не меняет ДН.</w:t>
      </w:r>
    </w:p>
    <w:p>
      <w:pPr>
        <w:pStyle w:val="Heading1"/>
      </w:pPr>
      <w:r>
        <w:t>2. Как проверяется</w:t>
      </w:r>
    </w:p>
    <w:p>
      <w:pPr>
        <w:jc w:val="both"/>
      </w:pPr>
      <w:r>
        <w:rPr>
          <w:b w:val="0"/>
          <w:i w:val="0"/>
        </w:rPr>
        <w:t>Все элементы — одинаковые полуволновые диполи 12,5 мм (резонанс 10,2 ГГц) вдоль y, в плоскости z = 0, дискретные порты 50 Ом; CST 2024, решатель во временной области, 9–11 ГГц, открытые границы. Каждый порт возбуждается по очереди, остальные нагружены 50 Ом: это даёт встроенные ДН F_n(θ, φ) со взаимной связью. ДН выгружаются с шагом 1° по θ и φ с фазой относительно глобального нуля. Тип излучателя для проверки не принципиален: проверяется геометрическая модель, а не антенна.</w:t>
      </w:r>
    </w:p>
    <w:p>
      <w:pPr>
        <w:pStyle w:val="ListBullet"/>
        <w:jc w:val="both"/>
      </w:pPr>
      <w:r>
        <w:rPr>
          <w:b/>
          <w:i w:val="0"/>
        </w:rPr>
        <w:t xml:space="preserve">Фазовый центр элемента </w:t>
      </w:r>
      <w:r>
        <w:rPr>
          <w:b w:val="0"/>
          <w:i w:val="0"/>
        </w:rPr>
        <w:t>— МНК-подгонка фазы встроенной ДН моделью точечного источника k·(x·sinθ·cosφ + y·sinθ·sinφ) + φ0 в секторе ±30° (рис. 1). Остаток 3–10° — рябь от рассеяния на соседях.</w:t>
      </w:r>
    </w:p>
    <w:p>
      <w:pPr>
        <w:pStyle w:val="ListBullet"/>
        <w:jc w:val="both"/>
      </w:pPr>
      <w:r>
        <w:rPr>
          <w:b/>
          <w:i w:val="0"/>
        </w:rPr>
        <w:t xml:space="preserve">ДН ВАР по формуле </w:t>
      </w:r>
      <w:r>
        <w:rPr>
          <w:b w:val="0"/>
          <w:i w:val="0"/>
        </w:rPr>
        <w:t>— сумма exp(j·k·(r_tx + r_rx)·u) по всем парам, умноженная на квадрат среднего множителя элемента (чтобы сравнивать только решётку).</w:t>
      </w:r>
    </w:p>
    <w:p>
      <w:pPr>
        <w:pStyle w:val="ListBullet"/>
        <w:jc w:val="both"/>
      </w:pPr>
      <w:r>
        <w:rPr>
          <w:b/>
          <w:i w:val="0"/>
        </w:rPr>
        <w:t xml:space="preserve">ДН ВАР по CST </w:t>
      </w:r>
      <w:r>
        <w:rPr>
          <w:b w:val="0"/>
          <w:i w:val="0"/>
        </w:rPr>
        <w:t>— Σ F_tx(u)·F_rx(u) по тем же парам; отдельно с калибровкой каналов (каждая ДН делится на своё значение по нормали, как в реальной MIMO-РЛС) и без неё.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780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ng_R5_ph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80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1. Фаза встроенной ДН элемента rx1 кольца (точки) и модель точечного источника в его геометрическом центре (линия); справа — остаток, не превышающий ±15°</w:t>
      </w:r>
    </w:p>
    <w:p>
      <w:pPr>
        <w:pStyle w:val="Heading1"/>
      </w:pPr>
      <w:r>
        <w:t>3. Линейная решётка 8 Rx + 4 Tx (ряд Tx сдвинут на λ)</w:t>
      </w:r>
    </w:p>
    <w:p>
      <w:pPr>
        <w:jc w:val="both"/>
      </w:pPr>
      <w:r>
        <w:rPr>
          <w:b w:val="0"/>
          <w:i w:val="0"/>
        </w:rPr>
        <w:t>Геометрия ДЗ1: Rx с шагом λ на x = −105…105 мм, Tx на x = ±112,5 и ±127,5 мм; ряд Tx сдвинут на y = +30 мм, как рекомендует [1]. Рис. 2 и 3 показывают ДН ВАР по формуле и по CST; табл. 1 — числа.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60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_10GH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2. Линейная решётка: сечения ДН ВАР по формуле (чёрная) и по CST (красная — без калибровки, синяя — с калибровкой)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569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ge3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6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3. Линейная решётка: ДН ВАР на всей полусфере по формуле и по CST, справа — их разность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2608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Величина</w:t>
            </w:r>
          </w:p>
        </w:tc>
        <w:tc>
          <w:tcPr>
            <w:tcW w:type="dxa" w:w="1814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ДЗ1 (формула, изотропные)</w:t>
            </w:r>
          </w:p>
        </w:tc>
        <w:tc>
          <w:tcPr>
            <w:tcW w:type="dxa" w:w="1587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Формула × элемент</w:t>
            </w:r>
          </w:p>
        </w:tc>
        <w:tc>
          <w:tcPr>
            <w:tcW w:type="dxa" w:w="1644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CST без калибровки</w:t>
            </w:r>
          </w:p>
        </w:tc>
        <w:tc>
          <w:tcPr>
            <w:tcW w:type="dxa" w:w="1644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CST с калибровкой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sz w:val="20"/>
              </w:rPr>
              <w:t>Ширина луча по −3 дБ, °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3,16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3,06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20"/>
              </w:rPr>
              <w:t>2,95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20"/>
              </w:rPr>
              <w:t>2,94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sz w:val="20"/>
              </w:rPr>
              <w:t>УБЛ, дБ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−13,2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−11,9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20"/>
              </w:rPr>
              <w:t>−13,6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20"/>
              </w:rPr>
              <w:t>−13,6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/>
            <w:r>
              <w:rPr>
                <w:sz w:val="20"/>
              </w:rPr>
              <w:t>Максимум ДН, °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0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sz w:val="20"/>
              </w:rPr>
              <w:t>0,0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20"/>
              </w:rPr>
              <w:t>0,0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20"/>
              </w:rPr>
              <w:t>0,0</w:t>
            </w:r>
          </w:p>
        </w:tc>
      </w:tr>
    </w:tbl>
    <w:p>
      <w:pPr>
        <w:spacing w:after="200"/>
        <w:jc w:val="center"/>
      </w:pPr>
      <w:r>
        <w:rPr>
          <w:b w:val="0"/>
          <w:i/>
          <w:sz w:val="20"/>
        </w:rPr>
        <w:t>Табл. 1. Линейная решётка, сечение вдоль оси (φ = 0), 10 ГГц</w:t>
      </w:r>
    </w:p>
    <w:p>
      <w:pPr>
        <w:jc w:val="both"/>
      </w:pPr>
      <w:r>
        <w:rPr>
          <w:b w:val="0"/>
          <w:i w:val="0"/>
        </w:rPr>
        <w:t>Фазовые центры: Rx отклоняются от геометрии не более чем на 0,23 мм, Tx — на 1,20 мм (пары Tx с шагом λ/2 «расталкиваются» взаимной связью; это λ/25, на пределе критерия). Фаза φ0 встроенных ДН крайних Rx отстаёт на 71° от внутренних, Tx — на 159°; на ДН ВАР это почти не сказалось (табл. 1, два столбца CST), потому что разнофазность симметрична относительно центра решётки.</w:t>
      </w:r>
    </w:p>
    <w:p>
      <w:pPr>
        <w:jc w:val="both"/>
      </w:pPr>
      <w:r>
        <w:rPr>
          <w:b w:val="0"/>
          <w:i w:val="0"/>
        </w:rPr>
        <w:t>Сдвиг ряда Tx на λ: формула в сечении φ = 0 от сдвига по y не зависит, а CST с реально сдвинутым рядом даёт ту же ширину луча и тот же УБЛ — утверждение [1] о поперечном смещении подтверждается. Развязка Tx–Rx при этом не хуже −27 дБ (худшая пара Tx2–Rx1), Rx–Rx между соседями −19 дБ.</w:t>
      </w:r>
    </w:p>
    <w:p>
      <w:pPr>
        <w:pStyle w:val="Heading1"/>
      </w:pPr>
      <w:r>
        <w:t>4. Кольцо 20 Rx + 10 Tx</w:t>
      </w:r>
    </w:p>
    <w:p>
      <w:pPr>
        <w:jc w:val="both"/>
      </w:pPr>
      <w:r>
        <w:rPr>
          <w:b w:val="0"/>
          <w:i w:val="0"/>
        </w:rPr>
        <w:t>Кольцо ДЗ1 (Rx на R = 50λ, Tx на 67,5λ) имеет диаметр 4 м и в CST не считается. Проверка выполнена на геометрически подобных кольцах с тем же числом элементов и тем же отношением радиусов 1,35: R = 5λ (диаметр по Tx 0,4 м, 4,5 млн ячеек, 93 мин). Если формула ВАР верна при тесном кольце, где связь между элементами сильнее, она верна и при разрежённом.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5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ng_R5_lay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4. Кольцо R = 5λ: геометрия (контуры) и найденные фазовые центры (закрашено); они совпадают с точностью 0,07 мм = λ/444. Цвет — фаза φ0 встроенной ДН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60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_10GH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6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5. Кольцо R = 5λ: сечения ДН ВАР по формуле и по CST (φ = 0 и 90°)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0569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ng_R5_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56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sz w:val="20"/>
        </w:rPr>
        <w:t>Рис. 6. Кольцо R = 5λ: ДН ВАР на полусфере по формуле и по CST, справа — разность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515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Величина</w:t>
            </w:r>
          </w:p>
        </w:tc>
        <w:tc>
          <w:tcPr>
            <w:tcW w:type="dxa" w:w="1814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Формула × элемент</w:t>
            </w:r>
          </w:p>
        </w:tc>
        <w:tc>
          <w:tcPr>
            <w:tcW w:type="dxa" w:w="1814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CST без калибровки</w:t>
            </w:r>
          </w:p>
        </w:tc>
        <w:tc>
          <w:tcPr>
            <w:tcW w:type="dxa" w:w="1814"/>
            <w:shd w:val="clear" w:color="auto" w:fill="E7E6E6"/>
          </w:tcPr>
          <w:p>
            <w:pPr>
              <w:jc w:val="center"/>
            </w:pPr>
            <w:r/>
            <w:r>
              <w:rPr>
                <w:b/>
                <w:sz w:val="20"/>
              </w:rPr>
              <w:t>CST с калибровкой</w:t>
            </w:r>
          </w:p>
        </w:tc>
      </w:tr>
      <w:tr>
        <w:tc>
          <w:tcPr>
            <w:tcW w:type="dxa" w:w="3515"/>
          </w:tcPr>
          <w:p>
            <w:pPr>
              <w:jc w:val="left"/>
            </w:pPr>
            <w:r/>
            <w:r>
              <w:rPr>
                <w:sz w:val="20"/>
              </w:rPr>
              <w:t>R = 5λ, φ = 0°, ширина луча, °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2,28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2,31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2,35</w:t>
            </w:r>
          </w:p>
        </w:tc>
      </w:tr>
      <w:tr>
        <w:tc>
          <w:tcPr>
            <w:tcW w:type="dxa" w:w="3515"/>
          </w:tcPr>
          <w:p>
            <w:pPr>
              <w:jc w:val="left"/>
            </w:pPr>
            <w:r/>
            <w:r>
              <w:rPr>
                <w:sz w:val="20"/>
              </w:rPr>
              <w:t>R = 5λ, φ = 0°, УБЛ, дБ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−8,5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−9,4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−9,5</w:t>
            </w:r>
          </w:p>
        </w:tc>
      </w:tr>
      <w:tr>
        <w:tc>
          <w:tcPr>
            <w:tcW w:type="dxa" w:w="3515"/>
          </w:tcPr>
          <w:p>
            <w:pPr>
              <w:jc w:val="left"/>
            </w:pPr>
            <w:r/>
            <w:r>
              <w:rPr>
                <w:sz w:val="20"/>
              </w:rPr>
              <w:t>R = 5λ, φ = 90°, ширина луча, °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2,31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2,38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2,33</w:t>
            </w:r>
          </w:p>
        </w:tc>
      </w:tr>
      <w:tr>
        <w:tc>
          <w:tcPr>
            <w:tcW w:type="dxa" w:w="3515"/>
          </w:tcPr>
          <w:p>
            <w:pPr>
              <w:jc w:val="left"/>
            </w:pPr>
            <w:r/>
            <w:r>
              <w:rPr>
                <w:sz w:val="20"/>
              </w:rPr>
              <w:t>R = 5λ, φ = 90°, УБЛ, дБ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−18,3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−18,8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sz w:val="20"/>
              </w:rPr>
              <w:t>−18,2</w:t>
            </w:r>
          </w:p>
        </w:tc>
      </w:tr>
    </w:tbl>
    <w:p>
      <w:pPr>
        <w:spacing w:after="200"/>
        <w:jc w:val="center"/>
      </w:pPr>
      <w:r>
        <w:rPr>
          <w:b w:val="0"/>
          <w:i/>
          <w:sz w:val="20"/>
        </w:rPr>
        <w:t>Табл. 2. Кольцо: ширина луча и УБЛ по формуле и по CST, 10 ГГц. Для справки, формула с изотропными элементами: R = 5λ — 2,48° и −8,1 дБ; R = 10λ — 1,24° и −8,1 дБ; R = 50λ (ДЗ1) — 0,24° и −4,0 дБ</w:t>
      </w:r>
    </w:p>
    <w:p>
      <w:pPr>
        <w:jc w:val="both"/>
      </w:pPr>
      <w:r>
        <w:rPr>
          <w:b w:val="0"/>
          <w:i w:val="0"/>
        </w:rPr>
        <w:t>Ширина луча масштабируется как 1/R, как и должно быть для разрежённой решётки, а уровень дифракционных лепестков при R = 50λ по формуле поднимается до −4 дБ, что и было отмечено в ДЗ1. Полноволновой расчёт подтверждает формулу с точностью лучше 1 дБ по всем лепесткам выше −20 дБ (рис. 6), поэтому вывод ДЗ1 о кольце — узкий луч при неприемлемом УБЛ — остаётся в силе и для реальных излучателей.</w:t>
      </w:r>
    </w:p>
    <w:p>
      <w:pPr>
        <w:pStyle w:val="Heading1"/>
      </w:pPr>
      <w:r>
        <w:t>5. Выводы</w:t>
      </w:r>
    </w:p>
    <w:p>
      <w:pPr>
        <w:pStyle w:val="ListBullet"/>
        <w:jc w:val="both"/>
      </w:pPr>
      <w:r>
        <w:rPr>
          <w:b/>
          <w:i w:val="0"/>
        </w:rPr>
        <w:t xml:space="preserve">Концепция ВАР подтверждена полноволновым расчётом. </w:t>
      </w:r>
      <w:r>
        <w:rPr>
          <w:b w:val="0"/>
          <w:i w:val="0"/>
        </w:rPr>
        <w:t>Для линейной решётки и кольца ДН суммы произведений встроенных ДН всех пар совпадает с ДН по формуле r_tx + r_rx: ширина луча — в пределах 0,1°, УБЛ — в пределах 1 дБ, расхождение по всем лепесткам выше −20 дБ — около 1 дБ (скз).</w:t>
      </w:r>
    </w:p>
    <w:p>
      <w:pPr>
        <w:pStyle w:val="ListBullet"/>
        <w:jc w:val="both"/>
      </w:pPr>
      <w:r>
        <w:rPr>
          <w:b/>
          <w:i w:val="0"/>
        </w:rPr>
        <w:t xml:space="preserve">Фазовые центры элементов лежат в их геометрических точках: </w:t>
      </w:r>
      <w:r>
        <w:rPr>
          <w:b w:val="0"/>
          <w:i w:val="0"/>
        </w:rPr>
        <w:t>кольцо — не хуже 0,07 мм (λ/444), линейная решётка — 0,23 мм для Rx и 1,20 мм для пар Tx с шагом λ/2 (λ/25).</w:t>
      </w:r>
    </w:p>
    <w:p>
      <w:pPr>
        <w:pStyle w:val="ListBullet"/>
        <w:jc w:val="both"/>
      </w:pPr>
      <w:r>
        <w:rPr>
          <w:b/>
          <w:i w:val="0"/>
        </w:rPr>
        <w:t xml:space="preserve">Поперечный сдвиг ряда Tx на λ ДН не меняет </w:t>
      </w:r>
      <w:r>
        <w:rPr>
          <w:b w:val="0"/>
          <w:i w:val="0"/>
        </w:rPr>
        <w:t>(вывод 3 статьи [1], с. 120, и замечание [7], с. 83) и даёт развязку Tx–Rx не хуже −27 дБ.</w:t>
      </w:r>
    </w:p>
    <w:p>
      <w:pPr>
        <w:pStyle w:val="ListBullet"/>
        <w:jc w:val="both"/>
      </w:pPr>
      <w:r>
        <w:rPr>
          <w:b/>
          <w:i w:val="0"/>
        </w:rPr>
        <w:t xml:space="preserve">Что формула не учитывает: </w:t>
      </w:r>
      <w:r>
        <w:rPr>
          <w:b w:val="0"/>
          <w:i w:val="0"/>
        </w:rPr>
        <w:t>комплексные коэффициенты каналов — фазы встроенных ДН различаются на десятки градусов (крайние элементы линейки — 70°, элементы кольца — до 80° в зависимости от положения на окружности). При симметричной решётке это не портит ДН, при несимметричной выборке каналов — смещает кажущийся центр (сумма rx1…rx4 линейки: −68 мм вместо −60). В реальной MIMO-РЛС это снимается калибровкой каналов по нормали, что и сделано в столбце «CST с калибровкой».</w:t>
      </w:r>
    </w:p>
    <w:p>
      <w:pPr>
        <w:pStyle w:val="ListBullet"/>
        <w:jc w:val="both"/>
      </w:pPr>
      <w:r>
        <w:rPr>
          <w:b/>
          <w:i w:val="0"/>
        </w:rPr>
        <w:t xml:space="preserve">Числа ДЗ1 </w:t>
      </w:r>
      <w:r>
        <w:rPr>
          <w:b w:val="0"/>
          <w:i w:val="0"/>
        </w:rPr>
        <w:t>для линейной решётки (3,16°, −13,2 дБ) воспроизводятся CST с точностью 0,2° и 1 дБ; для кольца формульные 0,24° и −4,0 дБ в CST напрямую не проверить (4 м), но подтверждены на подобных кольцах 5λ.</w:t>
      </w:r>
    </w:p>
    <w:p>
      <w:pPr>
        <w:pStyle w:val="Heading1"/>
      </w:pPr>
      <w:r>
        <w:t>6. Файлы</w:t>
      </w:r>
    </w:p>
    <w:p>
      <w:pPr>
        <w:jc w:val="both"/>
      </w:pPr>
      <w:r>
        <w:rPr>
          <w:b w:val="0"/>
          <w:i w:val="0"/>
        </w:rPr>
        <w:t>Репозиторий BaykaI/MIMO, ветка claude/sweet-archimedes-gcmsuv, папка cst/: build_array.py и build_ring.py (модели CST), export_ff.py (выгрузка ДН), var_compare.py (формула против CST), analyze_stage.py и report2_figs.py (фазовые центры, карты ДН), citations.md (цитаты с номерами страниц), stage3/, ring_R5/ (проекты, S-матрицы, таблицы). Литература — по списку ДЗ1.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