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C50EA" w14:textId="03F690CE" w:rsidR="00B634FE" w:rsidRPr="00ED194E" w:rsidRDefault="00B634FE" w:rsidP="00ED194E">
      <w:pPr>
        <w:spacing w:line="276" w:lineRule="auto"/>
        <w:jc w:val="both"/>
        <w:rPr>
          <w:rFonts w:ascii="Candara" w:hAnsi="Candara"/>
          <w:b/>
          <w:sz w:val="23"/>
          <w:szCs w:val="23"/>
          <w:u w:val="single"/>
        </w:rPr>
      </w:pPr>
      <w:r w:rsidRPr="00ED194E">
        <w:rPr>
          <w:rFonts w:ascii="Candara" w:hAnsi="Candara"/>
          <w:b/>
          <w:sz w:val="23"/>
          <w:szCs w:val="23"/>
          <w:u w:val="single"/>
        </w:rPr>
        <w:t>CHANGES INTRODUCED IN THE FEDERAL HIGH COURT PRACTICE DIRECTIONS, 2021</w:t>
      </w:r>
      <w:r w:rsidR="00ED194E" w:rsidRPr="00ED194E">
        <w:rPr>
          <w:rFonts w:ascii="Candara" w:hAnsi="Candara"/>
          <w:b/>
          <w:sz w:val="23"/>
          <w:szCs w:val="23"/>
          <w:u w:val="single"/>
        </w:rPr>
        <w:t>: THE TAX PAYER’S PLIGHT</w:t>
      </w:r>
    </w:p>
    <w:p w14:paraId="194248FA" w14:textId="4F01D81B" w:rsidR="00F54F09" w:rsidRPr="00ED194E" w:rsidRDefault="00D03191"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 xml:space="preserve">Introduction </w:t>
      </w:r>
    </w:p>
    <w:p w14:paraId="1EF6649E" w14:textId="77777777" w:rsidR="00F54F09" w:rsidRPr="00ED194E" w:rsidRDefault="00F54F09" w:rsidP="00ED194E">
      <w:pPr>
        <w:spacing w:line="276" w:lineRule="auto"/>
        <w:jc w:val="both"/>
        <w:rPr>
          <w:rFonts w:ascii="Candara" w:hAnsi="Candara"/>
          <w:sz w:val="23"/>
          <w:szCs w:val="23"/>
        </w:rPr>
      </w:pPr>
      <w:r w:rsidRPr="00ED194E">
        <w:rPr>
          <w:rFonts w:ascii="Candara" w:hAnsi="Candara"/>
          <w:sz w:val="23"/>
          <w:szCs w:val="23"/>
        </w:rPr>
        <w:t>Practice Directions are rules of Court made Pursuant to a provision of a substantive law empowering the heads of Courts to make law with respect to the mode and procedure of the court. Such matters range from and include mode of commencement of action, forms of service of processes, extension of time and mode of regularization to mention a few, often time these rules are made with the sole objectives of enhancing speedy resolution of disputes.</w:t>
      </w:r>
      <w:r w:rsidRPr="00ED194E">
        <w:rPr>
          <w:rStyle w:val="FootnoteReference"/>
          <w:rFonts w:ascii="Candara" w:hAnsi="Candara"/>
          <w:sz w:val="23"/>
          <w:szCs w:val="23"/>
        </w:rPr>
        <w:footnoteReference w:id="1"/>
      </w:r>
    </w:p>
    <w:p w14:paraId="6D7ECFA9" w14:textId="0754F970" w:rsidR="00F54F09" w:rsidRPr="00ED194E" w:rsidRDefault="00B40B04" w:rsidP="00ED194E">
      <w:pPr>
        <w:spacing w:after="0" w:line="276" w:lineRule="auto"/>
        <w:jc w:val="both"/>
        <w:rPr>
          <w:rFonts w:ascii="Candara" w:hAnsi="Candara"/>
          <w:sz w:val="23"/>
          <w:szCs w:val="23"/>
        </w:rPr>
      </w:pPr>
      <w:r w:rsidRPr="00ED194E">
        <w:rPr>
          <w:rFonts w:ascii="Candara" w:hAnsi="Candara"/>
          <w:sz w:val="23"/>
          <w:szCs w:val="23"/>
        </w:rPr>
        <w:t>T</w:t>
      </w:r>
      <w:r w:rsidR="00C728C6" w:rsidRPr="00ED194E">
        <w:rPr>
          <w:rFonts w:ascii="Candara" w:hAnsi="Candara"/>
          <w:sz w:val="23"/>
          <w:szCs w:val="23"/>
        </w:rPr>
        <w:t xml:space="preserve">he release </w:t>
      </w:r>
      <w:r w:rsidRPr="00ED194E">
        <w:rPr>
          <w:rFonts w:ascii="Candara" w:hAnsi="Candara"/>
          <w:sz w:val="23"/>
          <w:szCs w:val="23"/>
        </w:rPr>
        <w:t>of Federal High Court (Federal Inland Revenue Service) Practice Directions, 2021, “</w:t>
      </w:r>
      <w:r w:rsidR="00B16EDA" w:rsidRPr="00ED194E">
        <w:rPr>
          <w:rFonts w:ascii="Candara" w:hAnsi="Candara"/>
          <w:i/>
          <w:sz w:val="23"/>
          <w:szCs w:val="23"/>
        </w:rPr>
        <w:t xml:space="preserve">FHC </w:t>
      </w:r>
      <w:r w:rsidRPr="00ED194E">
        <w:rPr>
          <w:rFonts w:ascii="Candara" w:hAnsi="Candara"/>
          <w:i/>
          <w:sz w:val="23"/>
          <w:szCs w:val="23"/>
        </w:rPr>
        <w:t>Practice Directions</w:t>
      </w:r>
      <w:r w:rsidRPr="00ED194E">
        <w:rPr>
          <w:rFonts w:ascii="Candara" w:hAnsi="Candara"/>
          <w:sz w:val="23"/>
          <w:szCs w:val="23"/>
        </w:rPr>
        <w:t xml:space="preserve">” by the Chief Judge of Federal High Court, Hon. Justice </w:t>
      </w:r>
      <w:proofErr w:type="spellStart"/>
      <w:r w:rsidRPr="00ED194E">
        <w:rPr>
          <w:rFonts w:ascii="Candara" w:hAnsi="Candara"/>
          <w:sz w:val="23"/>
          <w:szCs w:val="23"/>
        </w:rPr>
        <w:t>Terhemba</w:t>
      </w:r>
      <w:proofErr w:type="spellEnd"/>
      <w:r w:rsidRPr="00ED194E">
        <w:rPr>
          <w:rFonts w:ascii="Candara" w:hAnsi="Candara"/>
          <w:sz w:val="23"/>
          <w:szCs w:val="23"/>
        </w:rPr>
        <w:t xml:space="preserve"> Tosho has</w:t>
      </w:r>
      <w:r w:rsidR="00F54F09" w:rsidRPr="00ED194E">
        <w:rPr>
          <w:rFonts w:ascii="Candara" w:hAnsi="Candara"/>
          <w:sz w:val="23"/>
          <w:szCs w:val="23"/>
        </w:rPr>
        <w:t xml:space="preserve"> raised several questions on its</w:t>
      </w:r>
      <w:r w:rsidRPr="00ED194E">
        <w:rPr>
          <w:rFonts w:ascii="Candara" w:hAnsi="Candara"/>
          <w:sz w:val="23"/>
          <w:szCs w:val="23"/>
        </w:rPr>
        <w:t xml:space="preserve"> appropri</w:t>
      </w:r>
      <w:r w:rsidR="00F54F09" w:rsidRPr="00ED194E">
        <w:rPr>
          <w:rFonts w:ascii="Candara" w:hAnsi="Candara"/>
          <w:sz w:val="23"/>
          <w:szCs w:val="23"/>
        </w:rPr>
        <w:t>ateness</w:t>
      </w:r>
      <w:r w:rsidRPr="00ED194E">
        <w:rPr>
          <w:rFonts w:ascii="Candara" w:hAnsi="Candara"/>
          <w:sz w:val="23"/>
          <w:szCs w:val="23"/>
        </w:rPr>
        <w:t>. Inva</w:t>
      </w:r>
      <w:r w:rsidR="00F54F09" w:rsidRPr="00ED194E">
        <w:rPr>
          <w:rFonts w:ascii="Candara" w:hAnsi="Candara"/>
          <w:sz w:val="23"/>
          <w:szCs w:val="23"/>
        </w:rPr>
        <w:t xml:space="preserve">riably, this discourse </w:t>
      </w:r>
      <w:r w:rsidRPr="00ED194E">
        <w:rPr>
          <w:rFonts w:ascii="Candara" w:hAnsi="Candara"/>
          <w:sz w:val="23"/>
          <w:szCs w:val="23"/>
        </w:rPr>
        <w:t>highlight</w:t>
      </w:r>
      <w:r w:rsidR="00F54F09" w:rsidRPr="00ED194E">
        <w:rPr>
          <w:rFonts w:ascii="Candara" w:hAnsi="Candara"/>
          <w:sz w:val="23"/>
          <w:szCs w:val="23"/>
        </w:rPr>
        <w:t>s</w:t>
      </w:r>
      <w:r w:rsidRPr="00ED194E">
        <w:rPr>
          <w:rFonts w:ascii="Candara" w:hAnsi="Candara"/>
          <w:sz w:val="23"/>
          <w:szCs w:val="23"/>
        </w:rPr>
        <w:t xml:space="preserve"> the point </w:t>
      </w:r>
      <w:r w:rsidR="00242437" w:rsidRPr="00ED194E">
        <w:rPr>
          <w:rFonts w:ascii="Candara" w:hAnsi="Candara"/>
          <w:sz w:val="23"/>
          <w:szCs w:val="23"/>
        </w:rPr>
        <w:t>of concern in the instrument.</w:t>
      </w:r>
    </w:p>
    <w:p w14:paraId="704625F4" w14:textId="77777777" w:rsidR="008734C7" w:rsidRPr="00ED194E" w:rsidRDefault="008734C7" w:rsidP="00ED194E">
      <w:pPr>
        <w:spacing w:after="0" w:line="276" w:lineRule="auto"/>
        <w:jc w:val="both"/>
        <w:rPr>
          <w:rFonts w:ascii="Candara" w:hAnsi="Candara"/>
          <w:sz w:val="23"/>
          <w:szCs w:val="23"/>
        </w:rPr>
      </w:pPr>
    </w:p>
    <w:p w14:paraId="6A3E00A4" w14:textId="438EE2A4" w:rsidR="004A1B40" w:rsidRPr="00ED194E" w:rsidRDefault="00736799" w:rsidP="00ED194E">
      <w:pPr>
        <w:pStyle w:val="ListParagraph"/>
        <w:numPr>
          <w:ilvl w:val="0"/>
          <w:numId w:val="2"/>
        </w:numPr>
        <w:spacing w:after="0" w:line="276" w:lineRule="auto"/>
        <w:jc w:val="both"/>
        <w:rPr>
          <w:rFonts w:ascii="Candara" w:hAnsi="Candara"/>
          <w:b/>
          <w:sz w:val="23"/>
          <w:szCs w:val="23"/>
          <w:u w:val="single"/>
        </w:rPr>
      </w:pPr>
      <w:r w:rsidRPr="00ED194E">
        <w:rPr>
          <w:rFonts w:ascii="Candara" w:hAnsi="Candara"/>
          <w:b/>
          <w:sz w:val="23"/>
          <w:szCs w:val="23"/>
          <w:u w:val="single"/>
        </w:rPr>
        <w:t xml:space="preserve">The Practice Direction- </w:t>
      </w:r>
      <w:r w:rsidR="008734C7" w:rsidRPr="00ED194E">
        <w:rPr>
          <w:rFonts w:ascii="Candara" w:hAnsi="Candara"/>
          <w:b/>
          <w:sz w:val="23"/>
          <w:szCs w:val="23"/>
          <w:u w:val="single"/>
        </w:rPr>
        <w:t>Summary</w:t>
      </w:r>
      <w:r w:rsidRPr="00ED194E">
        <w:rPr>
          <w:rFonts w:ascii="Candara" w:hAnsi="Candara"/>
          <w:b/>
          <w:sz w:val="23"/>
          <w:szCs w:val="23"/>
          <w:u w:val="single"/>
        </w:rPr>
        <w:t xml:space="preserve">. </w:t>
      </w:r>
    </w:p>
    <w:p w14:paraId="544C2ACD" w14:textId="60F9B102" w:rsidR="004A1B40" w:rsidRPr="00ED194E" w:rsidRDefault="00CA3CFE" w:rsidP="00ED194E">
      <w:pPr>
        <w:spacing w:line="276" w:lineRule="auto"/>
        <w:jc w:val="both"/>
        <w:rPr>
          <w:rFonts w:ascii="Candara" w:hAnsi="Candara"/>
          <w:sz w:val="23"/>
          <w:szCs w:val="23"/>
        </w:rPr>
      </w:pPr>
      <w:r w:rsidRPr="00ED194E">
        <w:rPr>
          <w:rFonts w:ascii="Candara" w:hAnsi="Candara"/>
          <w:sz w:val="23"/>
          <w:szCs w:val="23"/>
        </w:rPr>
        <w:t>The FHC Practice Direction</w:t>
      </w:r>
      <w:r w:rsidR="004A1B40" w:rsidRPr="00ED194E">
        <w:rPr>
          <w:rFonts w:ascii="Candara" w:hAnsi="Candara"/>
          <w:sz w:val="23"/>
          <w:szCs w:val="23"/>
        </w:rPr>
        <w:t xml:space="preserve"> consists of six orders which seeks to detail the procedure for cases with regards to tax issues pertaining to FIRS. </w:t>
      </w:r>
    </w:p>
    <w:p w14:paraId="1D6EF772" w14:textId="18F0F105" w:rsidR="004A1B40" w:rsidRPr="00ED194E" w:rsidRDefault="004A1B40" w:rsidP="00ED194E">
      <w:pPr>
        <w:spacing w:after="0" w:line="276" w:lineRule="auto"/>
        <w:jc w:val="both"/>
        <w:rPr>
          <w:rFonts w:ascii="Candara" w:hAnsi="Candara"/>
          <w:sz w:val="23"/>
          <w:szCs w:val="23"/>
        </w:rPr>
      </w:pPr>
      <w:r w:rsidRPr="00ED194E">
        <w:rPr>
          <w:rFonts w:ascii="Candara" w:hAnsi="Candara"/>
          <w:b/>
          <w:sz w:val="23"/>
          <w:szCs w:val="23"/>
        </w:rPr>
        <w:t>Order I</w:t>
      </w:r>
      <w:r w:rsidRPr="00ED194E">
        <w:rPr>
          <w:rFonts w:ascii="Candara" w:hAnsi="Candara"/>
          <w:sz w:val="23"/>
          <w:szCs w:val="23"/>
        </w:rPr>
        <w:t xml:space="preserve"> highlights the applicability and objec</w:t>
      </w:r>
      <w:r w:rsidR="00701296">
        <w:rPr>
          <w:rFonts w:ascii="Candara" w:hAnsi="Candara"/>
          <w:sz w:val="23"/>
          <w:szCs w:val="23"/>
        </w:rPr>
        <w:t>tives of the FHC Practice Direction</w:t>
      </w:r>
      <w:r w:rsidR="00747F50" w:rsidRPr="00ED194E">
        <w:rPr>
          <w:rFonts w:ascii="Candara" w:hAnsi="Candara"/>
          <w:sz w:val="23"/>
          <w:szCs w:val="23"/>
        </w:rPr>
        <w:t xml:space="preserve">, chief amongst them is the effective resolution of disputes arising from the tax payer and the tax authority.  While </w:t>
      </w:r>
      <w:r w:rsidR="00747F50" w:rsidRPr="00ED194E">
        <w:rPr>
          <w:rFonts w:ascii="Candara" w:hAnsi="Candara"/>
          <w:b/>
          <w:sz w:val="23"/>
          <w:szCs w:val="23"/>
        </w:rPr>
        <w:t>Order II</w:t>
      </w:r>
      <w:r w:rsidR="00747F50" w:rsidRPr="00ED194E">
        <w:rPr>
          <w:rFonts w:ascii="Candara" w:hAnsi="Candara"/>
          <w:sz w:val="23"/>
          <w:szCs w:val="23"/>
        </w:rPr>
        <w:t xml:space="preserve"> states that the dispute would be resolved in the Judicial Division from which the </w:t>
      </w:r>
      <w:r w:rsidR="008734C7" w:rsidRPr="00ED194E">
        <w:rPr>
          <w:rFonts w:ascii="Candara" w:hAnsi="Candara"/>
          <w:sz w:val="23"/>
          <w:szCs w:val="23"/>
        </w:rPr>
        <w:t xml:space="preserve">matter </w:t>
      </w:r>
      <w:r w:rsidR="00747F50" w:rsidRPr="00ED194E">
        <w:rPr>
          <w:rFonts w:ascii="Candara" w:hAnsi="Candara"/>
          <w:sz w:val="23"/>
          <w:szCs w:val="23"/>
        </w:rPr>
        <w:t xml:space="preserve">arises and </w:t>
      </w:r>
      <w:r w:rsidR="008734C7" w:rsidRPr="00ED194E">
        <w:rPr>
          <w:rFonts w:ascii="Candara" w:hAnsi="Candara"/>
          <w:sz w:val="23"/>
          <w:szCs w:val="23"/>
        </w:rPr>
        <w:t xml:space="preserve">any matter commenced in </w:t>
      </w:r>
      <w:r w:rsidR="00747F50" w:rsidRPr="00ED194E">
        <w:rPr>
          <w:rFonts w:ascii="Candara" w:hAnsi="Candara"/>
          <w:sz w:val="23"/>
          <w:szCs w:val="23"/>
        </w:rPr>
        <w:t xml:space="preserve">a wrong </w:t>
      </w:r>
      <w:r w:rsidR="008734C7" w:rsidRPr="00ED194E">
        <w:rPr>
          <w:rFonts w:ascii="Candara" w:hAnsi="Candara"/>
          <w:sz w:val="23"/>
          <w:szCs w:val="23"/>
        </w:rPr>
        <w:t>division would be treated</w:t>
      </w:r>
      <w:r w:rsidR="00747F50" w:rsidRPr="00ED194E">
        <w:rPr>
          <w:rFonts w:ascii="Candara" w:hAnsi="Candara"/>
          <w:sz w:val="23"/>
          <w:szCs w:val="23"/>
        </w:rPr>
        <w:t xml:space="preserve"> in accordance to the Federal High Court</w:t>
      </w:r>
      <w:r w:rsidR="00B16EDA" w:rsidRPr="00ED194E">
        <w:rPr>
          <w:rFonts w:ascii="Candara" w:hAnsi="Candara"/>
          <w:sz w:val="23"/>
          <w:szCs w:val="23"/>
        </w:rPr>
        <w:t xml:space="preserve"> (Civil Procedure) Rules</w:t>
      </w:r>
      <w:r w:rsidR="00CA3CFE" w:rsidRPr="00ED194E">
        <w:rPr>
          <w:rFonts w:ascii="Candara" w:hAnsi="Candara"/>
          <w:sz w:val="23"/>
          <w:szCs w:val="23"/>
        </w:rPr>
        <w:t xml:space="preserve"> </w:t>
      </w:r>
      <w:r w:rsidR="00CA3CFE" w:rsidRPr="00ED194E">
        <w:rPr>
          <w:rFonts w:ascii="Candara" w:hAnsi="Candara"/>
          <w:i/>
          <w:sz w:val="23"/>
          <w:szCs w:val="23"/>
        </w:rPr>
        <w:t>“FHC Rules”</w:t>
      </w:r>
      <w:r w:rsidR="00747F50" w:rsidRPr="00ED194E">
        <w:rPr>
          <w:rFonts w:ascii="Candara" w:hAnsi="Candara"/>
          <w:sz w:val="23"/>
          <w:szCs w:val="23"/>
        </w:rPr>
        <w:t xml:space="preserve">. </w:t>
      </w:r>
      <w:r w:rsidR="00747F50" w:rsidRPr="00ED194E">
        <w:rPr>
          <w:rFonts w:ascii="Candara" w:hAnsi="Candara"/>
          <w:b/>
          <w:sz w:val="23"/>
          <w:szCs w:val="23"/>
        </w:rPr>
        <w:t>Order III</w:t>
      </w:r>
      <w:r w:rsidR="00747F50" w:rsidRPr="00ED194E">
        <w:rPr>
          <w:rFonts w:ascii="Candara" w:hAnsi="Candara"/>
          <w:sz w:val="23"/>
          <w:szCs w:val="23"/>
        </w:rPr>
        <w:t xml:space="preserve"> provides for the mode of commencement and in so doing </w:t>
      </w:r>
      <w:r w:rsidR="008734C7" w:rsidRPr="00ED194E">
        <w:rPr>
          <w:rFonts w:ascii="Candara" w:hAnsi="Candara"/>
          <w:sz w:val="23"/>
          <w:szCs w:val="23"/>
        </w:rPr>
        <w:t>empowers the</w:t>
      </w:r>
      <w:r w:rsidR="00747F50" w:rsidRPr="00ED194E">
        <w:rPr>
          <w:rFonts w:ascii="Candara" w:hAnsi="Candara"/>
          <w:sz w:val="23"/>
          <w:szCs w:val="23"/>
        </w:rPr>
        <w:t xml:space="preserve"> FIRS to apply for an interim </w:t>
      </w:r>
      <w:r w:rsidR="00736799" w:rsidRPr="00ED194E">
        <w:rPr>
          <w:rFonts w:ascii="Candara" w:hAnsi="Candara"/>
          <w:sz w:val="23"/>
          <w:szCs w:val="23"/>
        </w:rPr>
        <w:t>Order of Forf</w:t>
      </w:r>
      <w:r w:rsidR="00747F50" w:rsidRPr="00ED194E">
        <w:rPr>
          <w:rFonts w:ascii="Candara" w:hAnsi="Candara"/>
          <w:sz w:val="23"/>
          <w:szCs w:val="23"/>
        </w:rPr>
        <w:t>e</w:t>
      </w:r>
      <w:r w:rsidR="00736799" w:rsidRPr="00ED194E">
        <w:rPr>
          <w:rFonts w:ascii="Candara" w:hAnsi="Candara"/>
          <w:sz w:val="23"/>
          <w:szCs w:val="23"/>
        </w:rPr>
        <w:t>i</w:t>
      </w:r>
      <w:r w:rsidR="00747F50" w:rsidRPr="00ED194E">
        <w:rPr>
          <w:rFonts w:ascii="Candara" w:hAnsi="Candara"/>
          <w:sz w:val="23"/>
          <w:szCs w:val="23"/>
        </w:rPr>
        <w:t>ture of immovable</w:t>
      </w:r>
      <w:r w:rsidR="00736799" w:rsidRPr="00ED194E">
        <w:rPr>
          <w:rFonts w:ascii="Candara" w:hAnsi="Candara"/>
          <w:sz w:val="23"/>
          <w:szCs w:val="23"/>
        </w:rPr>
        <w:t xml:space="preserve"> Property o</w:t>
      </w:r>
      <w:r w:rsidR="00747F50" w:rsidRPr="00ED194E">
        <w:rPr>
          <w:rFonts w:ascii="Candara" w:hAnsi="Candara"/>
          <w:sz w:val="23"/>
          <w:szCs w:val="23"/>
        </w:rPr>
        <w:t>r f</w:t>
      </w:r>
      <w:r w:rsidR="00736799" w:rsidRPr="00ED194E">
        <w:rPr>
          <w:rFonts w:ascii="Candara" w:hAnsi="Candara"/>
          <w:sz w:val="23"/>
          <w:szCs w:val="23"/>
        </w:rPr>
        <w:t>reezing of Bank Account via an E</w:t>
      </w:r>
      <w:r w:rsidR="00747F50" w:rsidRPr="00ED194E">
        <w:rPr>
          <w:rFonts w:ascii="Candara" w:hAnsi="Candara"/>
          <w:sz w:val="23"/>
          <w:szCs w:val="23"/>
        </w:rPr>
        <w:t>x</w:t>
      </w:r>
      <w:r w:rsidR="00736799" w:rsidRPr="00ED194E">
        <w:rPr>
          <w:rFonts w:ascii="Candara" w:hAnsi="Candara"/>
          <w:sz w:val="23"/>
          <w:szCs w:val="23"/>
        </w:rPr>
        <w:t>-</w:t>
      </w:r>
      <w:r w:rsidR="00747F50" w:rsidRPr="00ED194E">
        <w:rPr>
          <w:rFonts w:ascii="Candara" w:hAnsi="Candara"/>
          <w:sz w:val="23"/>
          <w:szCs w:val="23"/>
        </w:rPr>
        <w:t>parte Application</w:t>
      </w:r>
      <w:r w:rsidR="00A95470" w:rsidRPr="00ED194E">
        <w:rPr>
          <w:rFonts w:ascii="Candara" w:hAnsi="Candara"/>
          <w:sz w:val="23"/>
          <w:szCs w:val="23"/>
        </w:rPr>
        <w:t xml:space="preserve">.  In </w:t>
      </w:r>
      <w:r w:rsidR="00A95470" w:rsidRPr="00ED194E">
        <w:rPr>
          <w:rFonts w:ascii="Candara" w:hAnsi="Candara"/>
          <w:b/>
          <w:sz w:val="23"/>
          <w:szCs w:val="23"/>
        </w:rPr>
        <w:t>Order IV</w:t>
      </w:r>
      <w:r w:rsidR="00A95470" w:rsidRPr="00ED194E">
        <w:rPr>
          <w:rFonts w:ascii="Candara" w:hAnsi="Candara"/>
          <w:sz w:val="23"/>
          <w:szCs w:val="23"/>
        </w:rPr>
        <w:t xml:space="preserve">, </w:t>
      </w:r>
      <w:r w:rsidR="008734C7" w:rsidRPr="00ED194E">
        <w:rPr>
          <w:rFonts w:ascii="Candara" w:hAnsi="Candara"/>
          <w:sz w:val="23"/>
          <w:szCs w:val="23"/>
        </w:rPr>
        <w:t xml:space="preserve">the </w:t>
      </w:r>
      <w:r w:rsidR="00701296">
        <w:rPr>
          <w:rFonts w:ascii="Candara" w:hAnsi="Candara"/>
          <w:sz w:val="23"/>
          <w:szCs w:val="23"/>
        </w:rPr>
        <w:t xml:space="preserve">FHC Practice Direction, </w:t>
      </w:r>
      <w:r w:rsidR="00A95470" w:rsidRPr="00ED194E">
        <w:rPr>
          <w:rFonts w:ascii="Candara" w:hAnsi="Candara"/>
          <w:sz w:val="23"/>
          <w:szCs w:val="23"/>
        </w:rPr>
        <w:t xml:space="preserve">states how the processes filed would be served and this includes </w:t>
      </w:r>
      <w:r w:rsidR="008734C7" w:rsidRPr="00ED194E">
        <w:rPr>
          <w:rFonts w:ascii="Candara" w:hAnsi="Candara"/>
          <w:sz w:val="23"/>
          <w:szCs w:val="23"/>
        </w:rPr>
        <w:t xml:space="preserve">service </w:t>
      </w:r>
      <w:r w:rsidR="00A95470" w:rsidRPr="00ED194E">
        <w:rPr>
          <w:rFonts w:ascii="Candara" w:hAnsi="Candara"/>
          <w:sz w:val="23"/>
          <w:szCs w:val="23"/>
        </w:rPr>
        <w:t xml:space="preserve">via email or WhatsApp. </w:t>
      </w:r>
      <w:r w:rsidR="00A95470" w:rsidRPr="00ED194E">
        <w:rPr>
          <w:rFonts w:ascii="Candara" w:hAnsi="Candara"/>
          <w:b/>
          <w:sz w:val="23"/>
          <w:szCs w:val="23"/>
        </w:rPr>
        <w:t>Order V &amp; VI</w:t>
      </w:r>
      <w:r w:rsidR="00A95470" w:rsidRPr="00ED194E">
        <w:rPr>
          <w:rFonts w:ascii="Candara" w:hAnsi="Candara"/>
          <w:sz w:val="23"/>
          <w:szCs w:val="23"/>
        </w:rPr>
        <w:t xml:space="preserve"> provid</w:t>
      </w:r>
      <w:r w:rsidR="00CA3CFE" w:rsidRPr="00ED194E">
        <w:rPr>
          <w:rFonts w:ascii="Candara" w:hAnsi="Candara"/>
          <w:sz w:val="23"/>
          <w:szCs w:val="23"/>
        </w:rPr>
        <w:t>es for mode of appearance and a d</w:t>
      </w:r>
      <w:r w:rsidR="00A95470" w:rsidRPr="00ED194E">
        <w:rPr>
          <w:rFonts w:ascii="Candara" w:hAnsi="Candara"/>
          <w:sz w:val="23"/>
          <w:szCs w:val="23"/>
        </w:rPr>
        <w:t>efault</w:t>
      </w:r>
      <w:r w:rsidR="00CA3CFE" w:rsidRPr="00ED194E">
        <w:rPr>
          <w:rFonts w:ascii="Candara" w:hAnsi="Candara"/>
          <w:sz w:val="23"/>
          <w:szCs w:val="23"/>
        </w:rPr>
        <w:t xml:space="preserve"> of appearance</w:t>
      </w:r>
      <w:r w:rsidR="00A95470" w:rsidRPr="00ED194E">
        <w:rPr>
          <w:rFonts w:ascii="Candara" w:hAnsi="Candara"/>
          <w:sz w:val="23"/>
          <w:szCs w:val="23"/>
        </w:rPr>
        <w:t xml:space="preserve"> respectively. </w:t>
      </w:r>
      <w:r w:rsidR="00CC6E67" w:rsidRPr="00ED194E">
        <w:rPr>
          <w:rFonts w:ascii="Candara" w:hAnsi="Candara"/>
          <w:b/>
          <w:sz w:val="23"/>
          <w:szCs w:val="23"/>
        </w:rPr>
        <w:t>Order V</w:t>
      </w:r>
      <w:r w:rsidR="008734C7" w:rsidRPr="00ED194E">
        <w:rPr>
          <w:rFonts w:ascii="Candara" w:hAnsi="Candara"/>
          <w:sz w:val="23"/>
          <w:szCs w:val="23"/>
        </w:rPr>
        <w:t xml:space="preserve"> also provides that a </w:t>
      </w:r>
      <w:r w:rsidR="00A95470" w:rsidRPr="00ED194E">
        <w:rPr>
          <w:rFonts w:ascii="Candara" w:hAnsi="Candara"/>
          <w:sz w:val="23"/>
          <w:szCs w:val="23"/>
        </w:rPr>
        <w:t xml:space="preserve">Respondent is expected to pay half of the assessed amount into an interest yielding account when he decides to contend the assessment. While, </w:t>
      </w:r>
      <w:r w:rsidR="00A95470" w:rsidRPr="00ED194E">
        <w:rPr>
          <w:rFonts w:ascii="Candara" w:hAnsi="Candara"/>
          <w:b/>
          <w:sz w:val="23"/>
          <w:szCs w:val="23"/>
        </w:rPr>
        <w:t>Order VI</w:t>
      </w:r>
      <w:r w:rsidR="00A95470" w:rsidRPr="00ED194E">
        <w:rPr>
          <w:rFonts w:ascii="Candara" w:hAnsi="Candara"/>
          <w:sz w:val="23"/>
          <w:szCs w:val="23"/>
        </w:rPr>
        <w:t xml:space="preserve"> states the application may be struck out upon default by the applicant and deferred to the Federal High Court (Civil Procedure) Rules where the Respondent does not appear upon proof of service. </w:t>
      </w:r>
    </w:p>
    <w:p w14:paraId="4284D27F" w14:textId="6B5220A9" w:rsidR="00F21DCE" w:rsidRPr="00ED194E" w:rsidRDefault="00F21DCE" w:rsidP="00ED194E">
      <w:pPr>
        <w:spacing w:after="0" w:line="276" w:lineRule="auto"/>
        <w:jc w:val="both"/>
        <w:rPr>
          <w:rFonts w:ascii="Candara" w:hAnsi="Candara"/>
          <w:sz w:val="23"/>
          <w:szCs w:val="23"/>
        </w:rPr>
      </w:pPr>
    </w:p>
    <w:p w14:paraId="34F168D0" w14:textId="17D7AD94" w:rsidR="00951695" w:rsidRPr="00ED194E" w:rsidRDefault="001A1DBD" w:rsidP="00ED194E">
      <w:pPr>
        <w:pStyle w:val="ListParagraph"/>
        <w:numPr>
          <w:ilvl w:val="0"/>
          <w:numId w:val="2"/>
        </w:numPr>
        <w:spacing w:after="0" w:line="276" w:lineRule="auto"/>
        <w:jc w:val="both"/>
        <w:rPr>
          <w:rFonts w:ascii="Candara" w:hAnsi="Candara"/>
          <w:b/>
          <w:sz w:val="23"/>
          <w:szCs w:val="23"/>
          <w:u w:val="single"/>
        </w:rPr>
      </w:pPr>
      <w:r w:rsidRPr="00ED194E">
        <w:rPr>
          <w:rFonts w:ascii="Candara" w:hAnsi="Candara"/>
          <w:b/>
          <w:sz w:val="23"/>
          <w:szCs w:val="23"/>
          <w:u w:val="single"/>
        </w:rPr>
        <w:t xml:space="preserve">Whether Applicable to </w:t>
      </w:r>
      <w:r w:rsidR="008C704D" w:rsidRPr="00ED194E">
        <w:rPr>
          <w:rFonts w:ascii="Candara" w:hAnsi="Candara"/>
          <w:b/>
          <w:sz w:val="23"/>
          <w:szCs w:val="23"/>
          <w:u w:val="single"/>
        </w:rPr>
        <w:t xml:space="preserve">only cases involving FIRS or </w:t>
      </w:r>
      <w:r w:rsidRPr="00ED194E">
        <w:rPr>
          <w:rFonts w:ascii="Candara" w:hAnsi="Candara"/>
          <w:b/>
          <w:sz w:val="23"/>
          <w:szCs w:val="23"/>
          <w:u w:val="single"/>
        </w:rPr>
        <w:t xml:space="preserve">all matters </w:t>
      </w:r>
      <w:r w:rsidR="008C704D" w:rsidRPr="00ED194E">
        <w:rPr>
          <w:rFonts w:ascii="Candara" w:hAnsi="Candara"/>
          <w:b/>
          <w:sz w:val="23"/>
          <w:szCs w:val="23"/>
          <w:u w:val="single"/>
        </w:rPr>
        <w:t>in FHC</w:t>
      </w:r>
    </w:p>
    <w:p w14:paraId="2C4ED0B3" w14:textId="4277DD46" w:rsidR="003A025F" w:rsidRPr="00ED194E" w:rsidRDefault="00F54F09" w:rsidP="00ED194E">
      <w:pPr>
        <w:spacing w:line="276" w:lineRule="auto"/>
        <w:jc w:val="both"/>
        <w:rPr>
          <w:rFonts w:ascii="Candara" w:hAnsi="Candara"/>
          <w:sz w:val="23"/>
          <w:szCs w:val="23"/>
        </w:rPr>
      </w:pPr>
      <w:r w:rsidRPr="00ED194E">
        <w:rPr>
          <w:rFonts w:ascii="Candara" w:hAnsi="Candara"/>
          <w:sz w:val="23"/>
          <w:szCs w:val="23"/>
        </w:rPr>
        <w:t xml:space="preserve">The </w:t>
      </w:r>
      <w:r w:rsidR="00F21DCE" w:rsidRPr="00ED194E">
        <w:rPr>
          <w:rFonts w:ascii="Candara" w:hAnsi="Candara"/>
          <w:sz w:val="23"/>
          <w:szCs w:val="23"/>
        </w:rPr>
        <w:t>Title/</w:t>
      </w:r>
      <w:r w:rsidRPr="00ED194E">
        <w:rPr>
          <w:rFonts w:ascii="Candara" w:hAnsi="Candara"/>
          <w:sz w:val="23"/>
          <w:szCs w:val="23"/>
        </w:rPr>
        <w:t xml:space="preserve">citation of the practice direction as </w:t>
      </w:r>
      <w:r w:rsidR="008C704D" w:rsidRPr="00ED194E">
        <w:rPr>
          <w:rFonts w:ascii="Candara" w:hAnsi="Candara"/>
          <w:sz w:val="23"/>
          <w:szCs w:val="23"/>
        </w:rPr>
        <w:t>‘</w:t>
      </w:r>
      <w:r w:rsidR="003A025F" w:rsidRPr="00ED194E">
        <w:rPr>
          <w:rFonts w:ascii="Candara" w:hAnsi="Candara"/>
          <w:sz w:val="23"/>
          <w:szCs w:val="23"/>
        </w:rPr>
        <w:t>Federal High Court (Federal Inland Revenue Service) Practice Directions, 2021</w:t>
      </w:r>
      <w:r w:rsidR="008C704D" w:rsidRPr="00ED194E">
        <w:rPr>
          <w:rFonts w:ascii="Candara" w:hAnsi="Candara"/>
          <w:sz w:val="23"/>
          <w:szCs w:val="23"/>
        </w:rPr>
        <w:t>’</w:t>
      </w:r>
      <w:r w:rsidR="003A025F" w:rsidRPr="00ED194E">
        <w:rPr>
          <w:rFonts w:ascii="Candara" w:hAnsi="Candara"/>
          <w:sz w:val="23"/>
          <w:szCs w:val="23"/>
        </w:rPr>
        <w:t xml:space="preserve"> presupposes </w:t>
      </w:r>
      <w:r w:rsidR="008C704D" w:rsidRPr="00ED194E">
        <w:rPr>
          <w:rFonts w:ascii="Candara" w:hAnsi="Candara"/>
          <w:sz w:val="23"/>
          <w:szCs w:val="23"/>
        </w:rPr>
        <w:t xml:space="preserve">that </w:t>
      </w:r>
      <w:r w:rsidR="003A025F" w:rsidRPr="00ED194E">
        <w:rPr>
          <w:rFonts w:ascii="Candara" w:hAnsi="Candara"/>
          <w:sz w:val="23"/>
          <w:szCs w:val="23"/>
        </w:rPr>
        <w:t xml:space="preserve">that the Practice Direction is </w:t>
      </w:r>
      <w:r w:rsidR="008C704D" w:rsidRPr="00ED194E">
        <w:rPr>
          <w:rFonts w:ascii="Candara" w:hAnsi="Candara"/>
          <w:sz w:val="23"/>
          <w:szCs w:val="23"/>
        </w:rPr>
        <w:t>specific to FIRS cases.</w:t>
      </w:r>
      <w:r w:rsidR="00736799" w:rsidRPr="00ED194E">
        <w:rPr>
          <w:rFonts w:ascii="Candara" w:hAnsi="Candara"/>
          <w:sz w:val="23"/>
          <w:szCs w:val="23"/>
        </w:rPr>
        <w:t xml:space="preserve"> </w:t>
      </w:r>
      <w:r w:rsidR="008F313C">
        <w:rPr>
          <w:rFonts w:ascii="Candara" w:hAnsi="Candara"/>
          <w:sz w:val="23"/>
          <w:szCs w:val="23"/>
        </w:rPr>
        <w:t>However, c</w:t>
      </w:r>
      <w:r w:rsidR="00736799" w:rsidRPr="00ED194E">
        <w:rPr>
          <w:rFonts w:ascii="Candara" w:hAnsi="Candara"/>
          <w:sz w:val="23"/>
          <w:szCs w:val="23"/>
        </w:rPr>
        <w:t>onfusion</w:t>
      </w:r>
      <w:r w:rsidR="008C704D" w:rsidRPr="00ED194E">
        <w:rPr>
          <w:rFonts w:ascii="Candara" w:hAnsi="Candara"/>
          <w:sz w:val="23"/>
          <w:szCs w:val="23"/>
        </w:rPr>
        <w:t xml:space="preserve"> may arise from </w:t>
      </w:r>
      <w:r w:rsidR="003A025F" w:rsidRPr="00ED194E">
        <w:rPr>
          <w:rFonts w:ascii="Candara" w:hAnsi="Candara"/>
          <w:sz w:val="23"/>
          <w:szCs w:val="23"/>
        </w:rPr>
        <w:t xml:space="preserve">the </w:t>
      </w:r>
      <w:r w:rsidR="008C704D" w:rsidRPr="00ED194E">
        <w:rPr>
          <w:rFonts w:ascii="Candara" w:hAnsi="Candara"/>
          <w:sz w:val="23"/>
          <w:szCs w:val="23"/>
        </w:rPr>
        <w:t xml:space="preserve">sentence which appears in </w:t>
      </w:r>
      <w:r w:rsidR="003A025F" w:rsidRPr="00ED194E">
        <w:rPr>
          <w:rFonts w:ascii="Candara" w:hAnsi="Candara"/>
          <w:sz w:val="23"/>
          <w:szCs w:val="23"/>
        </w:rPr>
        <w:t>4</w:t>
      </w:r>
      <w:r w:rsidR="008C704D" w:rsidRPr="00ED194E">
        <w:rPr>
          <w:rFonts w:ascii="Candara" w:hAnsi="Candara"/>
          <w:sz w:val="23"/>
          <w:szCs w:val="23"/>
        </w:rPr>
        <w:t>- 5</w:t>
      </w:r>
      <w:r w:rsidR="003A025F" w:rsidRPr="00ED194E">
        <w:rPr>
          <w:rFonts w:ascii="Candara" w:hAnsi="Candara"/>
          <w:sz w:val="23"/>
          <w:szCs w:val="23"/>
          <w:vertAlign w:val="superscript"/>
        </w:rPr>
        <w:t>th</w:t>
      </w:r>
      <w:r w:rsidR="003A025F" w:rsidRPr="00ED194E">
        <w:rPr>
          <w:rFonts w:ascii="Candara" w:hAnsi="Candara"/>
          <w:sz w:val="23"/>
          <w:szCs w:val="23"/>
        </w:rPr>
        <w:t xml:space="preserve"> line</w:t>
      </w:r>
      <w:r w:rsidR="008C704D" w:rsidRPr="00ED194E">
        <w:rPr>
          <w:rFonts w:ascii="Candara" w:hAnsi="Candara"/>
          <w:sz w:val="23"/>
          <w:szCs w:val="23"/>
        </w:rPr>
        <w:t>s as follows</w:t>
      </w:r>
      <w:r w:rsidR="003A025F" w:rsidRPr="00ED194E">
        <w:rPr>
          <w:rFonts w:ascii="Candara" w:hAnsi="Candara"/>
          <w:sz w:val="23"/>
          <w:szCs w:val="23"/>
        </w:rPr>
        <w:t xml:space="preserve">: </w:t>
      </w:r>
    </w:p>
    <w:p w14:paraId="66A93466" w14:textId="77777777" w:rsidR="003A025F" w:rsidRPr="00ED194E" w:rsidRDefault="003A025F" w:rsidP="00ED194E">
      <w:pPr>
        <w:spacing w:line="276" w:lineRule="auto"/>
        <w:ind w:left="720"/>
        <w:jc w:val="both"/>
        <w:rPr>
          <w:rFonts w:ascii="Candara" w:hAnsi="Candara"/>
          <w:sz w:val="23"/>
          <w:szCs w:val="23"/>
        </w:rPr>
      </w:pPr>
      <w:r w:rsidRPr="00ED194E">
        <w:rPr>
          <w:rFonts w:ascii="Candara" w:hAnsi="Candara"/>
          <w:sz w:val="23"/>
          <w:szCs w:val="23"/>
        </w:rPr>
        <w:lastRenderedPageBreak/>
        <w:t xml:space="preserve">“……the following Practice Direction for the Federal High Court </w:t>
      </w:r>
      <w:r w:rsidRPr="00ED194E">
        <w:rPr>
          <w:rFonts w:ascii="Candara" w:hAnsi="Candara"/>
          <w:b/>
          <w:sz w:val="23"/>
          <w:szCs w:val="23"/>
        </w:rPr>
        <w:t>for matters pertaining to or arising from Tax issues</w:t>
      </w:r>
      <w:r w:rsidRPr="00ED194E">
        <w:rPr>
          <w:rFonts w:ascii="Candara" w:hAnsi="Candara"/>
          <w:sz w:val="23"/>
          <w:szCs w:val="23"/>
        </w:rPr>
        <w:t xml:space="preserve"> and for Federal Inland Revenue Service (FIRS). “</w:t>
      </w:r>
      <w:r w:rsidRPr="00ED194E">
        <w:rPr>
          <w:rStyle w:val="FootnoteReference"/>
          <w:rFonts w:ascii="Candara" w:hAnsi="Candara"/>
          <w:sz w:val="23"/>
          <w:szCs w:val="23"/>
        </w:rPr>
        <w:footnoteReference w:id="2"/>
      </w:r>
    </w:p>
    <w:p w14:paraId="53FA92BE" w14:textId="407D779C" w:rsidR="00931C8B" w:rsidRPr="00ED194E" w:rsidRDefault="008F313C" w:rsidP="00ED194E">
      <w:pPr>
        <w:spacing w:line="276" w:lineRule="auto"/>
        <w:jc w:val="both"/>
        <w:rPr>
          <w:rFonts w:ascii="Candara" w:hAnsi="Candara"/>
          <w:sz w:val="23"/>
          <w:szCs w:val="23"/>
        </w:rPr>
      </w:pPr>
      <w:r w:rsidRPr="008F313C">
        <w:rPr>
          <w:rFonts w:ascii="Candara" w:hAnsi="Candara"/>
          <w:sz w:val="23"/>
          <w:szCs w:val="23"/>
        </w:rPr>
        <w:t>Notwithstanding this blanket provision</w:t>
      </w:r>
      <w:r>
        <w:rPr>
          <w:rFonts w:ascii="Candara" w:hAnsi="Candara"/>
          <w:b/>
          <w:sz w:val="23"/>
          <w:szCs w:val="23"/>
        </w:rPr>
        <w:t>;</w:t>
      </w:r>
      <w:r w:rsidRPr="008F313C">
        <w:rPr>
          <w:rFonts w:ascii="Candara" w:hAnsi="Candara"/>
          <w:b/>
          <w:sz w:val="23"/>
          <w:szCs w:val="23"/>
        </w:rPr>
        <w:t xml:space="preserve"> </w:t>
      </w:r>
      <w:r w:rsidR="00F21DCE" w:rsidRPr="00ED194E">
        <w:rPr>
          <w:rFonts w:ascii="Candara" w:hAnsi="Candara"/>
          <w:b/>
          <w:sz w:val="23"/>
          <w:szCs w:val="23"/>
        </w:rPr>
        <w:t>Order III</w:t>
      </w:r>
      <w:r w:rsidR="008C704D" w:rsidRPr="00ED194E">
        <w:rPr>
          <w:rFonts w:ascii="Candara" w:hAnsi="Candara"/>
          <w:sz w:val="23"/>
          <w:szCs w:val="23"/>
        </w:rPr>
        <w:t xml:space="preserve"> </w:t>
      </w:r>
      <w:r>
        <w:rPr>
          <w:rFonts w:ascii="Candara" w:hAnsi="Candara"/>
          <w:sz w:val="23"/>
          <w:szCs w:val="23"/>
        </w:rPr>
        <w:t xml:space="preserve">in its provisions </w:t>
      </w:r>
      <w:r w:rsidR="008C704D" w:rsidRPr="00ED194E">
        <w:rPr>
          <w:rFonts w:ascii="Candara" w:hAnsi="Candara"/>
          <w:sz w:val="23"/>
          <w:szCs w:val="23"/>
        </w:rPr>
        <w:t>m</w:t>
      </w:r>
      <w:r>
        <w:rPr>
          <w:rFonts w:ascii="Candara" w:hAnsi="Candara"/>
          <w:sz w:val="23"/>
          <w:szCs w:val="23"/>
        </w:rPr>
        <w:t>ade</w:t>
      </w:r>
      <w:r w:rsidR="008C704D" w:rsidRPr="00ED194E">
        <w:rPr>
          <w:rFonts w:ascii="Candara" w:hAnsi="Candara"/>
          <w:sz w:val="23"/>
          <w:szCs w:val="23"/>
        </w:rPr>
        <w:t xml:space="preserve"> specific references to FIRS in terms of </w:t>
      </w:r>
      <w:r w:rsidR="00A44CF3" w:rsidRPr="00ED194E">
        <w:rPr>
          <w:rFonts w:ascii="Candara" w:hAnsi="Candara"/>
          <w:sz w:val="23"/>
          <w:szCs w:val="23"/>
        </w:rPr>
        <w:t xml:space="preserve">the mode of </w:t>
      </w:r>
      <w:r w:rsidR="008C704D" w:rsidRPr="00ED194E">
        <w:rPr>
          <w:rFonts w:ascii="Candara" w:hAnsi="Candara"/>
          <w:sz w:val="23"/>
          <w:szCs w:val="23"/>
        </w:rPr>
        <w:t>commencement of action</w:t>
      </w:r>
      <w:r w:rsidR="00A44CF3" w:rsidRPr="00ED194E">
        <w:rPr>
          <w:rStyle w:val="FootnoteReference"/>
          <w:rFonts w:ascii="Candara" w:hAnsi="Candara"/>
          <w:sz w:val="23"/>
          <w:szCs w:val="23"/>
        </w:rPr>
        <w:footnoteReference w:id="3"/>
      </w:r>
      <w:r w:rsidR="00A44CF3" w:rsidRPr="00ED194E">
        <w:rPr>
          <w:rFonts w:ascii="Candara" w:hAnsi="Candara"/>
          <w:sz w:val="23"/>
          <w:szCs w:val="23"/>
        </w:rPr>
        <w:t xml:space="preserve">. </w:t>
      </w:r>
      <w:r w:rsidR="00F21DCE" w:rsidRPr="00ED194E">
        <w:rPr>
          <w:rFonts w:ascii="Candara" w:hAnsi="Candara"/>
          <w:sz w:val="23"/>
          <w:szCs w:val="23"/>
        </w:rPr>
        <w:t>This is a</w:t>
      </w:r>
      <w:r w:rsidR="00A44CF3" w:rsidRPr="00ED194E">
        <w:rPr>
          <w:rFonts w:ascii="Candara" w:hAnsi="Candara"/>
          <w:sz w:val="23"/>
          <w:szCs w:val="23"/>
        </w:rPr>
        <w:t xml:space="preserve"> pivotal provision in the institution of an action</w:t>
      </w:r>
      <w:r w:rsidR="008C704D" w:rsidRPr="00ED194E">
        <w:rPr>
          <w:rFonts w:ascii="Candara" w:hAnsi="Candara"/>
          <w:sz w:val="23"/>
          <w:szCs w:val="23"/>
        </w:rPr>
        <w:t xml:space="preserve"> which will trigger the requ</w:t>
      </w:r>
      <w:r w:rsidR="00D03191" w:rsidRPr="00ED194E">
        <w:rPr>
          <w:rFonts w:ascii="Candara" w:hAnsi="Candara"/>
          <w:sz w:val="23"/>
          <w:szCs w:val="23"/>
        </w:rPr>
        <w:t>i</w:t>
      </w:r>
      <w:r w:rsidR="008C704D" w:rsidRPr="00ED194E">
        <w:rPr>
          <w:rFonts w:ascii="Candara" w:hAnsi="Candara"/>
          <w:sz w:val="23"/>
          <w:szCs w:val="23"/>
        </w:rPr>
        <w:t xml:space="preserve">site action by FIRS to </w:t>
      </w:r>
      <w:r>
        <w:rPr>
          <w:rFonts w:ascii="Candara" w:hAnsi="Candara"/>
          <w:sz w:val="23"/>
          <w:szCs w:val="23"/>
        </w:rPr>
        <w:t>achieve the objectives of the FHC Practice Direction</w:t>
      </w:r>
      <w:r w:rsidR="008C704D" w:rsidRPr="00ED194E">
        <w:rPr>
          <w:rFonts w:ascii="Candara" w:hAnsi="Candara"/>
          <w:sz w:val="23"/>
          <w:szCs w:val="23"/>
        </w:rPr>
        <w:t xml:space="preserve">. </w:t>
      </w:r>
      <w:r w:rsidR="00A44CF3" w:rsidRPr="00ED194E">
        <w:rPr>
          <w:rFonts w:ascii="Candara" w:hAnsi="Candara"/>
          <w:sz w:val="23"/>
          <w:szCs w:val="23"/>
        </w:rPr>
        <w:t xml:space="preserve">Hence, we unequivocally state </w:t>
      </w:r>
      <w:r>
        <w:rPr>
          <w:rFonts w:ascii="Candara" w:hAnsi="Candara"/>
          <w:sz w:val="23"/>
          <w:szCs w:val="23"/>
        </w:rPr>
        <w:t>that its</w:t>
      </w:r>
      <w:r w:rsidR="008C704D" w:rsidRPr="00ED194E">
        <w:rPr>
          <w:rFonts w:ascii="Candara" w:hAnsi="Candara"/>
          <w:sz w:val="23"/>
          <w:szCs w:val="23"/>
        </w:rPr>
        <w:t xml:space="preserve"> substantive provisions </w:t>
      </w:r>
      <w:r>
        <w:rPr>
          <w:rFonts w:ascii="Candara" w:hAnsi="Candara"/>
          <w:sz w:val="23"/>
          <w:szCs w:val="23"/>
        </w:rPr>
        <w:t>will override the l</w:t>
      </w:r>
      <w:r w:rsidR="008C704D" w:rsidRPr="00ED194E">
        <w:rPr>
          <w:rFonts w:ascii="Candara" w:hAnsi="Candara"/>
          <w:sz w:val="23"/>
          <w:szCs w:val="23"/>
        </w:rPr>
        <w:t>on</w:t>
      </w:r>
      <w:r w:rsidR="00A44CF3" w:rsidRPr="00ED194E">
        <w:rPr>
          <w:rFonts w:ascii="Candara" w:hAnsi="Candara"/>
          <w:sz w:val="23"/>
          <w:szCs w:val="23"/>
        </w:rPr>
        <w:t>g</w:t>
      </w:r>
      <w:r>
        <w:rPr>
          <w:rFonts w:ascii="Candara" w:hAnsi="Candara"/>
          <w:sz w:val="23"/>
          <w:szCs w:val="23"/>
        </w:rPr>
        <w:t xml:space="preserve"> t</w:t>
      </w:r>
      <w:r w:rsidR="008C704D" w:rsidRPr="00ED194E">
        <w:rPr>
          <w:rFonts w:ascii="Candara" w:hAnsi="Candara"/>
          <w:sz w:val="23"/>
          <w:szCs w:val="23"/>
        </w:rPr>
        <w:t xml:space="preserve">itle, in case of </w:t>
      </w:r>
      <w:r>
        <w:rPr>
          <w:rFonts w:ascii="Candara" w:hAnsi="Candara"/>
          <w:sz w:val="23"/>
          <w:szCs w:val="23"/>
        </w:rPr>
        <w:t xml:space="preserve">a </w:t>
      </w:r>
      <w:r w:rsidR="008C704D" w:rsidRPr="00ED194E">
        <w:rPr>
          <w:rFonts w:ascii="Candara" w:hAnsi="Candara"/>
          <w:sz w:val="23"/>
          <w:szCs w:val="23"/>
        </w:rPr>
        <w:t xml:space="preserve">conflict. </w:t>
      </w:r>
    </w:p>
    <w:p w14:paraId="0BAA8C39" w14:textId="178B3EF2" w:rsidR="008C704D" w:rsidRPr="00ED194E" w:rsidRDefault="008C704D" w:rsidP="00ED194E">
      <w:pPr>
        <w:spacing w:line="276" w:lineRule="auto"/>
        <w:jc w:val="both"/>
        <w:rPr>
          <w:rFonts w:ascii="Candara" w:hAnsi="Candara"/>
          <w:sz w:val="23"/>
          <w:szCs w:val="23"/>
        </w:rPr>
      </w:pPr>
      <w:r w:rsidRPr="00ED194E">
        <w:rPr>
          <w:rFonts w:ascii="Candara" w:hAnsi="Candara"/>
          <w:sz w:val="23"/>
          <w:szCs w:val="23"/>
        </w:rPr>
        <w:t xml:space="preserve"> </w:t>
      </w:r>
    </w:p>
    <w:p w14:paraId="1A6E8FC7" w14:textId="51F7A3E1" w:rsidR="000866BE" w:rsidRPr="00ED194E" w:rsidRDefault="00E47413"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Comparison of the FIRS Powers Under FHC Practice Direction &amp; Substantive Tax Laws</w:t>
      </w:r>
    </w:p>
    <w:p w14:paraId="2EE6A24C" w14:textId="6929F22C" w:rsidR="00E47413" w:rsidRPr="00ED194E" w:rsidRDefault="00E47413" w:rsidP="00ED194E">
      <w:pPr>
        <w:spacing w:line="276" w:lineRule="auto"/>
        <w:jc w:val="both"/>
        <w:rPr>
          <w:rFonts w:ascii="Candara" w:hAnsi="Candara"/>
          <w:sz w:val="23"/>
          <w:szCs w:val="23"/>
        </w:rPr>
      </w:pPr>
      <w:r w:rsidRPr="00ED194E">
        <w:rPr>
          <w:rFonts w:ascii="Candara" w:hAnsi="Candara"/>
          <w:b/>
          <w:sz w:val="23"/>
          <w:szCs w:val="23"/>
        </w:rPr>
        <w:t>Order 3 R</w:t>
      </w:r>
      <w:r w:rsidR="00CC6E67" w:rsidRPr="00ED194E">
        <w:rPr>
          <w:rFonts w:ascii="Candara" w:hAnsi="Candara"/>
          <w:b/>
          <w:sz w:val="23"/>
          <w:szCs w:val="23"/>
        </w:rPr>
        <w:t xml:space="preserve">ule </w:t>
      </w:r>
      <w:r w:rsidRPr="00ED194E">
        <w:rPr>
          <w:rFonts w:ascii="Candara" w:hAnsi="Candara"/>
          <w:b/>
          <w:sz w:val="23"/>
          <w:szCs w:val="23"/>
        </w:rPr>
        <w:t>1</w:t>
      </w:r>
      <w:r w:rsidRPr="00ED194E">
        <w:rPr>
          <w:rFonts w:ascii="Candara" w:hAnsi="Candara"/>
          <w:sz w:val="23"/>
          <w:szCs w:val="23"/>
        </w:rPr>
        <w:t xml:space="preserve"> of the Federal High Court Civil Procedure Rules provides for the method of commencement of action in the Federal High Court</w:t>
      </w:r>
      <w:r w:rsidR="00B634FE" w:rsidRPr="00ED194E">
        <w:rPr>
          <w:rFonts w:ascii="Candara" w:hAnsi="Candara"/>
          <w:sz w:val="23"/>
          <w:szCs w:val="23"/>
        </w:rPr>
        <w:t>.</w:t>
      </w:r>
      <w:r w:rsidRPr="00ED194E">
        <w:rPr>
          <w:rFonts w:ascii="Candara" w:hAnsi="Candara"/>
          <w:sz w:val="23"/>
          <w:szCs w:val="23"/>
        </w:rPr>
        <w:t xml:space="preserve"> It provides that an action can be commenced by writ, originating summons, originating motion or by any other method required by other rules of Court governing a particular subject matter. </w:t>
      </w:r>
    </w:p>
    <w:p w14:paraId="035020F4" w14:textId="78A05E85" w:rsidR="00E47413" w:rsidRPr="00ED194E" w:rsidRDefault="00CC6E67" w:rsidP="00ED194E">
      <w:pPr>
        <w:spacing w:line="276" w:lineRule="auto"/>
        <w:jc w:val="both"/>
        <w:rPr>
          <w:rFonts w:ascii="Candara" w:hAnsi="Candara"/>
          <w:sz w:val="23"/>
          <w:szCs w:val="23"/>
        </w:rPr>
      </w:pPr>
      <w:r w:rsidRPr="00ED194E">
        <w:rPr>
          <w:rFonts w:ascii="Candara" w:hAnsi="Candara"/>
          <w:sz w:val="23"/>
          <w:szCs w:val="23"/>
        </w:rPr>
        <w:t xml:space="preserve">The </w:t>
      </w:r>
      <w:r w:rsidR="00E47413" w:rsidRPr="00ED194E">
        <w:rPr>
          <w:rFonts w:ascii="Candara" w:hAnsi="Candara"/>
          <w:sz w:val="23"/>
          <w:szCs w:val="23"/>
        </w:rPr>
        <w:t>FHC Practice Direction provides in its Order 3 R</w:t>
      </w:r>
      <w:r w:rsidRPr="00ED194E">
        <w:rPr>
          <w:rFonts w:ascii="Candara" w:hAnsi="Candara"/>
          <w:sz w:val="23"/>
          <w:szCs w:val="23"/>
        </w:rPr>
        <w:t xml:space="preserve">ule </w:t>
      </w:r>
      <w:r w:rsidR="00E47413" w:rsidRPr="00ED194E">
        <w:rPr>
          <w:rFonts w:ascii="Candara" w:hAnsi="Candara"/>
          <w:sz w:val="23"/>
          <w:szCs w:val="23"/>
        </w:rPr>
        <w:t>1 that the FIRS shall file an ex</w:t>
      </w:r>
      <w:r w:rsidRPr="00ED194E">
        <w:rPr>
          <w:rFonts w:ascii="Candara" w:hAnsi="Candara"/>
          <w:sz w:val="23"/>
          <w:szCs w:val="23"/>
        </w:rPr>
        <w:t>-</w:t>
      </w:r>
      <w:r w:rsidR="00E47413" w:rsidRPr="00ED194E">
        <w:rPr>
          <w:rFonts w:ascii="Candara" w:hAnsi="Candara"/>
          <w:sz w:val="23"/>
          <w:szCs w:val="23"/>
        </w:rPr>
        <w:t>parte application accompanied with an affidavit and written add</w:t>
      </w:r>
      <w:r w:rsidRPr="00ED194E">
        <w:rPr>
          <w:rFonts w:ascii="Candara" w:hAnsi="Candara"/>
          <w:sz w:val="23"/>
          <w:szCs w:val="23"/>
        </w:rPr>
        <w:t>ress for an I</w:t>
      </w:r>
      <w:r w:rsidR="00E47413" w:rsidRPr="00ED194E">
        <w:rPr>
          <w:rFonts w:ascii="Candara" w:hAnsi="Candara"/>
          <w:sz w:val="23"/>
          <w:szCs w:val="23"/>
        </w:rPr>
        <w:t>nterim Order of Fo</w:t>
      </w:r>
      <w:r w:rsidRPr="00ED194E">
        <w:rPr>
          <w:rFonts w:ascii="Candara" w:hAnsi="Candara"/>
          <w:sz w:val="23"/>
          <w:szCs w:val="23"/>
        </w:rPr>
        <w:t>rfeiture on Immovable Property or F</w:t>
      </w:r>
      <w:r w:rsidR="00E47413" w:rsidRPr="00ED194E">
        <w:rPr>
          <w:rFonts w:ascii="Candara" w:hAnsi="Candara"/>
          <w:sz w:val="23"/>
          <w:szCs w:val="23"/>
        </w:rPr>
        <w:t>reezing of bank account. The motion ex</w:t>
      </w:r>
      <w:r w:rsidRPr="00ED194E">
        <w:rPr>
          <w:rFonts w:ascii="Candara" w:hAnsi="Candara"/>
          <w:sz w:val="23"/>
          <w:szCs w:val="23"/>
        </w:rPr>
        <w:t>-</w:t>
      </w:r>
      <w:r w:rsidR="00E47413" w:rsidRPr="00ED194E">
        <w:rPr>
          <w:rFonts w:ascii="Candara" w:hAnsi="Candara"/>
          <w:sz w:val="23"/>
          <w:szCs w:val="23"/>
        </w:rPr>
        <w:t>parte shall be with respect to the FIRS to exercise any of the following:</w:t>
      </w:r>
    </w:p>
    <w:p w14:paraId="340CDAD4" w14:textId="28A0FBBC" w:rsidR="00E47413" w:rsidRPr="00ED194E" w:rsidRDefault="00CC6E67"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A</w:t>
      </w:r>
      <w:r w:rsidR="00E47413" w:rsidRPr="00ED194E">
        <w:rPr>
          <w:rFonts w:ascii="Candara" w:hAnsi="Candara"/>
          <w:sz w:val="23"/>
          <w:szCs w:val="23"/>
        </w:rPr>
        <w:t>n interim order of forfeiture of immovable property</w:t>
      </w:r>
    </w:p>
    <w:p w14:paraId="6C33B49B" w14:textId="77777777" w:rsidR="00E47413" w:rsidRPr="00ED194E" w:rsidRDefault="00E47413"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Interim order of freezing bank account</w:t>
      </w:r>
    </w:p>
    <w:p w14:paraId="16A49AFE" w14:textId="544A18F0" w:rsidR="00E47413" w:rsidRPr="00ED194E" w:rsidRDefault="00E47413" w:rsidP="00ED194E">
      <w:pPr>
        <w:spacing w:line="276" w:lineRule="auto"/>
        <w:ind w:left="720" w:hanging="720"/>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An ex parte order to give the FIRS access to the taxpayer’s books, documents, servers, billing system</w:t>
      </w:r>
      <w:r w:rsidR="00CC6E67" w:rsidRPr="00ED194E">
        <w:rPr>
          <w:rFonts w:ascii="Candara" w:hAnsi="Candara"/>
          <w:sz w:val="23"/>
          <w:szCs w:val="23"/>
        </w:rPr>
        <w:t xml:space="preserve">s and bank accounts.  </w:t>
      </w:r>
    </w:p>
    <w:p w14:paraId="43DABF57" w14:textId="6FA3C3ED" w:rsidR="00E47413" w:rsidRPr="00ED194E" w:rsidRDefault="00CC6E67"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An ex-</w:t>
      </w:r>
      <w:r w:rsidR="00E47413" w:rsidRPr="00ED194E">
        <w:rPr>
          <w:rFonts w:ascii="Candara" w:hAnsi="Candara"/>
          <w:sz w:val="23"/>
          <w:szCs w:val="23"/>
        </w:rPr>
        <w:t>parte order giving the FIRS access and or to seal the business premises.</w:t>
      </w:r>
    </w:p>
    <w:p w14:paraId="20CB3296" w14:textId="14709E73" w:rsidR="00E705AD" w:rsidRPr="00ED194E" w:rsidRDefault="00E47413"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r>
      <w:r w:rsidR="00CC6E67" w:rsidRPr="00ED194E">
        <w:rPr>
          <w:rFonts w:ascii="Candara" w:hAnsi="Candara"/>
          <w:sz w:val="23"/>
          <w:szCs w:val="23"/>
        </w:rPr>
        <w:t>A</w:t>
      </w:r>
      <w:r w:rsidRPr="00ED194E">
        <w:rPr>
          <w:rFonts w:ascii="Candara" w:hAnsi="Candara"/>
          <w:sz w:val="23"/>
          <w:szCs w:val="23"/>
        </w:rPr>
        <w:t xml:space="preserve"> warrant of distrain  </w:t>
      </w:r>
    </w:p>
    <w:p w14:paraId="4F387A7B" w14:textId="1368FF6E" w:rsidR="00E705AD" w:rsidRPr="00ED194E" w:rsidRDefault="00E705AD" w:rsidP="00ED194E">
      <w:pPr>
        <w:spacing w:line="276" w:lineRule="auto"/>
        <w:jc w:val="both"/>
        <w:rPr>
          <w:rFonts w:ascii="Candara" w:hAnsi="Candara"/>
          <w:sz w:val="23"/>
          <w:szCs w:val="23"/>
        </w:rPr>
      </w:pPr>
      <w:r w:rsidRPr="00ED194E">
        <w:rPr>
          <w:rFonts w:ascii="Candara" w:hAnsi="Candara"/>
          <w:sz w:val="23"/>
          <w:szCs w:val="23"/>
        </w:rPr>
        <w:t xml:space="preserve">While the FHC practice directions state the process in which these powers can be exercised, it is worthy of note that these powers when granted are not new to the tax laws such as </w:t>
      </w:r>
      <w:r w:rsidR="00CC6E67" w:rsidRPr="00ED194E">
        <w:rPr>
          <w:rFonts w:ascii="Candara" w:hAnsi="Candara"/>
          <w:sz w:val="23"/>
          <w:szCs w:val="23"/>
        </w:rPr>
        <w:t xml:space="preserve">Companies Income Tax Act </w:t>
      </w:r>
      <w:r w:rsidR="00CC6E67" w:rsidRPr="00ED194E">
        <w:rPr>
          <w:rFonts w:ascii="Candara" w:hAnsi="Candara"/>
          <w:i/>
          <w:sz w:val="23"/>
          <w:szCs w:val="23"/>
        </w:rPr>
        <w:t>“</w:t>
      </w:r>
      <w:r w:rsidRPr="00ED194E">
        <w:rPr>
          <w:rFonts w:ascii="Candara" w:hAnsi="Candara"/>
          <w:i/>
          <w:sz w:val="23"/>
          <w:szCs w:val="23"/>
        </w:rPr>
        <w:t>CITA</w:t>
      </w:r>
      <w:r w:rsidR="00CC6E67" w:rsidRPr="00ED194E">
        <w:rPr>
          <w:rFonts w:ascii="Candara" w:hAnsi="Candara"/>
          <w:i/>
          <w:sz w:val="23"/>
          <w:szCs w:val="23"/>
        </w:rPr>
        <w:t>”</w:t>
      </w:r>
      <w:r w:rsidRPr="00ED194E">
        <w:rPr>
          <w:rFonts w:ascii="Candara" w:hAnsi="Candara"/>
          <w:sz w:val="23"/>
          <w:szCs w:val="23"/>
        </w:rPr>
        <w:t xml:space="preserve">, </w:t>
      </w:r>
      <w:r w:rsidR="00CC6E67" w:rsidRPr="00ED194E">
        <w:rPr>
          <w:rFonts w:ascii="Candara" w:hAnsi="Candara"/>
          <w:sz w:val="23"/>
          <w:szCs w:val="23"/>
        </w:rPr>
        <w:t xml:space="preserve">Federal Inland Revenue Service (Establishment) Act </w:t>
      </w:r>
      <w:r w:rsidR="00CC6E67" w:rsidRPr="00ED194E">
        <w:rPr>
          <w:rFonts w:ascii="Candara" w:hAnsi="Candara"/>
          <w:i/>
          <w:sz w:val="23"/>
          <w:szCs w:val="23"/>
        </w:rPr>
        <w:t>“</w:t>
      </w:r>
      <w:r w:rsidRPr="00ED194E">
        <w:rPr>
          <w:rFonts w:ascii="Candara" w:hAnsi="Candara"/>
          <w:i/>
          <w:sz w:val="23"/>
          <w:szCs w:val="23"/>
        </w:rPr>
        <w:t>FIRS</w:t>
      </w:r>
      <w:r w:rsidR="00CC6E67" w:rsidRPr="00ED194E">
        <w:rPr>
          <w:rFonts w:ascii="Candara" w:hAnsi="Candara"/>
          <w:i/>
          <w:sz w:val="23"/>
          <w:szCs w:val="23"/>
        </w:rPr>
        <w:t>E</w:t>
      </w:r>
      <w:r w:rsidRPr="00ED194E">
        <w:rPr>
          <w:rFonts w:ascii="Candara" w:hAnsi="Candara"/>
          <w:i/>
          <w:sz w:val="23"/>
          <w:szCs w:val="23"/>
        </w:rPr>
        <w:t>A</w:t>
      </w:r>
      <w:r w:rsidR="00CC6E67" w:rsidRPr="00ED194E">
        <w:rPr>
          <w:rFonts w:ascii="Candara" w:hAnsi="Candara"/>
          <w:i/>
          <w:sz w:val="23"/>
          <w:szCs w:val="23"/>
        </w:rPr>
        <w:t>”</w:t>
      </w:r>
      <w:r w:rsidRPr="00ED194E">
        <w:rPr>
          <w:rFonts w:ascii="Candara" w:hAnsi="Candara"/>
          <w:sz w:val="23"/>
          <w:szCs w:val="23"/>
        </w:rPr>
        <w:t xml:space="preserve"> and</w:t>
      </w:r>
      <w:r w:rsidR="00CC6E67" w:rsidRPr="00ED194E">
        <w:rPr>
          <w:rFonts w:ascii="Candara" w:hAnsi="Candara"/>
          <w:sz w:val="23"/>
          <w:szCs w:val="23"/>
        </w:rPr>
        <w:t xml:space="preserve"> Personal Income Tax Act </w:t>
      </w:r>
      <w:r w:rsidR="00CC6E67" w:rsidRPr="00ED194E">
        <w:rPr>
          <w:rFonts w:ascii="Candara" w:hAnsi="Candara"/>
          <w:i/>
          <w:sz w:val="23"/>
          <w:szCs w:val="23"/>
        </w:rPr>
        <w:t>“</w:t>
      </w:r>
      <w:r w:rsidRPr="00ED194E">
        <w:rPr>
          <w:rFonts w:ascii="Candara" w:hAnsi="Candara"/>
          <w:i/>
          <w:sz w:val="23"/>
          <w:szCs w:val="23"/>
        </w:rPr>
        <w:t>PITA</w:t>
      </w:r>
      <w:r w:rsidR="00CC6E67" w:rsidRPr="00ED194E">
        <w:rPr>
          <w:rFonts w:ascii="Candara" w:hAnsi="Candara"/>
          <w:i/>
          <w:sz w:val="23"/>
          <w:szCs w:val="23"/>
        </w:rPr>
        <w:t>”</w:t>
      </w:r>
      <w:r w:rsidRPr="00ED194E">
        <w:rPr>
          <w:rFonts w:ascii="Candara" w:hAnsi="Candara"/>
          <w:sz w:val="23"/>
          <w:szCs w:val="23"/>
        </w:rPr>
        <w:t xml:space="preserve">. However, there exists no power of forfeiture under any tax law. </w:t>
      </w:r>
    </w:p>
    <w:p w14:paraId="44BFAE01" w14:textId="306E4AC0" w:rsidR="00E705AD" w:rsidRPr="00ED194E" w:rsidRDefault="00E705AD" w:rsidP="00ED194E">
      <w:pPr>
        <w:pStyle w:val="ListParagraph"/>
        <w:numPr>
          <w:ilvl w:val="0"/>
          <w:numId w:val="9"/>
        </w:numPr>
        <w:spacing w:line="276" w:lineRule="auto"/>
        <w:jc w:val="both"/>
        <w:rPr>
          <w:rFonts w:ascii="Candara" w:hAnsi="Candara"/>
          <w:b/>
          <w:i/>
          <w:sz w:val="23"/>
          <w:szCs w:val="23"/>
        </w:rPr>
      </w:pPr>
      <w:r w:rsidRPr="00ED194E">
        <w:rPr>
          <w:rFonts w:ascii="Candara" w:hAnsi="Candara"/>
          <w:b/>
          <w:i/>
          <w:sz w:val="23"/>
          <w:szCs w:val="23"/>
        </w:rPr>
        <w:t>CITA</w:t>
      </w:r>
      <w:r w:rsidR="00B16EDA" w:rsidRPr="00ED194E">
        <w:rPr>
          <w:rFonts w:ascii="Candara" w:hAnsi="Candara"/>
          <w:b/>
          <w:i/>
          <w:sz w:val="23"/>
          <w:szCs w:val="23"/>
        </w:rPr>
        <w:t>- Warrant of Distrain</w:t>
      </w:r>
    </w:p>
    <w:p w14:paraId="088336BB" w14:textId="0E74E42A" w:rsidR="00E705AD" w:rsidRPr="00ED194E" w:rsidRDefault="00CC6E67" w:rsidP="00ED194E">
      <w:pPr>
        <w:spacing w:line="276" w:lineRule="auto"/>
        <w:jc w:val="both"/>
        <w:rPr>
          <w:rFonts w:ascii="Candara" w:hAnsi="Candara"/>
          <w:sz w:val="23"/>
          <w:szCs w:val="23"/>
        </w:rPr>
      </w:pPr>
      <w:r w:rsidRPr="00ED194E">
        <w:rPr>
          <w:rFonts w:ascii="Candara" w:hAnsi="Candara"/>
          <w:b/>
          <w:sz w:val="23"/>
          <w:szCs w:val="23"/>
        </w:rPr>
        <w:t>S</w:t>
      </w:r>
      <w:r w:rsidR="00E705AD" w:rsidRPr="00ED194E">
        <w:rPr>
          <w:rFonts w:ascii="Candara" w:hAnsi="Candara"/>
          <w:b/>
          <w:sz w:val="23"/>
          <w:szCs w:val="23"/>
        </w:rPr>
        <w:t>ection 86</w:t>
      </w:r>
      <w:r w:rsidR="00E705AD" w:rsidRPr="00ED194E">
        <w:rPr>
          <w:rFonts w:ascii="Candara" w:hAnsi="Candara"/>
          <w:sz w:val="23"/>
          <w:szCs w:val="23"/>
        </w:rPr>
        <w:t xml:space="preserve"> provides the tax authority with the power to distrain the taxpayer of his goods, chattels, bonds or other securities, land, premises when payment of tax is not made within the time limited by a demand note. An officer of the tax authority is entitled to execute a warrant of </w:t>
      </w:r>
      <w:r w:rsidR="00E705AD" w:rsidRPr="00ED194E">
        <w:rPr>
          <w:rFonts w:ascii="Candara" w:hAnsi="Candara"/>
          <w:sz w:val="23"/>
          <w:szCs w:val="23"/>
        </w:rPr>
        <w:lastRenderedPageBreak/>
        <w:t>distress once authorized in writing by the service. Distrained goods are to be kept for fourteen days at the cost of the taxpayer, and if at the end of the 14 days the amount due is not yet paid, the tax authority may sell the detrained goods/property at any time. Out of the proceeds of such sale, the cost incidental to the keeping of goods/property and the tax liability are deducted, and the balance becomes payable to the ta</w:t>
      </w:r>
      <w:r w:rsidR="00B16EDA" w:rsidRPr="00ED194E">
        <w:rPr>
          <w:rFonts w:ascii="Candara" w:hAnsi="Candara"/>
          <w:sz w:val="23"/>
          <w:szCs w:val="23"/>
        </w:rPr>
        <w:t>xpayer upon demand within</w:t>
      </w:r>
      <w:r w:rsidR="00E705AD" w:rsidRPr="00ED194E">
        <w:rPr>
          <w:rFonts w:ascii="Candara" w:hAnsi="Candara"/>
          <w:sz w:val="23"/>
          <w:szCs w:val="23"/>
        </w:rPr>
        <w:t xml:space="preserve"> the timeframe of a year of the date of sale.</w:t>
      </w:r>
    </w:p>
    <w:p w14:paraId="2CD759A9" w14:textId="77777777" w:rsidR="00E705AD" w:rsidRPr="00ED194E" w:rsidRDefault="00E705AD" w:rsidP="00ED194E">
      <w:pPr>
        <w:spacing w:line="276" w:lineRule="auto"/>
        <w:jc w:val="both"/>
        <w:rPr>
          <w:rFonts w:ascii="Candara" w:hAnsi="Candara"/>
          <w:sz w:val="23"/>
          <w:szCs w:val="23"/>
        </w:rPr>
      </w:pPr>
      <w:r w:rsidRPr="00ED194E">
        <w:rPr>
          <w:rFonts w:ascii="Candara" w:hAnsi="Candara"/>
          <w:b/>
          <w:sz w:val="23"/>
          <w:szCs w:val="23"/>
        </w:rPr>
        <w:t>Section 86(6)</w:t>
      </w:r>
      <w:r w:rsidRPr="00ED194E">
        <w:rPr>
          <w:rFonts w:ascii="Candara" w:hAnsi="Candara"/>
          <w:sz w:val="23"/>
          <w:szCs w:val="23"/>
        </w:rPr>
        <w:t xml:space="preserve"> prescribes however, that any sale of immovable property is to be done with an order of the High court made on application in any form prescribed by the rules of court. </w:t>
      </w:r>
    </w:p>
    <w:p w14:paraId="1B70ACD5" w14:textId="77777777" w:rsidR="00B36668" w:rsidRPr="00ED194E" w:rsidRDefault="00E705AD" w:rsidP="00ED194E">
      <w:pPr>
        <w:pStyle w:val="ListParagraph"/>
        <w:numPr>
          <w:ilvl w:val="0"/>
          <w:numId w:val="9"/>
        </w:numPr>
        <w:spacing w:line="276" w:lineRule="auto"/>
        <w:jc w:val="both"/>
        <w:rPr>
          <w:rFonts w:ascii="Candara" w:hAnsi="Candara"/>
          <w:b/>
          <w:i/>
          <w:sz w:val="23"/>
          <w:szCs w:val="23"/>
        </w:rPr>
      </w:pPr>
      <w:r w:rsidRPr="00ED194E">
        <w:rPr>
          <w:rFonts w:ascii="Candara" w:hAnsi="Candara"/>
          <w:b/>
          <w:i/>
          <w:sz w:val="23"/>
          <w:szCs w:val="23"/>
        </w:rPr>
        <w:t>P</w:t>
      </w:r>
      <w:r w:rsidR="00B16EDA" w:rsidRPr="00ED194E">
        <w:rPr>
          <w:rFonts w:ascii="Candara" w:hAnsi="Candara"/>
          <w:b/>
          <w:i/>
          <w:sz w:val="23"/>
          <w:szCs w:val="23"/>
        </w:rPr>
        <w:t>ITA</w:t>
      </w:r>
    </w:p>
    <w:p w14:paraId="5C9764EF" w14:textId="16A32D57" w:rsidR="00E705AD" w:rsidRPr="00ED194E" w:rsidRDefault="00B36668" w:rsidP="00ED194E">
      <w:pPr>
        <w:pStyle w:val="ListParagraph"/>
        <w:numPr>
          <w:ilvl w:val="0"/>
          <w:numId w:val="11"/>
        </w:numPr>
        <w:spacing w:line="276" w:lineRule="auto"/>
        <w:jc w:val="both"/>
        <w:rPr>
          <w:rFonts w:ascii="Candara" w:hAnsi="Candara"/>
          <w:b/>
          <w:i/>
          <w:sz w:val="23"/>
          <w:szCs w:val="23"/>
        </w:rPr>
      </w:pPr>
      <w:r w:rsidRPr="00ED194E">
        <w:rPr>
          <w:rFonts w:ascii="Candara" w:hAnsi="Candara"/>
          <w:b/>
          <w:i/>
          <w:sz w:val="23"/>
          <w:szCs w:val="23"/>
        </w:rPr>
        <w:t>Access and or t</w:t>
      </w:r>
      <w:r w:rsidR="00CC6E67" w:rsidRPr="00ED194E">
        <w:rPr>
          <w:rFonts w:ascii="Candara" w:hAnsi="Candara"/>
          <w:b/>
          <w:i/>
          <w:sz w:val="23"/>
          <w:szCs w:val="23"/>
        </w:rPr>
        <w:t xml:space="preserve">o Seal </w:t>
      </w:r>
      <w:proofErr w:type="gramStart"/>
      <w:r w:rsidR="00CC6E67" w:rsidRPr="00ED194E">
        <w:rPr>
          <w:rFonts w:ascii="Candara" w:hAnsi="Candara"/>
          <w:b/>
          <w:i/>
          <w:sz w:val="23"/>
          <w:szCs w:val="23"/>
        </w:rPr>
        <w:t>The</w:t>
      </w:r>
      <w:proofErr w:type="gramEnd"/>
      <w:r w:rsidR="00CC6E67" w:rsidRPr="00ED194E">
        <w:rPr>
          <w:rFonts w:ascii="Candara" w:hAnsi="Candara"/>
          <w:b/>
          <w:i/>
          <w:sz w:val="23"/>
          <w:szCs w:val="23"/>
        </w:rPr>
        <w:t xml:space="preserve"> Business Premises</w:t>
      </w:r>
    </w:p>
    <w:p w14:paraId="37081C09" w14:textId="56C618B7" w:rsidR="00E705AD" w:rsidRPr="00ED194E" w:rsidRDefault="00B36668" w:rsidP="00ED194E">
      <w:pPr>
        <w:spacing w:line="276" w:lineRule="auto"/>
        <w:jc w:val="both"/>
        <w:rPr>
          <w:rFonts w:ascii="Candara" w:hAnsi="Candara"/>
          <w:sz w:val="23"/>
          <w:szCs w:val="23"/>
        </w:rPr>
      </w:pPr>
      <w:r w:rsidRPr="00ED194E">
        <w:rPr>
          <w:rFonts w:ascii="Candara" w:hAnsi="Candara"/>
          <w:sz w:val="23"/>
          <w:szCs w:val="23"/>
        </w:rPr>
        <w:t xml:space="preserve"> </w:t>
      </w:r>
      <w:r w:rsidRPr="00ED194E">
        <w:rPr>
          <w:rFonts w:ascii="Candara" w:hAnsi="Candara"/>
          <w:b/>
          <w:sz w:val="23"/>
          <w:szCs w:val="23"/>
        </w:rPr>
        <w:t>S</w:t>
      </w:r>
      <w:r w:rsidR="00E705AD" w:rsidRPr="00ED194E">
        <w:rPr>
          <w:rFonts w:ascii="Candara" w:hAnsi="Candara"/>
          <w:b/>
          <w:sz w:val="23"/>
          <w:szCs w:val="23"/>
        </w:rPr>
        <w:t>ection 103</w:t>
      </w:r>
      <w:r w:rsidR="00E705AD" w:rsidRPr="00ED194E">
        <w:rPr>
          <w:rFonts w:ascii="Candara" w:hAnsi="Candara"/>
          <w:sz w:val="23"/>
          <w:szCs w:val="23"/>
        </w:rPr>
        <w:t xml:space="preserve"> PITA provides the tax authority the power to enter any house or premises of the taxpayer to recover oral information on the income, occupation or domestic circumstance, or to recover tax owed. </w:t>
      </w:r>
    </w:p>
    <w:p w14:paraId="0D32EAF1" w14:textId="5D0008F1" w:rsidR="00B16EDA" w:rsidRPr="00ED194E" w:rsidRDefault="00B16EDA" w:rsidP="00ED194E">
      <w:pPr>
        <w:pStyle w:val="ListParagraph"/>
        <w:numPr>
          <w:ilvl w:val="0"/>
          <w:numId w:val="11"/>
        </w:numPr>
        <w:spacing w:line="276" w:lineRule="auto"/>
        <w:jc w:val="both"/>
        <w:rPr>
          <w:rFonts w:ascii="Candara" w:hAnsi="Candara"/>
          <w:b/>
          <w:i/>
          <w:sz w:val="23"/>
          <w:szCs w:val="23"/>
        </w:rPr>
      </w:pPr>
      <w:r w:rsidRPr="00ED194E">
        <w:rPr>
          <w:rFonts w:ascii="Candara" w:hAnsi="Candara"/>
          <w:b/>
          <w:i/>
          <w:sz w:val="23"/>
          <w:szCs w:val="23"/>
        </w:rPr>
        <w:t xml:space="preserve">Power to distrain </w:t>
      </w:r>
    </w:p>
    <w:p w14:paraId="20C7277E" w14:textId="63C0476A" w:rsidR="00E705AD" w:rsidRPr="00ED194E" w:rsidRDefault="00E705AD" w:rsidP="00ED194E">
      <w:pPr>
        <w:spacing w:line="276" w:lineRule="auto"/>
        <w:jc w:val="both"/>
        <w:rPr>
          <w:rFonts w:ascii="Candara" w:hAnsi="Candara"/>
          <w:sz w:val="23"/>
          <w:szCs w:val="23"/>
        </w:rPr>
      </w:pPr>
      <w:r w:rsidRPr="00ED194E">
        <w:rPr>
          <w:rFonts w:ascii="Candara" w:hAnsi="Candara"/>
          <w:b/>
          <w:sz w:val="23"/>
          <w:szCs w:val="23"/>
        </w:rPr>
        <w:t>Section 104</w:t>
      </w:r>
      <w:r w:rsidRPr="00ED194E">
        <w:rPr>
          <w:rFonts w:ascii="Candara" w:hAnsi="Candara"/>
          <w:sz w:val="23"/>
          <w:szCs w:val="23"/>
        </w:rPr>
        <w:t xml:space="preserve"> provides for the power of the tax authority to distrain after the tax owed is not paid after the time frame provided in the demand notice served on the taxpayer. It empowers the tax authority to distrain the taxpayer by his goods, other chattels, bond or other securities, any land, premises or place which the taxpayer is the owner.</w:t>
      </w:r>
      <w:r w:rsidR="000A6598" w:rsidRPr="00ED194E">
        <w:rPr>
          <w:rFonts w:ascii="Candara" w:hAnsi="Candara"/>
          <w:sz w:val="23"/>
          <w:szCs w:val="23"/>
        </w:rPr>
        <w:t xml:space="preserve"> Section</w:t>
      </w:r>
      <w:r w:rsidRPr="00ED194E">
        <w:rPr>
          <w:rFonts w:ascii="Candara" w:hAnsi="Candara"/>
          <w:sz w:val="23"/>
          <w:szCs w:val="23"/>
        </w:rPr>
        <w:t xml:space="preserve"> 104(3) provides that an officer duly appointed by the tax authority shall make an ex-parte application under oath a High Court judge sitting in his chambers.</w:t>
      </w:r>
      <w:r w:rsidR="000A6598" w:rsidRPr="00ED194E">
        <w:rPr>
          <w:rFonts w:ascii="Candara" w:hAnsi="Candara"/>
          <w:sz w:val="23"/>
          <w:szCs w:val="23"/>
        </w:rPr>
        <w:t xml:space="preserve"> Section 104</w:t>
      </w:r>
      <w:r w:rsidRPr="00ED194E">
        <w:rPr>
          <w:rFonts w:ascii="Candara" w:hAnsi="Candara"/>
          <w:sz w:val="23"/>
          <w:szCs w:val="23"/>
        </w:rPr>
        <w:t xml:space="preserve">(4) provides that an authorized officer in executing the warrant of distress can only have access to the premises or building in the daytime. The distress is at the cost of the owner and the goods distrained can be sold after 14 days if the tax debt is still not cleared.  </w:t>
      </w:r>
      <w:r w:rsidR="00B36668" w:rsidRPr="00ED194E">
        <w:rPr>
          <w:rFonts w:ascii="Candara" w:hAnsi="Candara"/>
          <w:sz w:val="23"/>
          <w:szCs w:val="23"/>
        </w:rPr>
        <w:t>Section 104</w:t>
      </w:r>
      <w:r w:rsidRPr="00ED194E">
        <w:rPr>
          <w:rFonts w:ascii="Candara" w:hAnsi="Candara"/>
          <w:sz w:val="23"/>
          <w:szCs w:val="23"/>
        </w:rPr>
        <w:t xml:space="preserve"> (8) provides that the provisions of section 104 does not authorize the sale of any immovable property without an order from a co</w:t>
      </w:r>
      <w:r w:rsidR="0035466D" w:rsidRPr="00ED194E">
        <w:rPr>
          <w:rFonts w:ascii="Candara" w:hAnsi="Candara"/>
          <w:sz w:val="23"/>
          <w:szCs w:val="23"/>
        </w:rPr>
        <w:t xml:space="preserve">urt of competent jurisdiction. </w:t>
      </w:r>
    </w:p>
    <w:p w14:paraId="1342D468" w14:textId="609ADB07" w:rsidR="00E705AD" w:rsidRPr="00ED194E" w:rsidRDefault="00B36668" w:rsidP="00ED194E">
      <w:pPr>
        <w:pStyle w:val="ListParagraph"/>
        <w:numPr>
          <w:ilvl w:val="0"/>
          <w:numId w:val="9"/>
        </w:numPr>
        <w:spacing w:line="276" w:lineRule="auto"/>
        <w:jc w:val="both"/>
        <w:rPr>
          <w:rFonts w:ascii="Candara" w:hAnsi="Candara"/>
          <w:b/>
          <w:i/>
          <w:sz w:val="23"/>
          <w:szCs w:val="23"/>
        </w:rPr>
      </w:pPr>
      <w:r w:rsidRPr="00ED194E">
        <w:rPr>
          <w:rFonts w:ascii="Candara" w:hAnsi="Candara"/>
          <w:b/>
          <w:i/>
          <w:sz w:val="23"/>
          <w:szCs w:val="23"/>
        </w:rPr>
        <w:t xml:space="preserve">FIRSEA </w:t>
      </w:r>
      <w:r w:rsidR="00B16EDA" w:rsidRPr="00ED194E">
        <w:rPr>
          <w:rFonts w:ascii="Candara" w:hAnsi="Candara"/>
          <w:b/>
          <w:i/>
          <w:sz w:val="23"/>
          <w:szCs w:val="23"/>
        </w:rPr>
        <w:t>- Freeze</w:t>
      </w:r>
      <w:r w:rsidRPr="00ED194E">
        <w:rPr>
          <w:rFonts w:ascii="Candara" w:hAnsi="Candara"/>
          <w:b/>
          <w:i/>
          <w:sz w:val="23"/>
          <w:szCs w:val="23"/>
        </w:rPr>
        <w:t xml:space="preserve"> Account, Seizing Property </w:t>
      </w:r>
    </w:p>
    <w:p w14:paraId="42FE810A" w14:textId="32161788" w:rsidR="00E705AD" w:rsidRPr="00ED194E" w:rsidRDefault="00E705AD" w:rsidP="00ED194E">
      <w:pPr>
        <w:spacing w:line="276" w:lineRule="auto"/>
        <w:jc w:val="both"/>
        <w:rPr>
          <w:rFonts w:ascii="Candara" w:hAnsi="Candara"/>
          <w:sz w:val="23"/>
          <w:szCs w:val="23"/>
        </w:rPr>
      </w:pPr>
      <w:r w:rsidRPr="00ED194E">
        <w:rPr>
          <w:rFonts w:ascii="Candara" w:hAnsi="Candara"/>
          <w:sz w:val="23"/>
          <w:szCs w:val="23"/>
        </w:rPr>
        <w:t>The functions of the FIRS are contained in section 8 of the FIRs act, section 8(1)(G) provides that the service shall adopt measures to identify, trace, freeze, confiscate or seize proceeds derived from tax fraud or evasion. Particular attention is to be paid to the words highlighted in this section which does not provide for forfeiture as one of the powers of the FIRS. The FIRS act however provides for the freezing, seizing (distraining) of property.</w:t>
      </w:r>
    </w:p>
    <w:p w14:paraId="14919C51" w14:textId="1CE90AFB" w:rsidR="00B36668" w:rsidRPr="00ED194E" w:rsidRDefault="00B36668" w:rsidP="00ED194E">
      <w:pPr>
        <w:spacing w:line="276" w:lineRule="auto"/>
        <w:jc w:val="both"/>
        <w:rPr>
          <w:rFonts w:ascii="Candara" w:hAnsi="Candara"/>
          <w:sz w:val="23"/>
          <w:szCs w:val="23"/>
        </w:rPr>
      </w:pPr>
      <w:r w:rsidRPr="00ED194E">
        <w:rPr>
          <w:rFonts w:ascii="Candara" w:hAnsi="Candara"/>
          <w:sz w:val="23"/>
          <w:szCs w:val="23"/>
        </w:rPr>
        <w:t>The table be</w:t>
      </w:r>
      <w:r w:rsidR="00931C8B" w:rsidRPr="00ED194E">
        <w:rPr>
          <w:rFonts w:ascii="Candara" w:hAnsi="Candara"/>
          <w:sz w:val="23"/>
          <w:szCs w:val="23"/>
        </w:rPr>
        <w:t>low aptly summarizes the above:</w:t>
      </w:r>
      <w:r w:rsidR="008B77FD" w:rsidRPr="00ED194E">
        <w:rPr>
          <w:rFonts w:ascii="Candara" w:hAnsi="Candara"/>
          <w:sz w:val="23"/>
          <w:szCs w:val="23"/>
        </w:rPr>
        <w:t xml:space="preserve"> </w:t>
      </w:r>
    </w:p>
    <w:tbl>
      <w:tblPr>
        <w:tblStyle w:val="TableGrid"/>
        <w:tblW w:w="0" w:type="auto"/>
        <w:tblLook w:val="04A0" w:firstRow="1" w:lastRow="0" w:firstColumn="1" w:lastColumn="0" w:noHBand="0" w:noVBand="1"/>
      </w:tblPr>
      <w:tblGrid>
        <w:gridCol w:w="1522"/>
        <w:gridCol w:w="1513"/>
        <w:gridCol w:w="1513"/>
        <w:gridCol w:w="1822"/>
        <w:gridCol w:w="1490"/>
      </w:tblGrid>
      <w:tr w:rsidR="008479B5" w:rsidRPr="00ED194E" w14:paraId="7E354D00" w14:textId="77777777" w:rsidTr="008479B5">
        <w:tc>
          <w:tcPr>
            <w:tcW w:w="1522" w:type="dxa"/>
          </w:tcPr>
          <w:p w14:paraId="3870213F" w14:textId="3ACBA8C3"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Power </w:t>
            </w:r>
          </w:p>
        </w:tc>
        <w:tc>
          <w:tcPr>
            <w:tcW w:w="1513" w:type="dxa"/>
          </w:tcPr>
          <w:p w14:paraId="40B83D63" w14:textId="70240862"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CITA</w:t>
            </w:r>
          </w:p>
        </w:tc>
        <w:tc>
          <w:tcPr>
            <w:tcW w:w="1513" w:type="dxa"/>
          </w:tcPr>
          <w:p w14:paraId="7717CE16" w14:textId="16794AF3"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PITA </w:t>
            </w:r>
          </w:p>
        </w:tc>
        <w:tc>
          <w:tcPr>
            <w:tcW w:w="1822" w:type="dxa"/>
          </w:tcPr>
          <w:p w14:paraId="674A1B00" w14:textId="14E1CAAE"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FIRS (Establishment) Act </w:t>
            </w:r>
          </w:p>
        </w:tc>
        <w:tc>
          <w:tcPr>
            <w:tcW w:w="1490" w:type="dxa"/>
          </w:tcPr>
          <w:p w14:paraId="20FAB654" w14:textId="41E9055E"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FHC Practice Directions </w:t>
            </w:r>
          </w:p>
        </w:tc>
      </w:tr>
      <w:tr w:rsidR="008479B5" w:rsidRPr="00ED194E" w14:paraId="14CB333C" w14:textId="77777777" w:rsidTr="008479B5">
        <w:tc>
          <w:tcPr>
            <w:tcW w:w="1522" w:type="dxa"/>
          </w:tcPr>
          <w:p w14:paraId="5DD7E44C" w14:textId="1ACB5919"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lastRenderedPageBreak/>
              <w:t>Warrant of Distrain</w:t>
            </w:r>
          </w:p>
        </w:tc>
        <w:tc>
          <w:tcPr>
            <w:tcW w:w="1513" w:type="dxa"/>
          </w:tcPr>
          <w:p w14:paraId="3E5E15A5" w14:textId="42EE5499"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 xml:space="preserve">Section 86 </w:t>
            </w:r>
          </w:p>
        </w:tc>
        <w:tc>
          <w:tcPr>
            <w:tcW w:w="1513" w:type="dxa"/>
          </w:tcPr>
          <w:p w14:paraId="3A713335" w14:textId="50307A77"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Section 104</w:t>
            </w:r>
            <w:r w:rsidR="00B36668" w:rsidRPr="00ED194E">
              <w:rPr>
                <w:rFonts w:ascii="Candara" w:hAnsi="Candara"/>
                <w:sz w:val="23"/>
                <w:szCs w:val="23"/>
              </w:rPr>
              <w:t>(3) &amp; (4)</w:t>
            </w:r>
            <w:r w:rsidRPr="00ED194E">
              <w:rPr>
                <w:rFonts w:ascii="Candara" w:hAnsi="Candara"/>
                <w:sz w:val="23"/>
                <w:szCs w:val="23"/>
              </w:rPr>
              <w:t xml:space="preserve"> </w:t>
            </w:r>
          </w:p>
        </w:tc>
        <w:tc>
          <w:tcPr>
            <w:tcW w:w="1822" w:type="dxa"/>
          </w:tcPr>
          <w:p w14:paraId="23C6510C" w14:textId="04B76BFB"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 xml:space="preserve">Section 8 </w:t>
            </w:r>
            <w:r w:rsidR="00B36668" w:rsidRPr="00ED194E">
              <w:rPr>
                <w:rFonts w:ascii="Candara" w:hAnsi="Candara"/>
                <w:sz w:val="23"/>
                <w:szCs w:val="23"/>
              </w:rPr>
              <w:t xml:space="preserve">(1) (g) </w:t>
            </w:r>
          </w:p>
        </w:tc>
        <w:tc>
          <w:tcPr>
            <w:tcW w:w="1490" w:type="dxa"/>
          </w:tcPr>
          <w:p w14:paraId="0A1FF634" w14:textId="47F561AF"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Order III</w:t>
            </w:r>
          </w:p>
        </w:tc>
      </w:tr>
      <w:tr w:rsidR="008479B5" w:rsidRPr="00ED194E" w14:paraId="0A58E099" w14:textId="77777777" w:rsidTr="008479B5">
        <w:tc>
          <w:tcPr>
            <w:tcW w:w="1522" w:type="dxa"/>
          </w:tcPr>
          <w:p w14:paraId="52793520" w14:textId="2EB479F6"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 xml:space="preserve">Forfeiture </w:t>
            </w:r>
          </w:p>
        </w:tc>
        <w:tc>
          <w:tcPr>
            <w:tcW w:w="1513" w:type="dxa"/>
          </w:tcPr>
          <w:p w14:paraId="0EF7EC89" w14:textId="11A63FE3"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583A0A6D" w14:textId="059B576D"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822" w:type="dxa"/>
          </w:tcPr>
          <w:p w14:paraId="45AEDC73" w14:textId="43790AC2"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490" w:type="dxa"/>
          </w:tcPr>
          <w:p w14:paraId="604C1459" w14:textId="31323A41"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Order III</w:t>
            </w:r>
          </w:p>
        </w:tc>
      </w:tr>
      <w:tr w:rsidR="008479B5" w:rsidRPr="00ED194E" w14:paraId="4F209DAD" w14:textId="77777777" w:rsidTr="008479B5">
        <w:tc>
          <w:tcPr>
            <w:tcW w:w="1522" w:type="dxa"/>
          </w:tcPr>
          <w:p w14:paraId="0EAD0662" w14:textId="0EBB5098"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 xml:space="preserve">Power to seal Premises </w:t>
            </w:r>
          </w:p>
        </w:tc>
        <w:tc>
          <w:tcPr>
            <w:tcW w:w="1513" w:type="dxa"/>
          </w:tcPr>
          <w:p w14:paraId="1EDA84F1" w14:textId="7DFE92B0"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402AD2E3" w14:textId="47897FF6"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Section 103</w:t>
            </w:r>
          </w:p>
        </w:tc>
        <w:tc>
          <w:tcPr>
            <w:tcW w:w="1822" w:type="dxa"/>
          </w:tcPr>
          <w:p w14:paraId="45E9374A" w14:textId="1DAF5460"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w:t>
            </w:r>
          </w:p>
        </w:tc>
        <w:tc>
          <w:tcPr>
            <w:tcW w:w="1490" w:type="dxa"/>
          </w:tcPr>
          <w:p w14:paraId="1EFAF025" w14:textId="59EA4C34" w:rsidR="008479B5" w:rsidRPr="00ED194E" w:rsidRDefault="0035466D" w:rsidP="00ED194E">
            <w:pPr>
              <w:spacing w:line="276" w:lineRule="auto"/>
              <w:jc w:val="both"/>
              <w:rPr>
                <w:rFonts w:ascii="Candara" w:hAnsi="Candara"/>
                <w:sz w:val="23"/>
                <w:szCs w:val="23"/>
              </w:rPr>
            </w:pPr>
            <w:r w:rsidRPr="00ED194E">
              <w:rPr>
                <w:rFonts w:ascii="Candara" w:hAnsi="Candara"/>
                <w:sz w:val="23"/>
                <w:szCs w:val="23"/>
              </w:rPr>
              <w:t xml:space="preserve"> </w:t>
            </w:r>
            <w:r w:rsidR="00CA3CFE" w:rsidRPr="00ED194E">
              <w:rPr>
                <w:rFonts w:ascii="Candara" w:hAnsi="Candara"/>
                <w:sz w:val="23"/>
                <w:szCs w:val="23"/>
              </w:rPr>
              <w:t>Order III</w:t>
            </w:r>
          </w:p>
        </w:tc>
      </w:tr>
      <w:tr w:rsidR="008479B5" w:rsidRPr="00ED194E" w14:paraId="2AF4660F" w14:textId="77777777" w:rsidTr="008479B5">
        <w:tc>
          <w:tcPr>
            <w:tcW w:w="1522" w:type="dxa"/>
          </w:tcPr>
          <w:p w14:paraId="314DDA2E" w14:textId="01005355"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 xml:space="preserve">Access to premises &amp; Freeze Account </w:t>
            </w:r>
          </w:p>
        </w:tc>
        <w:tc>
          <w:tcPr>
            <w:tcW w:w="1513" w:type="dxa"/>
          </w:tcPr>
          <w:p w14:paraId="12B7D282" w14:textId="0489A6A5"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311376C1" w14:textId="2FCAB55A"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822" w:type="dxa"/>
          </w:tcPr>
          <w:p w14:paraId="52BFA66D" w14:textId="4DFD8099" w:rsidR="008479B5" w:rsidRPr="00ED194E" w:rsidRDefault="0035466D" w:rsidP="00ED194E">
            <w:pPr>
              <w:spacing w:line="276" w:lineRule="auto"/>
              <w:jc w:val="both"/>
              <w:rPr>
                <w:rFonts w:ascii="Candara" w:hAnsi="Candara"/>
                <w:sz w:val="23"/>
                <w:szCs w:val="23"/>
              </w:rPr>
            </w:pPr>
            <w:r w:rsidRPr="00ED194E">
              <w:rPr>
                <w:rFonts w:ascii="Candara" w:hAnsi="Candara"/>
                <w:sz w:val="23"/>
                <w:szCs w:val="23"/>
              </w:rPr>
              <w:t xml:space="preserve">Section 8 (1) (g) </w:t>
            </w:r>
          </w:p>
        </w:tc>
        <w:tc>
          <w:tcPr>
            <w:tcW w:w="1490" w:type="dxa"/>
          </w:tcPr>
          <w:p w14:paraId="1D60750C" w14:textId="45889F72"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Order III</w:t>
            </w:r>
            <w:r w:rsidR="000A6598" w:rsidRPr="00ED194E">
              <w:rPr>
                <w:rFonts w:ascii="Candara" w:hAnsi="Candara"/>
                <w:sz w:val="23"/>
                <w:szCs w:val="23"/>
              </w:rPr>
              <w:t xml:space="preserve"> </w:t>
            </w:r>
          </w:p>
        </w:tc>
      </w:tr>
      <w:tr w:rsidR="000A6598" w:rsidRPr="00ED194E" w14:paraId="4372437A" w14:textId="77777777" w:rsidTr="008479B5">
        <w:tc>
          <w:tcPr>
            <w:tcW w:w="1522" w:type="dxa"/>
          </w:tcPr>
          <w:p w14:paraId="50BBDB06" w14:textId="278DD324"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 xml:space="preserve">Access to Tax Payer’s files </w:t>
            </w:r>
          </w:p>
        </w:tc>
        <w:tc>
          <w:tcPr>
            <w:tcW w:w="1513" w:type="dxa"/>
          </w:tcPr>
          <w:p w14:paraId="51CE5A8F" w14:textId="36BEBD92"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7474F092" w14:textId="08E00DCE"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w:t>
            </w:r>
          </w:p>
        </w:tc>
        <w:tc>
          <w:tcPr>
            <w:tcW w:w="1822" w:type="dxa"/>
          </w:tcPr>
          <w:p w14:paraId="453DFBF6" w14:textId="18C2EBE2"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 xml:space="preserve">Section 8 (1) (h) </w:t>
            </w:r>
          </w:p>
        </w:tc>
        <w:tc>
          <w:tcPr>
            <w:tcW w:w="1490" w:type="dxa"/>
          </w:tcPr>
          <w:p w14:paraId="75F7EDFF" w14:textId="4385B36F"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Order III</w:t>
            </w:r>
          </w:p>
        </w:tc>
      </w:tr>
    </w:tbl>
    <w:p w14:paraId="49CFE5E2" w14:textId="4EDC7224" w:rsidR="00B16EDA" w:rsidRPr="00ED194E" w:rsidRDefault="00B16EDA" w:rsidP="00ED194E">
      <w:pPr>
        <w:spacing w:line="276" w:lineRule="auto"/>
        <w:jc w:val="both"/>
        <w:rPr>
          <w:rFonts w:ascii="Candara" w:hAnsi="Candara"/>
          <w:sz w:val="23"/>
          <w:szCs w:val="23"/>
        </w:rPr>
      </w:pPr>
    </w:p>
    <w:p w14:paraId="7A13B73A" w14:textId="77777777" w:rsidR="00931C8B" w:rsidRPr="00ED194E" w:rsidRDefault="00931C8B" w:rsidP="00ED194E">
      <w:pPr>
        <w:spacing w:line="276" w:lineRule="auto"/>
        <w:jc w:val="both"/>
        <w:rPr>
          <w:rFonts w:ascii="Candara" w:hAnsi="Candara"/>
          <w:sz w:val="23"/>
          <w:szCs w:val="23"/>
        </w:rPr>
      </w:pPr>
    </w:p>
    <w:p w14:paraId="787FADF8" w14:textId="56B3BE31" w:rsidR="00DA39E8" w:rsidRPr="00ED194E" w:rsidRDefault="009070A5" w:rsidP="00ED194E">
      <w:pPr>
        <w:pStyle w:val="ListParagraph"/>
        <w:numPr>
          <w:ilvl w:val="0"/>
          <w:numId w:val="2"/>
        </w:numPr>
        <w:spacing w:after="0" w:line="276" w:lineRule="auto"/>
        <w:jc w:val="both"/>
        <w:rPr>
          <w:rFonts w:ascii="Candara" w:hAnsi="Candara"/>
          <w:b/>
          <w:bCs/>
          <w:sz w:val="23"/>
          <w:szCs w:val="23"/>
          <w:u w:val="single"/>
        </w:rPr>
      </w:pPr>
      <w:r w:rsidRPr="00ED194E">
        <w:rPr>
          <w:rFonts w:ascii="Candara" w:hAnsi="Candara"/>
          <w:b/>
          <w:bCs/>
          <w:sz w:val="23"/>
          <w:szCs w:val="23"/>
          <w:u w:val="single"/>
        </w:rPr>
        <w:t>Requirement of Part Payment of Tax Assessed</w:t>
      </w:r>
    </w:p>
    <w:p w14:paraId="5A08A84C" w14:textId="77A1B469" w:rsidR="00521CC1" w:rsidRPr="00ED194E" w:rsidRDefault="00DA39E8" w:rsidP="00ED194E">
      <w:pPr>
        <w:spacing w:line="276" w:lineRule="auto"/>
        <w:jc w:val="both"/>
        <w:rPr>
          <w:rFonts w:ascii="Candara" w:hAnsi="Candara"/>
          <w:sz w:val="23"/>
          <w:szCs w:val="23"/>
        </w:rPr>
      </w:pPr>
      <w:r w:rsidRPr="00ED194E">
        <w:rPr>
          <w:rFonts w:ascii="Candara" w:hAnsi="Candara"/>
          <w:b/>
          <w:sz w:val="23"/>
          <w:szCs w:val="23"/>
        </w:rPr>
        <w:t>Order V Rule 3</w:t>
      </w:r>
      <w:r w:rsidRPr="00ED194E">
        <w:rPr>
          <w:rFonts w:ascii="Candara" w:hAnsi="Candara"/>
          <w:sz w:val="23"/>
          <w:szCs w:val="23"/>
        </w:rPr>
        <w:t xml:space="preserve"> of the practice direction mandates that a taxpayer who seeks to challenge an assessment shall pay half the assessed amount pending determination of the application. This provision is against the provisions of tax enabling statutes which have clearly delineated the procedure on which an assessment by the tax authority can be challenged. The relevant provisions for a taxpayer to object to an assessment include, paragraph 13 of the Fifth Schedule of FIRSEA, </w:t>
      </w:r>
      <w:r w:rsidRPr="00ED194E">
        <w:rPr>
          <w:rFonts w:ascii="Candara" w:hAnsi="Candara"/>
          <w:b/>
          <w:sz w:val="23"/>
          <w:szCs w:val="23"/>
        </w:rPr>
        <w:t>section 69</w:t>
      </w:r>
      <w:r w:rsidRPr="00ED194E">
        <w:rPr>
          <w:rFonts w:ascii="Candara" w:hAnsi="Candara"/>
          <w:sz w:val="23"/>
          <w:szCs w:val="23"/>
        </w:rPr>
        <w:t xml:space="preserve"> of CITA and </w:t>
      </w:r>
      <w:r w:rsidRPr="00ED194E">
        <w:rPr>
          <w:rFonts w:ascii="Candara" w:hAnsi="Candara"/>
          <w:b/>
          <w:sz w:val="23"/>
          <w:szCs w:val="23"/>
        </w:rPr>
        <w:t xml:space="preserve">section 58 </w:t>
      </w:r>
      <w:r w:rsidRPr="00ED194E">
        <w:rPr>
          <w:rFonts w:ascii="Candara" w:hAnsi="Candara"/>
          <w:sz w:val="23"/>
          <w:szCs w:val="23"/>
        </w:rPr>
        <w:t xml:space="preserve">of PITA wherein the taxpayer has the right to object within 30 days if he disagrees with the assessment served upon him. The enabling tax statutes do not provide that half of the assessed sum be paid where a taxpayer </w:t>
      </w:r>
      <w:r w:rsidR="009070A5" w:rsidRPr="00ED194E">
        <w:rPr>
          <w:rFonts w:ascii="Candara" w:hAnsi="Candara"/>
          <w:sz w:val="23"/>
          <w:szCs w:val="23"/>
        </w:rPr>
        <w:t>objects to or intends to challenge an assessment on appeal. T</w:t>
      </w:r>
      <w:r w:rsidRPr="00ED194E">
        <w:rPr>
          <w:rFonts w:ascii="Candara" w:hAnsi="Candara"/>
          <w:sz w:val="23"/>
          <w:szCs w:val="23"/>
        </w:rPr>
        <w:t xml:space="preserve">his cannot be </w:t>
      </w:r>
      <w:r w:rsidR="009070A5" w:rsidRPr="00ED194E">
        <w:rPr>
          <w:rFonts w:ascii="Candara" w:hAnsi="Candara"/>
          <w:sz w:val="23"/>
          <w:szCs w:val="23"/>
        </w:rPr>
        <w:t>imposed</w:t>
      </w:r>
      <w:r w:rsidRPr="00ED194E">
        <w:rPr>
          <w:rFonts w:ascii="Candara" w:hAnsi="Candara"/>
          <w:sz w:val="23"/>
          <w:szCs w:val="23"/>
        </w:rPr>
        <w:t xml:space="preserve"> by </w:t>
      </w:r>
      <w:r w:rsidR="009070A5" w:rsidRPr="00ED194E">
        <w:rPr>
          <w:rFonts w:ascii="Candara" w:hAnsi="Candara"/>
          <w:sz w:val="23"/>
          <w:szCs w:val="23"/>
        </w:rPr>
        <w:t xml:space="preserve">way of </w:t>
      </w:r>
      <w:r w:rsidRPr="00ED194E">
        <w:rPr>
          <w:rFonts w:ascii="Candara" w:hAnsi="Candara"/>
          <w:sz w:val="23"/>
          <w:szCs w:val="23"/>
        </w:rPr>
        <w:t>a practice direction of the Federal High Court as it sought to do.</w:t>
      </w:r>
      <w:r w:rsidR="009070A5" w:rsidRPr="00ED194E">
        <w:rPr>
          <w:rFonts w:ascii="Candara" w:hAnsi="Candara"/>
          <w:sz w:val="23"/>
          <w:szCs w:val="23"/>
        </w:rPr>
        <w:t xml:space="preserve"> Only an amendment of the substantive law can impose such a requirement.</w:t>
      </w:r>
      <w:r w:rsidRPr="00ED194E">
        <w:rPr>
          <w:rFonts w:ascii="Candara" w:hAnsi="Candara"/>
          <w:sz w:val="23"/>
          <w:szCs w:val="23"/>
        </w:rPr>
        <w:t xml:space="preserve"> Furthermore, </w:t>
      </w:r>
      <w:r w:rsidRPr="00ED194E">
        <w:rPr>
          <w:rFonts w:ascii="Candara" w:hAnsi="Candara"/>
          <w:b/>
          <w:sz w:val="23"/>
          <w:szCs w:val="23"/>
        </w:rPr>
        <w:t>section 68</w:t>
      </w:r>
      <w:r w:rsidRPr="00ED194E">
        <w:rPr>
          <w:rFonts w:ascii="Candara" w:hAnsi="Candara"/>
          <w:sz w:val="23"/>
          <w:szCs w:val="23"/>
        </w:rPr>
        <w:t xml:space="preserve">, PITA grants a taxpayer 60 days to pay income tax where the assessment has not been subjected to an objection or appeal and </w:t>
      </w:r>
      <w:r w:rsidRPr="00ED194E">
        <w:rPr>
          <w:rFonts w:ascii="Candara" w:hAnsi="Candara"/>
          <w:b/>
          <w:sz w:val="23"/>
          <w:szCs w:val="23"/>
        </w:rPr>
        <w:t xml:space="preserve">section 77(2) </w:t>
      </w:r>
      <w:r w:rsidRPr="00ED194E">
        <w:rPr>
          <w:rFonts w:ascii="Candara" w:hAnsi="Candara"/>
          <w:sz w:val="23"/>
          <w:szCs w:val="23"/>
        </w:rPr>
        <w:t xml:space="preserve">of CITA grants a taxpayer 30 days to pay the assessed sum where it is not subject to an objection or appeal. The clear provisions of the enabling statutes cannot be overridden by Order V Rule 3 of the practice direction when the assessment has </w:t>
      </w:r>
      <w:r w:rsidR="009070A5" w:rsidRPr="00ED194E">
        <w:rPr>
          <w:rFonts w:ascii="Candara" w:hAnsi="Candara"/>
          <w:sz w:val="23"/>
          <w:szCs w:val="23"/>
        </w:rPr>
        <w:t xml:space="preserve">not </w:t>
      </w:r>
      <w:r w:rsidRPr="00ED194E">
        <w:rPr>
          <w:rFonts w:ascii="Candara" w:hAnsi="Candara"/>
          <w:sz w:val="23"/>
          <w:szCs w:val="23"/>
        </w:rPr>
        <w:t>become final and conclusive or where the taxpayer seeks to object to the assessment.</w:t>
      </w:r>
    </w:p>
    <w:p w14:paraId="48DB3640" w14:textId="159E9A92" w:rsidR="000866BE" w:rsidRPr="00ED194E" w:rsidRDefault="000866BE" w:rsidP="00ED194E">
      <w:pPr>
        <w:spacing w:line="276" w:lineRule="auto"/>
        <w:jc w:val="both"/>
        <w:rPr>
          <w:rFonts w:ascii="Candara" w:hAnsi="Candara"/>
          <w:b/>
          <w:sz w:val="23"/>
          <w:szCs w:val="23"/>
        </w:rPr>
      </w:pPr>
    </w:p>
    <w:p w14:paraId="009C85FF" w14:textId="7F171B36" w:rsidR="00CA3CFE" w:rsidRPr="00ED194E" w:rsidRDefault="00CA3CFE"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 xml:space="preserve">Commentary </w:t>
      </w:r>
    </w:p>
    <w:p w14:paraId="7FD10E23" w14:textId="54035E98" w:rsidR="00B16EDA" w:rsidRPr="00ED194E" w:rsidRDefault="00B16EDA" w:rsidP="00ED194E">
      <w:pPr>
        <w:spacing w:line="276" w:lineRule="auto"/>
        <w:jc w:val="both"/>
        <w:rPr>
          <w:rFonts w:ascii="Candara" w:hAnsi="Candara"/>
          <w:sz w:val="23"/>
          <w:szCs w:val="23"/>
        </w:rPr>
      </w:pPr>
      <w:r w:rsidRPr="00ED194E">
        <w:rPr>
          <w:rFonts w:ascii="Candara" w:hAnsi="Candara"/>
          <w:sz w:val="23"/>
          <w:szCs w:val="23"/>
        </w:rPr>
        <w:t xml:space="preserve">The </w:t>
      </w:r>
      <w:r w:rsidR="000A6598" w:rsidRPr="00ED194E">
        <w:rPr>
          <w:rFonts w:ascii="Candara" w:hAnsi="Candara"/>
          <w:sz w:val="23"/>
          <w:szCs w:val="23"/>
        </w:rPr>
        <w:t xml:space="preserve">FHC </w:t>
      </w:r>
      <w:r w:rsidRPr="00ED194E">
        <w:rPr>
          <w:rFonts w:ascii="Candara" w:hAnsi="Candara"/>
          <w:sz w:val="23"/>
          <w:szCs w:val="23"/>
        </w:rPr>
        <w:t xml:space="preserve">Practice Direction only gives effect to the substantive law relating to the subject matter before the Court and is by no means the substantive law. This Practice Direction, however seeks to clog the right of litigants or limits the rights inherently preserved in the statutes, this goes contrary to established principles of Fundamental Rights and should be disregarded with the same ingenuity with which it was made. For instance, there’s no provision for interim forfeiture in the </w:t>
      </w:r>
      <w:r w:rsidRPr="00ED194E">
        <w:rPr>
          <w:rFonts w:ascii="Candara" w:hAnsi="Candara"/>
          <w:sz w:val="23"/>
          <w:szCs w:val="23"/>
        </w:rPr>
        <w:lastRenderedPageBreak/>
        <w:t>substantive tax laws. The provisi</w:t>
      </w:r>
      <w:r w:rsidR="000A6598" w:rsidRPr="00ED194E">
        <w:rPr>
          <w:rFonts w:ascii="Candara" w:hAnsi="Candara"/>
          <w:sz w:val="23"/>
          <w:szCs w:val="23"/>
        </w:rPr>
        <w:t xml:space="preserve">on with respect to Distrain in section </w:t>
      </w:r>
      <w:r w:rsidRPr="00ED194E">
        <w:rPr>
          <w:rFonts w:ascii="Candara" w:hAnsi="Candara"/>
          <w:sz w:val="23"/>
          <w:szCs w:val="23"/>
        </w:rPr>
        <w:t>86 of CITA is clear on the mode of execution and It cannot be introduced by a practice direction, as provided for in Order III of the rule. The treatment to be ascribed to rule of court or practice direction in conflict with the substantive laws it seeks to give effect was also cons</w:t>
      </w:r>
      <w:r w:rsidR="000A6598" w:rsidRPr="00ED194E">
        <w:rPr>
          <w:rFonts w:ascii="Candara" w:hAnsi="Candara"/>
          <w:sz w:val="23"/>
          <w:szCs w:val="23"/>
        </w:rPr>
        <w:t>idered in0</w:t>
      </w:r>
      <w:r w:rsidR="000A6598" w:rsidRPr="00ED194E">
        <w:rPr>
          <w:rFonts w:ascii="Candara" w:hAnsi="Candara"/>
          <w:b/>
          <w:i/>
          <w:sz w:val="23"/>
          <w:szCs w:val="23"/>
        </w:rPr>
        <w:t xml:space="preserve"> </w:t>
      </w:r>
      <w:proofErr w:type="spellStart"/>
      <w:r w:rsidR="000A6598" w:rsidRPr="00ED194E">
        <w:rPr>
          <w:rFonts w:ascii="Candara" w:hAnsi="Candara"/>
          <w:b/>
          <w:i/>
          <w:sz w:val="23"/>
          <w:szCs w:val="23"/>
        </w:rPr>
        <w:t>Abubakar</w:t>
      </w:r>
      <w:proofErr w:type="spellEnd"/>
      <w:r w:rsidR="000A6598" w:rsidRPr="00ED194E">
        <w:rPr>
          <w:rFonts w:ascii="Candara" w:hAnsi="Candara"/>
          <w:b/>
          <w:i/>
          <w:sz w:val="23"/>
          <w:szCs w:val="23"/>
        </w:rPr>
        <w:t xml:space="preserve"> v. </w:t>
      </w:r>
      <w:proofErr w:type="spellStart"/>
      <w:r w:rsidR="000A6598" w:rsidRPr="00ED194E">
        <w:rPr>
          <w:rFonts w:ascii="Candara" w:hAnsi="Candara"/>
          <w:b/>
          <w:i/>
          <w:sz w:val="23"/>
          <w:szCs w:val="23"/>
        </w:rPr>
        <w:t>Yar’Adua</w:t>
      </w:r>
      <w:proofErr w:type="spellEnd"/>
      <w:r w:rsidR="000A6598" w:rsidRPr="00ED194E">
        <w:rPr>
          <w:rStyle w:val="FootnoteReference"/>
          <w:rFonts w:ascii="Candara" w:hAnsi="Candara"/>
          <w:b/>
          <w:i/>
          <w:sz w:val="23"/>
          <w:szCs w:val="23"/>
        </w:rPr>
        <w:footnoteReference w:id="4"/>
      </w:r>
      <w:r w:rsidR="000A6598" w:rsidRPr="00ED194E">
        <w:rPr>
          <w:rFonts w:ascii="Candara" w:hAnsi="Candara"/>
          <w:sz w:val="23"/>
          <w:szCs w:val="23"/>
        </w:rPr>
        <w:t xml:space="preserve">; </w:t>
      </w:r>
      <w:r w:rsidRPr="00ED194E">
        <w:rPr>
          <w:rFonts w:ascii="Candara" w:hAnsi="Candara"/>
          <w:sz w:val="23"/>
          <w:szCs w:val="23"/>
        </w:rPr>
        <w:t>here the court held that practice direction in conflict with the Constitution or the enabling statutes will have no force of law.</w:t>
      </w:r>
      <w:r w:rsidRPr="00ED194E">
        <w:rPr>
          <w:rFonts w:ascii="Candara" w:hAnsi="Candara"/>
          <w:sz w:val="23"/>
          <w:szCs w:val="23"/>
        </w:rPr>
        <w:tab/>
      </w:r>
    </w:p>
    <w:p w14:paraId="480EC942" w14:textId="45ED2CD4" w:rsidR="00B16EDA" w:rsidRPr="00ED194E" w:rsidRDefault="00B16EDA" w:rsidP="00ED194E">
      <w:pPr>
        <w:spacing w:line="276" w:lineRule="auto"/>
        <w:jc w:val="both"/>
        <w:rPr>
          <w:rFonts w:ascii="Candara" w:hAnsi="Candara"/>
          <w:sz w:val="23"/>
          <w:szCs w:val="23"/>
        </w:rPr>
      </w:pPr>
      <w:r w:rsidRPr="00ED194E">
        <w:rPr>
          <w:rFonts w:ascii="Candara" w:hAnsi="Candara"/>
          <w:sz w:val="23"/>
          <w:szCs w:val="23"/>
        </w:rPr>
        <w:t xml:space="preserve">In </w:t>
      </w:r>
      <w:r w:rsidRPr="00ED194E">
        <w:rPr>
          <w:rFonts w:ascii="Candara" w:hAnsi="Candara"/>
          <w:b/>
          <w:i/>
          <w:sz w:val="23"/>
          <w:szCs w:val="23"/>
        </w:rPr>
        <w:t>Mobil Oil (</w:t>
      </w:r>
      <w:proofErr w:type="spellStart"/>
      <w:r w:rsidRPr="00ED194E">
        <w:rPr>
          <w:rFonts w:ascii="Candara" w:hAnsi="Candara"/>
          <w:b/>
          <w:i/>
          <w:sz w:val="23"/>
          <w:szCs w:val="23"/>
        </w:rPr>
        <w:t>Nig</w:t>
      </w:r>
      <w:proofErr w:type="spellEnd"/>
      <w:r w:rsidRPr="00ED194E">
        <w:rPr>
          <w:rFonts w:ascii="Candara" w:hAnsi="Candara"/>
          <w:b/>
          <w:i/>
          <w:sz w:val="23"/>
          <w:szCs w:val="23"/>
        </w:rPr>
        <w:t>) Ltd V. F</w:t>
      </w:r>
      <w:r w:rsidR="000A6598" w:rsidRPr="00ED194E">
        <w:rPr>
          <w:rFonts w:ascii="Candara" w:hAnsi="Candara"/>
          <w:b/>
          <w:i/>
          <w:sz w:val="23"/>
          <w:szCs w:val="23"/>
        </w:rPr>
        <w:t>ederal Board Of Inland Revenue</w:t>
      </w:r>
      <w:r w:rsidR="000A6598" w:rsidRPr="00ED194E">
        <w:rPr>
          <w:rStyle w:val="FootnoteReference"/>
          <w:rFonts w:ascii="Candara" w:hAnsi="Candara"/>
          <w:b/>
          <w:i/>
          <w:sz w:val="23"/>
          <w:szCs w:val="23"/>
        </w:rPr>
        <w:footnoteReference w:id="5"/>
      </w:r>
      <w:r w:rsidR="000A6598" w:rsidRPr="00ED194E">
        <w:rPr>
          <w:rFonts w:ascii="Candara" w:hAnsi="Candara"/>
          <w:b/>
          <w:i/>
          <w:sz w:val="23"/>
          <w:szCs w:val="23"/>
        </w:rPr>
        <w:t xml:space="preserve"> </w:t>
      </w:r>
      <w:r w:rsidR="000A6598" w:rsidRPr="00ED194E">
        <w:rPr>
          <w:rFonts w:ascii="Candara" w:hAnsi="Candara"/>
          <w:sz w:val="23"/>
          <w:szCs w:val="23"/>
        </w:rPr>
        <w:t>t</w:t>
      </w:r>
      <w:r w:rsidRPr="00ED194E">
        <w:rPr>
          <w:rFonts w:ascii="Candara" w:hAnsi="Candara"/>
          <w:sz w:val="23"/>
          <w:szCs w:val="23"/>
        </w:rPr>
        <w:t xml:space="preserve">he court reiterated the limits of a Practice Direction when it states thus: </w:t>
      </w:r>
    </w:p>
    <w:p w14:paraId="7A4BB5DA" w14:textId="77777777" w:rsidR="00B16EDA" w:rsidRPr="00ED194E" w:rsidRDefault="00B16EDA" w:rsidP="00ED194E">
      <w:pPr>
        <w:spacing w:line="276" w:lineRule="auto"/>
        <w:jc w:val="both"/>
        <w:rPr>
          <w:rFonts w:ascii="Candara" w:hAnsi="Candara"/>
          <w:sz w:val="23"/>
          <w:szCs w:val="23"/>
        </w:rPr>
      </w:pPr>
      <w:r w:rsidRPr="00ED194E">
        <w:rPr>
          <w:rFonts w:ascii="Candara" w:hAnsi="Candara"/>
          <w:sz w:val="23"/>
          <w:szCs w:val="23"/>
        </w:rPr>
        <w:t>“……. it is our view that the “practice direction” ……. does not affect the right of an appellant or respondent in an income tax appeal before the Federal Revenue Court to adduce evidence…”</w:t>
      </w:r>
    </w:p>
    <w:p w14:paraId="10719426" w14:textId="3C812670" w:rsidR="00931C8B" w:rsidRPr="00ED194E" w:rsidRDefault="00B16EDA" w:rsidP="00ED194E">
      <w:pPr>
        <w:spacing w:line="276" w:lineRule="auto"/>
        <w:jc w:val="both"/>
        <w:rPr>
          <w:rFonts w:ascii="Candara" w:hAnsi="Candara"/>
          <w:sz w:val="23"/>
          <w:szCs w:val="23"/>
        </w:rPr>
      </w:pPr>
      <w:r w:rsidRPr="00ED194E">
        <w:rPr>
          <w:rFonts w:ascii="Candara" w:hAnsi="Candara"/>
          <w:sz w:val="23"/>
          <w:szCs w:val="23"/>
        </w:rPr>
        <w:t>From the above, it is clear that any Rule of Court or Practice Direction which significantly detract from the provisions of substantive laws or limits the rights of parties will be declared null and void to the extent of its inconsistency.</w:t>
      </w:r>
    </w:p>
    <w:p w14:paraId="41AC63A4" w14:textId="77777777" w:rsidR="00B634FE" w:rsidRPr="00ED194E" w:rsidRDefault="00B634FE" w:rsidP="00ED194E">
      <w:pPr>
        <w:spacing w:line="276" w:lineRule="auto"/>
        <w:jc w:val="both"/>
        <w:rPr>
          <w:rFonts w:ascii="Candara" w:hAnsi="Candara"/>
          <w:sz w:val="23"/>
          <w:szCs w:val="23"/>
        </w:rPr>
      </w:pPr>
    </w:p>
    <w:p w14:paraId="192D48BF" w14:textId="1263C7EC" w:rsidR="00521CC1" w:rsidRPr="00ED194E" w:rsidRDefault="008B4B09"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Conclusion</w:t>
      </w:r>
    </w:p>
    <w:p w14:paraId="794C98C1" w14:textId="6EA6160D" w:rsidR="00521CC1" w:rsidRPr="00ED194E" w:rsidRDefault="00B634FE" w:rsidP="00ED194E">
      <w:pPr>
        <w:spacing w:line="276" w:lineRule="auto"/>
        <w:jc w:val="both"/>
        <w:rPr>
          <w:rFonts w:ascii="Candara" w:hAnsi="Candara"/>
          <w:sz w:val="23"/>
          <w:szCs w:val="23"/>
        </w:rPr>
      </w:pPr>
      <w:r w:rsidRPr="00ED194E">
        <w:rPr>
          <w:rFonts w:ascii="Candara" w:hAnsi="Candara"/>
          <w:sz w:val="23"/>
          <w:szCs w:val="23"/>
        </w:rPr>
        <w:t>The FHC Practice Direction</w:t>
      </w:r>
      <w:r w:rsidR="00A156A3" w:rsidRPr="00ED194E">
        <w:rPr>
          <w:rFonts w:ascii="Candara" w:hAnsi="Candara"/>
          <w:sz w:val="23"/>
          <w:szCs w:val="23"/>
        </w:rPr>
        <w:t xml:space="preserve"> vests the FIRS with </w:t>
      </w:r>
      <w:r w:rsidR="00880910">
        <w:rPr>
          <w:rFonts w:ascii="Candara" w:hAnsi="Candara"/>
          <w:sz w:val="23"/>
          <w:szCs w:val="23"/>
        </w:rPr>
        <w:t xml:space="preserve">an </w:t>
      </w:r>
      <w:r w:rsidR="00A156A3" w:rsidRPr="00ED194E">
        <w:rPr>
          <w:rFonts w:ascii="Candara" w:hAnsi="Candara"/>
          <w:sz w:val="23"/>
          <w:szCs w:val="23"/>
        </w:rPr>
        <w:t>array of power</w:t>
      </w:r>
      <w:r w:rsidR="00880910">
        <w:rPr>
          <w:rFonts w:ascii="Candara" w:hAnsi="Candara"/>
          <w:sz w:val="23"/>
          <w:szCs w:val="23"/>
        </w:rPr>
        <w:t>s</w:t>
      </w:r>
      <w:r w:rsidR="00A156A3" w:rsidRPr="00ED194E">
        <w:rPr>
          <w:rFonts w:ascii="Candara" w:hAnsi="Candara"/>
          <w:sz w:val="23"/>
          <w:szCs w:val="23"/>
        </w:rPr>
        <w:t xml:space="preserve"> alien to the extant tax laws including FIRS (Establishment) Act. </w:t>
      </w:r>
      <w:r w:rsidR="00D62C79" w:rsidRPr="00ED194E">
        <w:rPr>
          <w:rFonts w:ascii="Candara" w:hAnsi="Candara"/>
          <w:sz w:val="23"/>
          <w:szCs w:val="23"/>
        </w:rPr>
        <w:t>While provisions exist for FIRS to exercise some of the powers, FIRS seeks the shortest cut towards the attainment of the objectives in a manner contrary to the provisions of the</w:t>
      </w:r>
      <w:r w:rsidR="00880910">
        <w:rPr>
          <w:rFonts w:ascii="Candara" w:hAnsi="Candara"/>
          <w:sz w:val="23"/>
          <w:szCs w:val="23"/>
        </w:rPr>
        <w:t xml:space="preserve"> FIRS Act and other extant laws, which invariably impedes on the taxpayer’s right. </w:t>
      </w:r>
      <w:r w:rsidR="00D62C79" w:rsidRPr="00ED194E">
        <w:rPr>
          <w:rFonts w:ascii="Candara" w:hAnsi="Candara"/>
          <w:sz w:val="23"/>
          <w:szCs w:val="23"/>
        </w:rPr>
        <w:t xml:space="preserve"> Accordingly, the</w:t>
      </w:r>
      <w:r w:rsidR="00880910">
        <w:rPr>
          <w:rFonts w:ascii="Candara" w:hAnsi="Candara"/>
          <w:sz w:val="23"/>
          <w:szCs w:val="23"/>
        </w:rPr>
        <w:t xml:space="preserve"> FHC Practice Direction goes beyond its purposed scope and objective. As such, it</w:t>
      </w:r>
      <w:r w:rsidR="00A156A3" w:rsidRPr="00ED194E">
        <w:rPr>
          <w:rFonts w:ascii="Candara" w:hAnsi="Candara"/>
          <w:sz w:val="23"/>
          <w:szCs w:val="23"/>
        </w:rPr>
        <w:t xml:space="preserve"> stands a risk of being successfully challenged in a c</w:t>
      </w:r>
      <w:r w:rsidR="00880910">
        <w:rPr>
          <w:rFonts w:ascii="Candara" w:hAnsi="Candara"/>
          <w:sz w:val="23"/>
          <w:szCs w:val="23"/>
        </w:rPr>
        <w:t>ourt of competent jurisdiction.</w:t>
      </w:r>
    </w:p>
    <w:sectPr w:rsidR="00521CC1" w:rsidRPr="00ED194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B23A4" w14:textId="77777777" w:rsidR="008A74CB" w:rsidRDefault="008A74CB" w:rsidP="00242437">
      <w:pPr>
        <w:spacing w:after="0" w:line="240" w:lineRule="auto"/>
      </w:pPr>
      <w:r>
        <w:separator/>
      </w:r>
    </w:p>
  </w:endnote>
  <w:endnote w:type="continuationSeparator" w:id="0">
    <w:p w14:paraId="5F5D13CA" w14:textId="77777777" w:rsidR="008A74CB" w:rsidRDefault="008A74CB" w:rsidP="00242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1059E6" w14:textId="77777777" w:rsidR="008A74CB" w:rsidRDefault="008A74CB" w:rsidP="00242437">
      <w:pPr>
        <w:spacing w:after="0" w:line="240" w:lineRule="auto"/>
      </w:pPr>
      <w:r>
        <w:separator/>
      </w:r>
    </w:p>
  </w:footnote>
  <w:footnote w:type="continuationSeparator" w:id="0">
    <w:p w14:paraId="0B197437" w14:textId="77777777" w:rsidR="008A74CB" w:rsidRDefault="008A74CB" w:rsidP="00242437">
      <w:pPr>
        <w:spacing w:after="0" w:line="240" w:lineRule="auto"/>
      </w:pPr>
      <w:r>
        <w:continuationSeparator/>
      </w:r>
    </w:p>
  </w:footnote>
  <w:footnote w:id="1">
    <w:p w14:paraId="553E213B" w14:textId="77777777" w:rsidR="00F54F09" w:rsidRPr="00931C8B" w:rsidRDefault="00F54F09"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See </w:t>
      </w:r>
      <w:proofErr w:type="spellStart"/>
      <w:r w:rsidRPr="00931C8B">
        <w:rPr>
          <w:rFonts w:ascii="Candara" w:hAnsi="Candara"/>
        </w:rPr>
        <w:t>Buhari</w:t>
      </w:r>
      <w:proofErr w:type="spellEnd"/>
      <w:r w:rsidRPr="00931C8B">
        <w:rPr>
          <w:rFonts w:ascii="Candara" w:hAnsi="Candara"/>
        </w:rPr>
        <w:t xml:space="preserve"> v. INEC (2008) 19 NWLR (Pt.1120) 246</w:t>
      </w:r>
    </w:p>
  </w:footnote>
  <w:footnote w:id="2">
    <w:p w14:paraId="4B8DB281" w14:textId="77777777" w:rsidR="003A025F" w:rsidRPr="00931C8B" w:rsidRDefault="003A025F"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Emphasis mine. </w:t>
      </w:r>
    </w:p>
  </w:footnote>
  <w:footnote w:id="3">
    <w:p w14:paraId="2A1458C2" w14:textId="0786E4DD" w:rsidR="00A44CF3" w:rsidRPr="00931C8B" w:rsidRDefault="00A44CF3"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See Order III Rule 1, Rule 2 (c) (</w:t>
      </w:r>
      <w:proofErr w:type="spellStart"/>
      <w:r w:rsidRPr="00931C8B">
        <w:rPr>
          <w:rFonts w:ascii="Candara" w:hAnsi="Candara"/>
        </w:rPr>
        <w:t>i</w:t>
      </w:r>
      <w:proofErr w:type="spellEnd"/>
      <w:r w:rsidRPr="00931C8B">
        <w:rPr>
          <w:rFonts w:ascii="Candara" w:hAnsi="Candara"/>
        </w:rPr>
        <w:t xml:space="preserve">) &amp; (ii), Rule 3 (ii) &amp; (iii) </w:t>
      </w:r>
    </w:p>
  </w:footnote>
  <w:footnote w:id="4">
    <w:p w14:paraId="2050DAFE" w14:textId="250670F3" w:rsidR="000A6598" w:rsidRPr="00931C8B" w:rsidRDefault="000A6598"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w:t>
      </w:r>
      <w:r w:rsidR="00931C8B" w:rsidRPr="00931C8B">
        <w:rPr>
          <w:rFonts w:ascii="Candara" w:hAnsi="Candara"/>
        </w:rPr>
        <w:t>(2008) 4 NWLR (Pt. 1078) 455</w:t>
      </w:r>
    </w:p>
  </w:footnote>
  <w:footnote w:id="5">
    <w:p w14:paraId="36DDA319" w14:textId="4C0B7455" w:rsidR="000A6598" w:rsidRPr="00931C8B" w:rsidRDefault="000A6598"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w:t>
      </w:r>
      <w:r w:rsidR="00931C8B" w:rsidRPr="00931C8B">
        <w:rPr>
          <w:rFonts w:ascii="Candara" w:hAnsi="Candara"/>
        </w:rPr>
        <w:t>1977) 1 NCLR 1</w:t>
      </w:r>
      <w:bookmarkStart w:id="0" w:name="_GoBack"/>
      <w:bookmarkEnd w:id="0"/>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F17FC"/>
    <w:multiLevelType w:val="hybridMultilevel"/>
    <w:tmpl w:val="0A3AA704"/>
    <w:lvl w:ilvl="0" w:tplc="25C41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2411EE"/>
    <w:multiLevelType w:val="hybridMultilevel"/>
    <w:tmpl w:val="8FD8F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64FC8"/>
    <w:multiLevelType w:val="hybridMultilevel"/>
    <w:tmpl w:val="C0C013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72C77"/>
    <w:multiLevelType w:val="hybridMultilevel"/>
    <w:tmpl w:val="6A36F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C0ED6"/>
    <w:multiLevelType w:val="hybridMultilevel"/>
    <w:tmpl w:val="97F2B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923C11"/>
    <w:multiLevelType w:val="hybridMultilevel"/>
    <w:tmpl w:val="0D2E1C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7A7070"/>
    <w:multiLevelType w:val="hybridMultilevel"/>
    <w:tmpl w:val="58DA2706"/>
    <w:lvl w:ilvl="0" w:tplc="B0287866">
      <w:start w:val="1"/>
      <w:numFmt w:val="bullet"/>
      <w:lvlText w:val="-"/>
      <w:lvlJc w:val="left"/>
      <w:pPr>
        <w:ind w:left="720" w:hanging="360"/>
      </w:pPr>
      <w:rPr>
        <w:rFonts w:ascii="Candara" w:eastAsiaTheme="minorHAnsi" w:hAnsi="Candar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796A2F"/>
    <w:multiLevelType w:val="hybridMultilevel"/>
    <w:tmpl w:val="7D6E8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0732DD"/>
    <w:multiLevelType w:val="hybridMultilevel"/>
    <w:tmpl w:val="0D7A652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2C3DF2"/>
    <w:multiLevelType w:val="hybridMultilevel"/>
    <w:tmpl w:val="605E6E20"/>
    <w:lvl w:ilvl="0" w:tplc="0B8EB6F4">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306DC"/>
    <w:multiLevelType w:val="hybridMultilevel"/>
    <w:tmpl w:val="7D6E8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6"/>
  </w:num>
  <w:num w:numId="4">
    <w:abstractNumId w:val="9"/>
  </w:num>
  <w:num w:numId="5">
    <w:abstractNumId w:val="7"/>
  </w:num>
  <w:num w:numId="6">
    <w:abstractNumId w:val="3"/>
  </w:num>
  <w:num w:numId="7">
    <w:abstractNumId w:val="1"/>
  </w:num>
  <w:num w:numId="8">
    <w:abstractNumId w:val="5"/>
  </w:num>
  <w:num w:numId="9">
    <w:abstractNumId w:val="2"/>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844"/>
    <w:rsid w:val="000866BE"/>
    <w:rsid w:val="000A6598"/>
    <w:rsid w:val="001A1DBD"/>
    <w:rsid w:val="00242437"/>
    <w:rsid w:val="0026499D"/>
    <w:rsid w:val="0035466D"/>
    <w:rsid w:val="003A025F"/>
    <w:rsid w:val="003B74B2"/>
    <w:rsid w:val="004A1B40"/>
    <w:rsid w:val="004C46F2"/>
    <w:rsid w:val="004F0C39"/>
    <w:rsid w:val="00521CC1"/>
    <w:rsid w:val="00661F4A"/>
    <w:rsid w:val="00671844"/>
    <w:rsid w:val="00701296"/>
    <w:rsid w:val="00736799"/>
    <w:rsid w:val="00747F50"/>
    <w:rsid w:val="008479B5"/>
    <w:rsid w:val="008734C7"/>
    <w:rsid w:val="00880910"/>
    <w:rsid w:val="008A74CB"/>
    <w:rsid w:val="008B4B09"/>
    <w:rsid w:val="008B77FD"/>
    <w:rsid w:val="008C704D"/>
    <w:rsid w:val="008F313C"/>
    <w:rsid w:val="008F3F60"/>
    <w:rsid w:val="009070A5"/>
    <w:rsid w:val="00931C8B"/>
    <w:rsid w:val="00951695"/>
    <w:rsid w:val="009975E2"/>
    <w:rsid w:val="00A156A3"/>
    <w:rsid w:val="00A22517"/>
    <w:rsid w:val="00A44CF3"/>
    <w:rsid w:val="00A761BB"/>
    <w:rsid w:val="00A95470"/>
    <w:rsid w:val="00AD50D6"/>
    <w:rsid w:val="00B16EDA"/>
    <w:rsid w:val="00B36668"/>
    <w:rsid w:val="00B40B04"/>
    <w:rsid w:val="00B634FE"/>
    <w:rsid w:val="00C728C6"/>
    <w:rsid w:val="00C86627"/>
    <w:rsid w:val="00CA3CFE"/>
    <w:rsid w:val="00CC6E67"/>
    <w:rsid w:val="00CD1921"/>
    <w:rsid w:val="00D03191"/>
    <w:rsid w:val="00D06AAB"/>
    <w:rsid w:val="00D229D1"/>
    <w:rsid w:val="00D62C79"/>
    <w:rsid w:val="00DA39E8"/>
    <w:rsid w:val="00E47413"/>
    <w:rsid w:val="00E705AD"/>
    <w:rsid w:val="00EA5D10"/>
    <w:rsid w:val="00ED194E"/>
    <w:rsid w:val="00F02043"/>
    <w:rsid w:val="00F21DCE"/>
    <w:rsid w:val="00F54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0823"/>
  <w15:chartTrackingRefBased/>
  <w15:docId w15:val="{52528725-E498-41EE-808B-6891A8B2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2437"/>
    <w:pPr>
      <w:ind w:left="720"/>
      <w:contextualSpacing/>
    </w:pPr>
  </w:style>
  <w:style w:type="paragraph" w:styleId="FootnoteText">
    <w:name w:val="footnote text"/>
    <w:basedOn w:val="Normal"/>
    <w:link w:val="FootnoteTextChar"/>
    <w:uiPriority w:val="99"/>
    <w:semiHidden/>
    <w:unhideWhenUsed/>
    <w:rsid w:val="002424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2437"/>
    <w:rPr>
      <w:sz w:val="20"/>
      <w:szCs w:val="20"/>
    </w:rPr>
  </w:style>
  <w:style w:type="character" w:styleId="FootnoteReference">
    <w:name w:val="footnote reference"/>
    <w:basedOn w:val="DefaultParagraphFont"/>
    <w:uiPriority w:val="99"/>
    <w:semiHidden/>
    <w:unhideWhenUsed/>
    <w:rsid w:val="00242437"/>
    <w:rPr>
      <w:vertAlign w:val="superscript"/>
    </w:rPr>
  </w:style>
  <w:style w:type="paragraph" w:styleId="BalloonText">
    <w:name w:val="Balloon Text"/>
    <w:basedOn w:val="Normal"/>
    <w:link w:val="BalloonTextChar"/>
    <w:uiPriority w:val="99"/>
    <w:semiHidden/>
    <w:unhideWhenUsed/>
    <w:rsid w:val="004A1B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B40"/>
    <w:rPr>
      <w:rFonts w:ascii="Segoe UI" w:hAnsi="Segoe UI" w:cs="Segoe UI"/>
      <w:sz w:val="18"/>
      <w:szCs w:val="18"/>
    </w:rPr>
  </w:style>
  <w:style w:type="character" w:styleId="CommentReference">
    <w:name w:val="annotation reference"/>
    <w:basedOn w:val="DefaultParagraphFont"/>
    <w:uiPriority w:val="99"/>
    <w:semiHidden/>
    <w:unhideWhenUsed/>
    <w:rsid w:val="004A1B40"/>
    <w:rPr>
      <w:sz w:val="16"/>
      <w:szCs w:val="16"/>
    </w:rPr>
  </w:style>
  <w:style w:type="paragraph" w:styleId="CommentText">
    <w:name w:val="annotation text"/>
    <w:basedOn w:val="Normal"/>
    <w:link w:val="CommentTextChar"/>
    <w:uiPriority w:val="99"/>
    <w:semiHidden/>
    <w:unhideWhenUsed/>
    <w:rsid w:val="004A1B40"/>
    <w:pPr>
      <w:spacing w:line="240" w:lineRule="auto"/>
    </w:pPr>
    <w:rPr>
      <w:sz w:val="20"/>
      <w:szCs w:val="20"/>
    </w:rPr>
  </w:style>
  <w:style w:type="character" w:customStyle="1" w:styleId="CommentTextChar">
    <w:name w:val="Comment Text Char"/>
    <w:basedOn w:val="DefaultParagraphFont"/>
    <w:link w:val="CommentText"/>
    <w:uiPriority w:val="99"/>
    <w:semiHidden/>
    <w:rsid w:val="004A1B40"/>
    <w:rPr>
      <w:sz w:val="20"/>
      <w:szCs w:val="20"/>
    </w:rPr>
  </w:style>
  <w:style w:type="paragraph" w:styleId="CommentSubject">
    <w:name w:val="annotation subject"/>
    <w:basedOn w:val="CommentText"/>
    <w:next w:val="CommentText"/>
    <w:link w:val="CommentSubjectChar"/>
    <w:uiPriority w:val="99"/>
    <w:semiHidden/>
    <w:unhideWhenUsed/>
    <w:rsid w:val="004A1B40"/>
    <w:rPr>
      <w:b/>
      <w:bCs/>
    </w:rPr>
  </w:style>
  <w:style w:type="character" w:customStyle="1" w:styleId="CommentSubjectChar">
    <w:name w:val="Comment Subject Char"/>
    <w:basedOn w:val="CommentTextChar"/>
    <w:link w:val="CommentSubject"/>
    <w:uiPriority w:val="99"/>
    <w:semiHidden/>
    <w:rsid w:val="004A1B40"/>
    <w:rPr>
      <w:b/>
      <w:bCs/>
      <w:sz w:val="20"/>
      <w:szCs w:val="20"/>
    </w:rPr>
  </w:style>
  <w:style w:type="table" w:styleId="TableGrid">
    <w:name w:val="Table Grid"/>
    <w:basedOn w:val="TableNormal"/>
    <w:uiPriority w:val="39"/>
    <w:rsid w:val="00847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3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4FE"/>
  </w:style>
  <w:style w:type="paragraph" w:styleId="Footer">
    <w:name w:val="footer"/>
    <w:basedOn w:val="Normal"/>
    <w:link w:val="FooterChar"/>
    <w:uiPriority w:val="99"/>
    <w:unhideWhenUsed/>
    <w:rsid w:val="00B63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49661">
      <w:bodyDiv w:val="1"/>
      <w:marLeft w:val="0"/>
      <w:marRight w:val="0"/>
      <w:marTop w:val="0"/>
      <w:marBottom w:val="0"/>
      <w:divBdr>
        <w:top w:val="none" w:sz="0" w:space="0" w:color="auto"/>
        <w:left w:val="none" w:sz="0" w:space="0" w:color="auto"/>
        <w:bottom w:val="none" w:sz="0" w:space="0" w:color="auto"/>
        <w:right w:val="none" w:sz="0" w:space="0" w:color="auto"/>
      </w:divBdr>
    </w:div>
    <w:div w:id="291862933">
      <w:bodyDiv w:val="1"/>
      <w:marLeft w:val="0"/>
      <w:marRight w:val="0"/>
      <w:marTop w:val="0"/>
      <w:marBottom w:val="0"/>
      <w:divBdr>
        <w:top w:val="none" w:sz="0" w:space="0" w:color="auto"/>
        <w:left w:val="none" w:sz="0" w:space="0" w:color="auto"/>
        <w:bottom w:val="none" w:sz="0" w:space="0" w:color="auto"/>
        <w:right w:val="none" w:sz="0" w:space="0" w:color="auto"/>
      </w:divBdr>
    </w:div>
    <w:div w:id="471869349">
      <w:bodyDiv w:val="1"/>
      <w:marLeft w:val="0"/>
      <w:marRight w:val="0"/>
      <w:marTop w:val="0"/>
      <w:marBottom w:val="0"/>
      <w:divBdr>
        <w:top w:val="none" w:sz="0" w:space="0" w:color="auto"/>
        <w:left w:val="none" w:sz="0" w:space="0" w:color="auto"/>
        <w:bottom w:val="none" w:sz="0" w:space="0" w:color="auto"/>
        <w:right w:val="none" w:sz="0" w:space="0" w:color="auto"/>
      </w:divBdr>
    </w:div>
    <w:div w:id="51284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2021-07-13T13:08:00Z</dcterms:created>
  <dcterms:modified xsi:type="dcterms:W3CDTF">2021-07-16T09:50:00Z</dcterms:modified>
</cp:coreProperties>
</file>