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i w:val="0"/>
          <w:color w:val="555555"/>
          <w:sz w:val="22"/>
        </w:rPr>
        <w:t>DUOC UC · ESCUELA DE INFORMÁTICA Y TELECOMUNICACIONES</w:t>
      </w:r>
    </w:p>
    <w:p>
      <w:pPr>
        <w:jc w:val="center"/>
      </w:pPr>
      <w:r>
        <w:rPr>
          <w:b/>
          <w:i w:val="0"/>
          <w:color w:val="1F3F66"/>
          <w:sz w:val="60"/>
        </w:rPr>
        <w:t>Informe técnico</w:t>
      </w:r>
    </w:p>
    <w:p>
      <w:pPr>
        <w:jc w:val="center"/>
      </w:pPr>
      <w:r>
        <w:rPr>
          <w:b w:val="0"/>
          <w:i w:val="0"/>
          <w:color w:val="2F5D8C"/>
          <w:sz w:val="32"/>
        </w:rPr>
        <w:t>Desarrollo Backend Avanzado: Spring Cloud y Batch</w:t>
      </w:r>
    </w:p>
    <w:p>
      <w:pPr>
        <w:jc w:val="center"/>
      </w:pPr>
      <w:r>
        <w:rPr>
          <w:b w:val="0"/>
          <w:i/>
          <w:sz w:val="24"/>
        </w:rPr>
        <w:t>Modernización del sistema legacy del Banco XYZ hacia microservicios en la nube</w:t>
      </w:r>
    </w:p>
    <w:p/>
    <w:p/>
    <w:p>
      <w:pPr>
        <w:jc w:val="center"/>
      </w:pPr>
      <w:r>
        <w:rPr>
          <w:b w:val="0"/>
          <w:i w:val="0"/>
        </w:rPr>
      </w:r>
      <w:r>
        <w:rPr>
          <w:b/>
        </w:rPr>
        <w:t xml:space="preserve">Asignatura: </w:t>
      </w:r>
      <w:r>
        <w:t>Desarrollo Backend III (PBY2203)</w:t>
      </w:r>
    </w:p>
    <w:p>
      <w:pPr>
        <w:jc w:val="center"/>
      </w:pPr>
      <w:r>
        <w:rPr>
          <w:b w:val="0"/>
          <w:i w:val="0"/>
        </w:rPr>
      </w:r>
      <w:r>
        <w:rPr>
          <w:b/>
        </w:rPr>
        <w:t xml:space="preserve">Evaluación: </w:t>
      </w:r>
      <w:r>
        <w:t>Evaluación Final Transversal · Semana 9</w:t>
      </w:r>
    </w:p>
    <w:p>
      <w:pPr>
        <w:jc w:val="center"/>
      </w:pPr>
      <w:r>
        <w:rPr>
          <w:b w:val="0"/>
          <w:i w:val="0"/>
        </w:rPr>
      </w:r>
      <w:r>
        <w:rPr>
          <w:b/>
        </w:rPr>
        <w:t xml:space="preserve">Estudiante: </w:t>
      </w:r>
      <w:r>
        <w:t>Bayro Rañileo</w:t>
      </w:r>
    </w:p>
    <w:p>
      <w:pPr>
        <w:jc w:val="center"/>
      </w:pPr>
      <w:r>
        <w:rPr>
          <w:b w:val="0"/>
          <w:i w:val="0"/>
        </w:rPr>
      </w:r>
      <w:r>
        <w:rPr>
          <w:b/>
        </w:rPr>
        <w:t xml:space="preserve">Docente: </w:t>
      </w:r>
      <w:r>
        <w:t>Alonso Esteban Castillo Pizarro</w:t>
      </w:r>
    </w:p>
    <w:p>
      <w:pPr>
        <w:jc w:val="center"/>
      </w:pPr>
      <w:r>
        <w:rPr>
          <w:b w:val="0"/>
          <w:i w:val="0"/>
        </w:rPr>
      </w:r>
      <w:r>
        <w:rPr>
          <w:b/>
        </w:rPr>
        <w:t xml:space="preserve">Fecha: </w:t>
      </w:r>
      <w:r>
        <w:t>Octubre de 2026</w:t>
      </w:r>
    </w:p>
    <w:p>
      <w:pPr>
        <w:jc w:val="center"/>
      </w:pPr>
      <w:r>
        <w:rPr>
          <w:b w:val="0"/>
          <w:i w:val="0"/>
        </w:rPr>
      </w:r>
      <w:r>
        <w:rPr>
          <w:b/>
        </w:rPr>
        <w:t xml:space="preserve">Repositorio: </w:t>
      </w:r>
      <w:r>
        <w:t>https://github.com/BayroBastian2025/EFT_S9_Bayro_Ranileo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rPr>
          <w:b w:val="0"/>
          <w:i w:val="0"/>
        </w:rPr>
        <w:t>El Banco XYZ opera con un sistema legacy (COBOL y scripts Shell sobre mainframe) que procesa transacciones, calcula intereses, genera estados de cuenta y gestiona clientes. Ese sistema es difícil de escalar, caro de mantener y complicado de integrar con tecnologías nuevas.</w:t>
      </w:r>
    </w:p>
    <w:p>
      <w:r>
        <w:rPr>
          <w:b w:val="0"/>
          <w:i w:val="0"/>
        </w:rPr>
        <w:t>Este proyecto lo moderniza con una arquitectura de microservicios en Spring Boot y Spring Cloud, empaquetada en Docker y lista para AWS. Se construyó sobre el trabajo de la semana anterior (OAuth2, BFF, Resilience4j, Kafka y Docker) y se le agregó lo que faltaba: los procesos batch con Spring Batch, la división del backend en tres microservicios de negocio, el registro de servicios (Eureka), la configuración centralizada (Config Server) y una puerta de entrada con balanceo de carga (API Gateway).</w:t>
      </w:r>
    </w:p>
    <w:p>
      <w:r>
        <w:rPr>
          <w:b w:val="0"/>
          <w:i w:val="0"/>
        </w:rPr>
        <w:t>Resultado: 14 contenedores que se levantan con un solo comando (docker compose up), 3 procesos batch que procesan 1.000 registros por archivo omitiendo y documentando los datos inválidos, 3 BFF por canal, 3 microservicios de negocio resilientes, mensajería asíncrona y pruebas automáticas en Postman.</w:t>
      </w:r>
    </w:p>
    <w:p>
      <w:pPr>
        <w:pStyle w:val="Heading1"/>
      </w:pPr>
      <w:r>
        <w:t>2. Procesos clave de la migración</w:t>
      </w:r>
    </w:p>
    <w:p>
      <w:r>
        <w:rPr>
          <w:b w:val="0"/>
          <w:i w:val="0"/>
        </w:rPr>
        <w:t>Se identificaron cinco procesos críticos para pasar del sistema legacy a la arquitectura de microservicios: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454"/>
            <w:shd w:val="clear" w:color="auto" w:fill="1F3F66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381"/>
            <w:shd w:val="clear" w:color="auto" w:fill="1F3F66"/>
          </w:tcPr>
          <w:p>
            <w:r/>
            <w:r>
              <w:rPr>
                <w:b/>
                <w:color w:val="FFFFFF"/>
                <w:sz w:val="20"/>
              </w:rPr>
              <w:t>Proceso clave</w:t>
            </w:r>
          </w:p>
        </w:tc>
        <w:tc>
          <w:tcPr>
            <w:tcW w:type="dxa" w:w="3005"/>
            <w:shd w:val="clear" w:color="auto" w:fill="1F3F66"/>
          </w:tcPr>
          <w:p>
            <w:r/>
            <w:r>
              <w:rPr>
                <w:b/>
                <w:color w:val="FFFFFF"/>
                <w:sz w:val="20"/>
              </w:rPr>
              <w:t>Problema del legacy</w:t>
            </w:r>
          </w:p>
        </w:tc>
        <w:tc>
          <w:tcPr>
            <w:tcW w:type="dxa" w:w="3742"/>
            <w:shd w:val="clear" w:color="auto" w:fill="1F3F66"/>
          </w:tcPr>
          <w:p>
            <w:r/>
            <w:r>
              <w:rPr>
                <w:b/>
                <w:color w:val="FFFFFF"/>
                <w:sz w:val="20"/>
              </w:rPr>
              <w:t>Qué se implementó</w:t>
            </w:r>
          </w:p>
        </w:tc>
      </w:tr>
      <w:tr>
        <w:tc>
          <w:tcPr>
            <w:tcW w:type="dxa" w:w="454"/>
          </w:tcPr>
          <w:p>
            <w:r/>
            <w:r>
              <w:rPr>
                <w:b/>
                <w:sz w:val="19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Migración de procesos batch a Spring Batch</w:t>
            </w:r>
          </w:p>
        </w:tc>
        <w:tc>
          <w:tcPr>
            <w:tcW w:type="dxa" w:w="3005"/>
          </w:tcPr>
          <w:p>
            <w:r/>
            <w:r>
              <w:rPr>
                <w:sz w:val="19"/>
              </w:rPr>
              <w:t>Scripts sin reintentos, sin trazabilidad de errores y de ejecución secuencial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batch-service con 3 jobs: lectura, validación, escritura, skip, retry, multihilo y re-ejecución automática</w:t>
            </w:r>
          </w:p>
        </w:tc>
      </w:tr>
      <w:tr>
        <w:tc>
          <w:tcPr>
            <w:tcW w:type="dxa" w:w="454"/>
          </w:tcPr>
          <w:p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División del monolito en microservicios</w:t>
            </w:r>
          </w:p>
        </w:tc>
        <w:tc>
          <w:tcPr>
            <w:tcW w:type="dxa" w:w="3005"/>
          </w:tcPr>
          <w:p>
            <w:r/>
            <w:r>
              <w:rPr>
                <w:sz w:val="19"/>
              </w:rPr>
              <w:t>Un fallo en un módulo afecta a todo; difícil de escalar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Clientes, Cuentas y Pagos como servicios independientes con su propia base de datos</w:t>
            </w:r>
          </w:p>
        </w:tc>
      </w:tr>
      <w:tr>
        <w:tc>
          <w:tcPr>
            <w:tcW w:type="dxa" w:w="454"/>
          </w:tcPr>
          <w:p>
            <w:r/>
            <w:r>
              <w:rPr>
                <w:b/>
                <w:sz w:val="19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Patrón Backend for Frontend (BFF)</w:t>
            </w:r>
          </w:p>
        </w:tc>
        <w:tc>
          <w:tcPr>
            <w:tcW w:type="dxa" w:w="3005"/>
          </w:tcPr>
          <w:p>
            <w:r/>
            <w:r>
              <w:rPr>
                <w:sz w:val="19"/>
              </w:rPr>
              <w:t>Todos los canales reciben los mismos datos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BFF Web (completo), BFF Móvil (liviano) y BFF Cajero (operaciones críticas)</w:t>
            </w:r>
          </w:p>
        </w:tc>
      </w:tr>
      <w:tr>
        <w:tc>
          <w:tcPr>
            <w:tcW w:type="dxa" w:w="454"/>
          </w:tcPr>
          <w:p>
            <w:r/>
            <w:r>
              <w:rPr>
                <w:b/>
                <w:sz w:val="19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Seguridad distribuida con Spring Security</w:t>
            </w:r>
          </w:p>
        </w:tc>
        <w:tc>
          <w:tcPr>
            <w:tcW w:type="dxa" w:w="3005"/>
          </w:tcPr>
          <w:p>
            <w:r/>
            <w:r>
              <w:rPr>
                <w:sz w:val="19"/>
              </w:rPr>
              <w:t>Seguridad limitada y centralizada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OAuth2: Authorization Server con JWT y scopes por canal; cada servicio valida el token</w:t>
            </w:r>
          </w:p>
        </w:tc>
      </w:tr>
      <w:tr>
        <w:tc>
          <w:tcPr>
            <w:tcW w:type="dxa" w:w="454"/>
          </w:tcPr>
          <w:p>
            <w:r/>
            <w:r>
              <w:rPr>
                <w:b/>
                <w:sz w:val="19"/>
              </w:rPr>
              <w:t>5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Mensajería asíncrona con Kafka</w:t>
            </w:r>
          </w:p>
        </w:tc>
        <w:tc>
          <w:tcPr>
            <w:tcW w:type="dxa" w:w="3005"/>
          </w:tcPr>
          <w:p>
            <w:r/>
            <w:r>
              <w:rPr>
                <w:sz w:val="19"/>
              </w:rPr>
              <w:t>Sistemas acoplados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Pagos publica eventos de transacciones; Notificaciones los consume y genera alertas</w:t>
            </w:r>
          </w:p>
        </w:tc>
      </w:tr>
    </w:tbl>
    <w:p>
      <w:pPr>
        <w:spacing w:after="40"/>
      </w:pPr>
    </w:p>
    <w:p>
      <w:pPr>
        <w:pStyle w:val="Heading1"/>
      </w:pPr>
      <w:r>
        <w:t>3. Propuesta de arquitectura y requerimientos clave del negocio</w:t>
      </w:r>
    </w:p>
    <w:p>
      <w:r>
        <w:rPr>
          <w:b w:val="0"/>
          <w:i w:val="0"/>
        </w:rPr>
        <w:t>A partir del contexto del banco se definieron tres requerimientos clave del negocio. Cada decisión de diseño se justifica contra alguno de ellos.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438"/>
            <w:shd w:val="clear" w:color="auto" w:fill="1F3F66"/>
          </w:tcPr>
          <w:p>
            <w:r/>
            <w:r>
              <w:rPr>
                <w:b/>
                <w:color w:val="FFFFFF"/>
                <w:sz w:val="20"/>
              </w:rPr>
              <w:t>Requerimiento del negocio</w:t>
            </w:r>
          </w:p>
        </w:tc>
        <w:tc>
          <w:tcPr>
            <w:tcW w:type="dxa" w:w="3288"/>
            <w:shd w:val="clear" w:color="auto" w:fill="1F3F66"/>
          </w:tcPr>
          <w:p>
            <w:r/>
            <w:r>
              <w:rPr>
                <w:b/>
                <w:color w:val="FFFFFF"/>
                <w:sz w:val="20"/>
              </w:rPr>
              <w:t>Decisión de arquitectura</w:t>
            </w:r>
          </w:p>
        </w:tc>
        <w:tc>
          <w:tcPr>
            <w:tcW w:type="dxa" w:w="3855"/>
            <w:shd w:val="clear" w:color="auto" w:fill="1F3F66"/>
          </w:tcPr>
          <w:p>
            <w:r/>
            <w:r>
              <w:rPr>
                <w:b/>
                <w:color w:val="FFFFFF"/>
                <w:sz w:val="20"/>
              </w:rPr>
              <w:t>Justificación</w:t>
            </w:r>
          </w:p>
        </w:tc>
      </w:tr>
      <w:tr>
        <w:tc>
          <w:tcPr>
            <w:tcW w:type="dxa" w:w="2438"/>
          </w:tcPr>
          <w:p>
            <w:r/>
            <w:r>
              <w:rPr>
                <w:b/>
                <w:sz w:val="19"/>
              </w:rPr>
              <w:t>R1. Escalabilidad y bajo costo de operación (el legacy solo escala en vertical y es caro)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Microservicios en contenedores + Eureka + API Gateway con balanceo (lb://) + Docker Compose / AWS</w:t>
            </w:r>
          </w:p>
        </w:tc>
        <w:tc>
          <w:tcPr>
            <w:tcW w:type="dxa" w:w="3855"/>
          </w:tcPr>
          <w:p>
            <w:r/>
            <w:r>
              <w:rPr>
                <w:sz w:val="19"/>
              </w:rPr>
              <w:t>Cada servicio se replica por separado según su demanda (ej. docker compose up --scale clientes-service=3). Eureka detecta las instancias nuevas sin cambiar configuración.</w:t>
            </w:r>
          </w:p>
        </w:tc>
      </w:tr>
      <w:tr>
        <w:tc>
          <w:tcPr>
            <w:tcW w:type="dxa" w:w="2438"/>
          </w:tcPr>
          <w:p>
            <w:r/>
            <w:r>
              <w:rPr>
                <w:b/>
                <w:sz w:val="19"/>
              </w:rPr>
              <w:t>R2. Disponibilidad y continuidad de operaciones críticas (retiros, pagos)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Resilience4j (Circuit Breaker, Retry, Bulkhead, timeouts, fallback), Kafka y compensación (saga) entre Pagos y Cuentas</w:t>
            </w:r>
          </w:p>
        </w:tc>
        <w:tc>
          <w:tcPr>
            <w:tcW w:type="dxa" w:w="3855"/>
          </w:tcPr>
          <w:p>
            <w:r/>
            <w:r>
              <w:rPr>
                <w:sz w:val="19"/>
              </w:rPr>
              <w:t>Si Cuentas cae, Pagos responde rápido con un 503 controlado en vez de colgarse. Un fallo de Kafka no revierte el retiro. Si algo falla a mitad de una transferencia, el dinero se devuelve.</w:t>
            </w:r>
          </w:p>
        </w:tc>
      </w:tr>
      <w:tr>
        <w:tc>
          <w:tcPr>
            <w:tcW w:type="dxa" w:w="2438"/>
          </w:tcPr>
          <w:p>
            <w:r/>
            <w:r>
              <w:rPr>
                <w:b/>
                <w:sz w:val="19"/>
              </w:rPr>
              <w:t>R3. Seguridad de la información financiera y control por canal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OAuth2 con JWT firmado (RS256) y scopes por canal; secretos en variables de entorno; contenedores sin usuario root</w:t>
            </w:r>
          </w:p>
        </w:tc>
        <w:tc>
          <w:tcPr>
            <w:tcW w:type="dxa" w:w="3855"/>
          </w:tcPr>
          <w:p>
            <w:r/>
            <w:r>
              <w:rPr>
                <w:sz w:val="19"/>
              </w:rPr>
              <w:t>Un token de cajero no sirve en la web ni en el móvil (principio de mínimo privilegio). Cada servicio valida el token por sí mismo: no hay un único punto de confianza.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Decisiones complementarias:</w:t>
      </w:r>
    </w:p>
    <w:p>
      <w:pPr>
        <w:pStyle w:val="ListBullet"/>
        <w:spacing w:after="40"/>
      </w:pPr>
      <w:r>
        <w:rPr>
          <w:b/>
        </w:rPr>
        <w:t>Configuración centralizada:</w:t>
      </w:r>
      <w:r>
        <w:t xml:space="preserve"> los parámetros de negocio (tasas de interés, máximo por transferencia, hilos del batch) están en el Config Server y se cambian sin recompilar.</w:t>
      </w:r>
    </w:p>
    <w:p>
      <w:pPr>
        <w:pStyle w:val="ListBullet"/>
        <w:spacing w:after="40"/>
      </w:pPr>
      <w:r>
        <w:rPr>
          <w:b/>
        </w:rPr>
        <w:t>Base de datos por servicio:</w:t>
      </w:r>
      <w:r>
        <w:t xml:space="preserve"> cada microservicio tiene su propia base de datos (H2 en este entorno de evaluación), de modo que pueda evolucionar y escalar de forma independiente.</w:t>
      </w:r>
    </w:p>
    <w:p>
      <w:pPr>
        <w:pStyle w:val="ListBullet"/>
        <w:spacing w:after="40"/>
      </w:pPr>
      <w:r>
        <w:rPr>
          <w:b/>
        </w:rPr>
        <w:t>Cambio mínimo en los BFF:</w:t>
      </w:r>
      <w:r>
        <w:t xml:space="preserve"> los BFF no cambiaron respecto a la semana anterior: solo apuntan al API Gateway. Esto permite que los equipos de frontend y backend avancen en paralelo.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9834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83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9"/>
        </w:rPr>
        <w:t>Figura 1. Diagrama de arquitectura de la plataforma.</w:t>
      </w:r>
    </w:p>
    <w:p>
      <w:pPr>
        <w:pStyle w:val="Heading2"/>
      </w:pPr>
      <w:r>
        <w:t>3.1 Componentes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608"/>
            <w:shd w:val="clear" w:color="auto" w:fill="1F3F66"/>
          </w:tcPr>
          <w:p>
            <w:r/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1871"/>
            <w:shd w:val="clear" w:color="auto" w:fill="1F3F66"/>
          </w:tcPr>
          <w:p>
            <w:r/>
            <w:r>
              <w:rPr>
                <w:b/>
                <w:color w:val="FFFFFF"/>
                <w:sz w:val="20"/>
              </w:rPr>
              <w:t>Puerto</w:t>
            </w:r>
          </w:p>
        </w:tc>
        <w:tc>
          <w:tcPr>
            <w:tcW w:type="dxa" w:w="5102"/>
            <w:shd w:val="clear" w:color="auto" w:fill="1F3F66"/>
          </w:tcPr>
          <w:p>
            <w:r/>
            <w:r>
              <w:rPr>
                <w:b/>
                <w:color w:val="FFFFFF"/>
                <w:sz w:val="20"/>
              </w:rPr>
              <w:t>Responsabilidad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sz w:val="19"/>
              </w:rPr>
              <w:t>auth-server</w:t>
            </w:r>
          </w:p>
        </w:tc>
        <w:tc>
          <w:tcPr>
            <w:tcW w:type="dxa" w:w="1871"/>
          </w:tcPr>
          <w:p>
            <w:r/>
            <w:r>
              <w:rPr>
                <w:sz w:val="19"/>
              </w:rPr>
              <w:t>9000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Emite tokens OAuth2 (JWT). Publica las llaves públicas (JWKS).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sz w:val="19"/>
              </w:rPr>
              <w:t>eureka-server</w:t>
            </w:r>
          </w:p>
        </w:tc>
        <w:tc>
          <w:tcPr>
            <w:tcW w:type="dxa" w:w="1871"/>
          </w:tcPr>
          <w:p>
            <w:r/>
            <w:r>
              <w:rPr>
                <w:sz w:val="19"/>
              </w:rPr>
              <w:t>8761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Registro y descubrimiento de servicios.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sz w:val="19"/>
              </w:rPr>
              <w:t>config-server</w:t>
            </w:r>
          </w:p>
        </w:tc>
        <w:tc>
          <w:tcPr>
            <w:tcW w:type="dxa" w:w="1871"/>
          </w:tcPr>
          <w:p>
            <w:r/>
            <w:r>
              <w:rPr>
                <w:sz w:val="19"/>
              </w:rPr>
              <w:t>8888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Entrega configuración centralizada (carpeta config-repo).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sz w:val="19"/>
              </w:rPr>
              <w:t>api-gateway</w:t>
            </w:r>
          </w:p>
        </w:tc>
        <w:tc>
          <w:tcPr>
            <w:tcW w:type="dxa" w:w="1871"/>
          </w:tcPr>
          <w:p>
            <w:r/>
            <w:r>
              <w:rPr>
                <w:sz w:val="19"/>
              </w:rPr>
              <w:t>8080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Puerta de entrada: enruta por ruta y balancea entre instancias.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sz w:val="19"/>
              </w:rPr>
              <w:t>clientes-service</w:t>
            </w:r>
          </w:p>
        </w:tc>
        <w:tc>
          <w:tcPr>
            <w:tcW w:type="dxa" w:w="1871"/>
          </w:tcPr>
          <w:p>
            <w:r/>
            <w:r>
              <w:rPr>
                <w:sz w:val="19"/>
              </w:rPr>
              <w:t>8102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Alta, consulta y actualización de datos de clientes.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sz w:val="19"/>
              </w:rPr>
              <w:t>cuentas-service</w:t>
            </w:r>
          </w:p>
        </w:tc>
        <w:tc>
          <w:tcPr>
            <w:tcW w:type="dxa" w:w="1871"/>
          </w:tcPr>
          <w:p>
            <w:r/>
            <w:r>
              <w:rPr>
                <w:sz w:val="19"/>
              </w:rPr>
              <w:t>8101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Apertura, cierre/bloqueo, consulta y movimiento de saldos.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sz w:val="19"/>
              </w:rPr>
              <w:t>pagos-service</w:t>
            </w:r>
          </w:p>
        </w:tc>
        <w:tc>
          <w:tcPr>
            <w:tcW w:type="dxa" w:w="1871"/>
          </w:tcPr>
          <w:p>
            <w:r/>
            <w:r>
              <w:rPr>
                <w:sz w:val="19"/>
              </w:rPr>
              <w:t>8103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Retiros, depósitos, pagos y transferencias; historial; productor Kafka.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sz w:val="19"/>
              </w:rPr>
              <w:t>batch-service</w:t>
            </w:r>
          </w:p>
        </w:tc>
        <w:tc>
          <w:tcPr>
            <w:tcW w:type="dxa" w:w="1871"/>
          </w:tcPr>
          <w:p>
            <w:r/>
            <w:r>
              <w:rPr>
                <w:sz w:val="19"/>
              </w:rPr>
              <w:t>8105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3 procesos batch con Spring Batch.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sz w:val="19"/>
              </w:rPr>
              <w:t>bff-web / bff-mobile / bff-atm</w:t>
            </w:r>
          </w:p>
        </w:tc>
        <w:tc>
          <w:tcPr>
            <w:tcW w:type="dxa" w:w="1871"/>
          </w:tcPr>
          <w:p>
            <w:r/>
            <w:r>
              <w:rPr>
                <w:sz w:val="19"/>
              </w:rPr>
              <w:t>8081 / 8082 / 8083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Un backend por canal, con su propio scope.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sz w:val="19"/>
              </w:rPr>
              <w:t>notification-service</w:t>
            </w:r>
          </w:p>
        </w:tc>
        <w:tc>
          <w:tcPr>
            <w:tcW w:type="dxa" w:w="1871"/>
          </w:tcPr>
          <w:p>
            <w:r/>
            <w:r>
              <w:rPr>
                <w:sz w:val="19"/>
              </w:rPr>
              <w:t>8084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Consume eventos de Kafka y genera notificaciones y alertas.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sz w:val="19"/>
              </w:rPr>
              <w:t>kafka / kafka-ui</w:t>
            </w:r>
          </w:p>
        </w:tc>
        <w:tc>
          <w:tcPr>
            <w:tcW w:type="dxa" w:w="1871"/>
          </w:tcPr>
          <w:p>
            <w:r/>
            <w:r>
              <w:rPr>
                <w:sz w:val="19"/>
              </w:rPr>
              <w:t>29092 / 8090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Bus de eventos y su interfaz web.</w:t>
            </w:r>
          </w:p>
        </w:tc>
      </w:tr>
    </w:tbl>
    <w:p>
      <w:pPr>
        <w:spacing w:after="40"/>
      </w:pPr>
    </w:p>
    <w:p>
      <w:pPr>
        <w:pStyle w:val="Heading2"/>
      </w:pPr>
      <w:r>
        <w:t>3.2 Casos de uso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4130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413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9"/>
        </w:rPr>
        <w:t>Figura 2. Casos de uso principales.</w:t>
      </w:r>
    </w:p>
    <w:p>
      <w:pPr>
        <w:pStyle w:val="Heading1"/>
      </w:pPr>
      <w:r>
        <w:t>4. Migración de procesos batch (Spring Batch)</w:t>
      </w:r>
    </w:p>
    <w:p>
      <w:r>
        <w:rPr>
          <w:b w:val="0"/>
          <w:i w:val="0"/>
        </w:rPr>
        <w:t>Los tres procesos del legacy se reescribieron como jobs de Spring Batch en el servicio batch-service. Los datos de entrada son los CSV del repositorio fin_legacy_data, que traen errores intencionales (fechas en 4 formatos, montos vacíos o negativos, tipos inválidos, edades imposibles y duplicados).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098"/>
            <w:shd w:val="clear" w:color="auto" w:fill="1F3F66"/>
          </w:tcPr>
          <w:p>
            <w:r/>
            <w:r>
              <w:rPr>
                <w:b/>
                <w:color w:val="FFFFFF"/>
                <w:sz w:val="20"/>
              </w:rPr>
              <w:t>Job</w:t>
            </w:r>
          </w:p>
        </w:tc>
        <w:tc>
          <w:tcPr>
            <w:tcW w:type="dxa" w:w="2211"/>
            <w:shd w:val="clear" w:color="auto" w:fill="1F3F66"/>
          </w:tcPr>
          <w:p>
            <w:r/>
            <w:r>
              <w:rPr>
                <w:b/>
                <w:color w:val="FFFFFF"/>
                <w:sz w:val="20"/>
              </w:rPr>
              <w:t>Archivo de entrada</w:t>
            </w:r>
          </w:p>
        </w:tc>
        <w:tc>
          <w:tcPr>
            <w:tcW w:type="dxa" w:w="3515"/>
            <w:shd w:val="clear" w:color="auto" w:fill="1F3F66"/>
          </w:tcPr>
          <w:p>
            <w:r/>
            <w:r>
              <w:rPr>
                <w:b/>
                <w:color w:val="FFFFFF"/>
                <w:sz w:val="20"/>
              </w:rPr>
              <w:t>Reglas aplicadas</w:t>
            </w:r>
          </w:p>
        </w:tc>
        <w:tc>
          <w:tcPr>
            <w:tcW w:type="dxa" w:w="1757"/>
            <w:shd w:val="clear" w:color="auto" w:fill="1F3F66"/>
          </w:tcPr>
          <w:p>
            <w:r/>
            <w:r>
              <w:rPr>
                <w:b/>
                <w:color w:val="FFFFFF"/>
                <w:sz w:val="20"/>
              </w:rPr>
              <w:t>Salida</w:t>
            </w:r>
          </w:p>
        </w:tc>
      </w:tr>
      <w:tr>
        <w:tc>
          <w:tcPr>
            <w:tcW w:type="dxa" w:w="2098"/>
          </w:tcPr>
          <w:p>
            <w:r/>
            <w:r>
              <w:rPr>
                <w:b/>
                <w:sz w:val="19"/>
              </w:rPr>
              <w:t>reporteTransaccionesDiariasJob</w:t>
            </w:r>
          </w:p>
        </w:tc>
        <w:tc>
          <w:tcPr>
            <w:tcW w:type="dxa" w:w="2211"/>
          </w:tcPr>
          <w:p>
            <w:r/>
            <w:r>
              <w:rPr>
                <w:sz w:val="19"/>
              </w:rPr>
              <w:t>movimientos_financieros_diarios.csv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Fecha válida (4 formatos), monto mayor a 0, tipo crédito/débito. Marca como anomalía los montos altos (≥ $3.000).</w:t>
            </w:r>
          </w:p>
        </w:tc>
        <w:tc>
          <w:tcPr>
            <w:tcW w:type="dxa" w:w="1757"/>
          </w:tcPr>
          <w:p>
            <w:r/>
            <w:r>
              <w:rPr>
                <w:sz w:val="19"/>
              </w:rPr>
              <w:t>Tabla y CSV con cantidad, total y anomalías por día y tipo</w:t>
            </w:r>
          </w:p>
        </w:tc>
      </w:tr>
      <w:tr>
        <w:tc>
          <w:tcPr>
            <w:tcW w:type="dxa" w:w="2098"/>
          </w:tcPr>
          <w:p>
            <w:r/>
            <w:r>
              <w:rPr>
                <w:b/>
                <w:sz w:val="19"/>
              </w:rPr>
              <w:t>calculoInteresesTrimestralesJob</w:t>
            </w:r>
          </w:p>
        </w:tc>
        <w:tc>
          <w:tcPr>
            <w:tcW w:type="dxa" w:w="2211"/>
          </w:tcPr>
          <w:p>
            <w:r/>
            <w:r>
              <w:rPr>
                <w:sz w:val="19"/>
              </w:rPr>
              <w:t>intereses_trimestrales.csv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Saldo presente y positivo, edad entre 18 y 120, tipo ahorro/préstamo/hipoteca, sin duplicados. Interés = saldo × tasa (ahorro se abona; préstamo e hipoteca se cargan).</w:t>
            </w:r>
          </w:p>
        </w:tc>
        <w:tc>
          <w:tcPr>
            <w:tcW w:type="dxa" w:w="1757"/>
          </w:tcPr>
          <w:p>
            <w:r/>
            <w:r>
              <w:rPr>
                <w:sz w:val="19"/>
              </w:rPr>
              <w:t>Tabla y CSV con saldo e interés por tipo</w:t>
            </w:r>
          </w:p>
        </w:tc>
      </w:tr>
      <w:tr>
        <w:tc>
          <w:tcPr>
            <w:tcW w:type="dxa" w:w="2098"/>
          </w:tcPr>
          <w:p>
            <w:r/>
            <w:r>
              <w:rPr>
                <w:b/>
                <w:sz w:val="19"/>
              </w:rPr>
              <w:t>estadosFinancierosAnualesJob</w:t>
            </w:r>
          </w:p>
        </w:tc>
        <w:tc>
          <w:tcPr>
            <w:tcW w:type="dxa" w:w="2211"/>
          </w:tcPr>
          <w:p>
            <w:r/>
            <w:r>
              <w:rPr>
                <w:sz w:val="19"/>
              </w:rPr>
              <w:t>estados_financieros_anuales.csv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Fecha válida, tipo normalizado (Depósito → deposito), monto distinto de cero, depósitos no negativos; descripción vacía se completa.</w:t>
            </w:r>
          </w:p>
        </w:tc>
        <w:tc>
          <w:tcPr>
            <w:tcW w:type="dxa" w:w="1757"/>
          </w:tcPr>
          <w:p>
            <w:r/>
            <w:r>
              <w:rPr>
                <w:sz w:val="19"/>
              </w:rPr>
              <w:t>Tabla y CSV con ingresos, egresos y saldo neto por cuenta</w:t>
            </w:r>
          </w:p>
        </w:tc>
      </w:tr>
    </w:tbl>
    <w:p>
      <w:pPr>
        <w:spacing w:after="40"/>
      </w:pPr>
    </w:p>
    <w:p>
      <w:pPr>
        <w:pStyle w:val="Heading2"/>
      </w:pPr>
      <w:r>
        <w:t>4.1 Cómo se cumplen los requerimientos</w:t>
      </w:r>
    </w:p>
    <w:p>
      <w:pPr>
        <w:pStyle w:val="ListBullet"/>
        <w:spacing w:after="40"/>
      </w:pPr>
      <w:r>
        <w:rPr>
          <w:b/>
        </w:rPr>
        <w:t>Steps leer, procesar, escribir:</w:t>
      </w:r>
      <w:r>
        <w:t xml:space="preserve"> cada job tiene un paso de carga (lector CSV → procesador → escritor JDBC) y un paso final que genera el reporte.</w:t>
      </w:r>
    </w:p>
    <w:p>
      <w:pPr>
        <w:pStyle w:val="ListBullet"/>
        <w:spacing w:after="40"/>
      </w:pPr>
      <w:r>
        <w:rPr>
          <w:b/>
        </w:rPr>
        <w:t>Excepciones y reintentos:</w:t>
      </w:r>
      <w:r>
        <w:t xml:space="preserve"> las filas inválidas se omiten (skip) y se guardan con su motivo en la tabla registros_rechazados, sin detener el proceso. Los errores transitorios de base de datos se reintentan 3 veces con espera.</w:t>
      </w:r>
    </w:p>
    <w:p>
      <w:pPr>
        <w:pStyle w:val="ListBullet"/>
        <w:spacing w:after="40"/>
      </w:pPr>
      <w:r>
        <w:rPr>
          <w:b/>
        </w:rPr>
        <w:t>Optimización y volumen:</w:t>
      </w:r>
      <w:r>
        <w:t xml:space="preserve"> el paso de carga usa 4 hilos y bloques (chunks) de 50 registros, con un lector sincronizado y escritura por lotes.</w:t>
      </w:r>
    </w:p>
    <w:p>
      <w:pPr>
        <w:pStyle w:val="ListBullet"/>
        <w:spacing w:after="40"/>
      </w:pPr>
      <w:r>
        <w:rPr>
          <w:b/>
        </w:rPr>
        <w:t>Políticas de finalización y re-ejecución:</w:t>
      </w:r>
      <w:r>
        <w:t xml:space="preserve"> si los rechazos superan el límite (900), el job termina en FAILED. El orquestador lo vuelve a lanzar automáticamente hasta 3 veces con los mismos parámetros (Spring Batch lo trata como un reinicio).</w:t>
      </w:r>
    </w:p>
    <w:p>
      <w:pPr>
        <w:pStyle w:val="ListBullet"/>
        <w:spacing w:after="40"/>
      </w:pPr>
      <w:r>
        <w:rPr>
          <w:b/>
        </w:rPr>
        <w:t>Integridad y equivalencia:</w:t>
      </w:r>
      <w:r>
        <w:t xml:space="preserve"> la carga borra lo anterior antes de cada (re)ejecución, así un reintento no duplica registros. Las reglas replican las del legacy sobre los mismos archivos.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37091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t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3709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9"/>
        </w:rPr>
        <w:t>Figura 3. Flujo de un job de Spring Batch.</w:t>
      </w:r>
    </w:p>
    <w:p>
      <w:r>
        <w:rPr>
          <w:b/>
          <w:i w:val="0"/>
        </w:rPr>
        <w:t>Resultados esperados con el archivo de 1.000 filas (semana_3):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3515"/>
            <w:shd w:val="clear" w:color="auto" w:fill="1F3F66"/>
          </w:tcPr>
          <w:p>
            <w:r/>
            <w:r>
              <w:rPr>
                <w:b/>
                <w:color w:val="FFFFFF"/>
                <w:sz w:val="20"/>
              </w:rPr>
              <w:t>Job</w:t>
            </w:r>
          </w:p>
        </w:tc>
        <w:tc>
          <w:tcPr>
            <w:tcW w:type="dxa" w:w="1701"/>
            <w:shd w:val="clear" w:color="auto" w:fill="1F3F66"/>
          </w:tcPr>
          <w:p>
            <w:r/>
            <w:r>
              <w:rPr>
                <w:b/>
                <w:color w:val="FFFFFF"/>
                <w:sz w:val="20"/>
              </w:rPr>
              <w:t>Leídas</w:t>
            </w:r>
          </w:p>
        </w:tc>
        <w:tc>
          <w:tcPr>
            <w:tcW w:type="dxa" w:w="2268"/>
            <w:shd w:val="clear" w:color="auto" w:fill="1F3F66"/>
          </w:tcPr>
          <w:p>
            <w:r/>
            <w:r>
              <w:rPr>
                <w:b/>
                <w:color w:val="FFFFFF"/>
                <w:sz w:val="20"/>
              </w:rPr>
              <w:t>Escritas (válidas)</w:t>
            </w:r>
          </w:p>
        </w:tc>
        <w:tc>
          <w:tcPr>
            <w:tcW w:type="dxa" w:w="2098"/>
            <w:shd w:val="clear" w:color="auto" w:fill="1F3F66"/>
          </w:tcPr>
          <w:p>
            <w:r/>
            <w:r>
              <w:rPr>
                <w:b/>
                <w:color w:val="FFFFFF"/>
                <w:sz w:val="20"/>
              </w:rPr>
              <w:t>Omitidas (rechazadas)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  <w:sz w:val="19"/>
              </w:rPr>
              <w:t>Transacciones diarias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1.000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392</w:t>
            </w:r>
          </w:p>
        </w:tc>
        <w:tc>
          <w:tcPr>
            <w:tcW w:type="dxa" w:w="2098"/>
          </w:tcPr>
          <w:p>
            <w:r/>
            <w:r>
              <w:rPr>
                <w:sz w:val="19"/>
              </w:rPr>
              <w:t>608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  <w:sz w:val="19"/>
              </w:rPr>
              <w:t>Intereses trimestrales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1.000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421</w:t>
            </w:r>
          </w:p>
        </w:tc>
        <w:tc>
          <w:tcPr>
            <w:tcW w:type="dxa" w:w="2098"/>
          </w:tcPr>
          <w:p>
            <w:r/>
            <w:r>
              <w:rPr>
                <w:sz w:val="19"/>
              </w:rPr>
              <w:t>579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  <w:sz w:val="19"/>
              </w:rPr>
              <w:t>Estados anuales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1.000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759</w:t>
            </w:r>
          </w:p>
        </w:tc>
        <w:tc>
          <w:tcPr>
            <w:tcW w:type="dxa" w:w="2098"/>
          </w:tcPr>
          <w:p>
            <w:r/>
            <w:r>
              <w:rPr>
                <w:sz w:val="19"/>
              </w:rPr>
              <w:t>241</w:t>
            </w:r>
          </w:p>
        </w:tc>
      </w:tr>
    </w:tbl>
    <w:p>
      <w:pPr>
        <w:spacing w:after="40"/>
      </w:pPr>
    </w:p>
    <w:p>
      <w:pPr>
        <w:pStyle w:val="Heading1"/>
      </w:pPr>
      <w:r>
        <w:t>5. Patrón Backend for Frontend (BFF)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1871"/>
            <w:shd w:val="clear" w:color="auto" w:fill="1F3F66"/>
          </w:tcPr>
          <w:p>
            <w:r/>
            <w:r>
              <w:rPr>
                <w:b/>
                <w:color w:val="FFFFFF"/>
                <w:sz w:val="20"/>
              </w:rPr>
              <w:t>BFF</w:t>
            </w:r>
          </w:p>
        </w:tc>
        <w:tc>
          <w:tcPr>
            <w:tcW w:type="dxa" w:w="1531"/>
            <w:shd w:val="clear" w:color="auto" w:fill="1F3F66"/>
          </w:tcPr>
          <w:p>
            <w:r/>
            <w:r>
              <w:rPr>
                <w:b/>
                <w:color w:val="FFFFFF"/>
                <w:sz w:val="20"/>
              </w:rPr>
              <w:t>Scope</w:t>
            </w:r>
          </w:p>
        </w:tc>
        <w:tc>
          <w:tcPr>
            <w:tcW w:type="dxa" w:w="3402"/>
            <w:shd w:val="clear" w:color="auto" w:fill="1F3F66"/>
          </w:tcPr>
          <w:p>
            <w:r/>
            <w:r>
              <w:rPr>
                <w:b/>
                <w:color w:val="FFFFFF"/>
                <w:sz w:val="20"/>
              </w:rPr>
              <w:t>Optimización</w:t>
            </w:r>
          </w:p>
        </w:tc>
        <w:tc>
          <w:tcPr>
            <w:tcW w:type="dxa" w:w="2778"/>
            <w:shd w:val="clear" w:color="auto" w:fill="1F3F66"/>
          </w:tcPr>
          <w:p>
            <w:r/>
            <w:r>
              <w:rPr>
                <w:b/>
                <w:color w:val="FFFFFF"/>
                <w:sz w:val="20"/>
              </w:rPr>
              <w:t>Seguridad específica</w:t>
            </w:r>
          </w:p>
        </w:tc>
      </w:tr>
      <w:tr>
        <w:tc>
          <w:tcPr>
            <w:tcW w:type="dxa" w:w="1871"/>
          </w:tcPr>
          <w:p>
            <w:r/>
            <w:r>
              <w:rPr>
                <w:b/>
                <w:sz w:val="19"/>
              </w:rPr>
              <w:t>bff-web (8081)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web.access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Dashboard completo: cliente, cuentas e historial completo</w:t>
            </w:r>
          </w:p>
        </w:tc>
        <w:tc>
          <w:tcPr>
            <w:tcW w:type="dxa" w:w="2778"/>
          </w:tcPr>
          <w:p>
            <w:r/>
            <w:r>
              <w:rPr>
                <w:sz w:val="19"/>
              </w:rPr>
              <w:t>Historial degrada a lista vacía si el servicio falla (fallback)</w:t>
            </w:r>
          </w:p>
        </w:tc>
      </w:tr>
      <w:tr>
        <w:tc>
          <w:tcPr>
            <w:tcW w:type="dxa" w:w="1871"/>
          </w:tcPr>
          <w:p>
            <w:r/>
            <w:r>
              <w:rPr>
                <w:b/>
                <w:sz w:val="19"/>
              </w:rPr>
              <w:t>bff-mobile (8082)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mobile.access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Respuesta liviana: saldo y solo los últimos 5 movimientos</w:t>
            </w:r>
          </w:p>
        </w:tc>
        <w:tc>
          <w:tcPr>
            <w:tcW w:type="dxa" w:w="2778"/>
          </w:tcPr>
          <w:p>
            <w:r/>
            <w:r>
              <w:rPr>
                <w:sz w:val="19"/>
              </w:rPr>
              <w:t>Scope exclusivo de la app móvil</w:t>
            </w:r>
          </w:p>
        </w:tc>
      </w:tr>
      <w:tr>
        <w:tc>
          <w:tcPr>
            <w:tcW w:type="dxa" w:w="1871"/>
          </w:tcPr>
          <w:p>
            <w:r/>
            <w:r>
              <w:rPr>
                <w:b/>
                <w:sz w:val="19"/>
              </w:rPr>
              <w:t>bff-atm (8083)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atm.operate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Solo saldo y retiro; valida el límite diario del cajero</w:t>
            </w:r>
          </w:p>
        </w:tc>
        <w:tc>
          <w:tcPr>
            <w:tcW w:type="dxa" w:w="2778"/>
          </w:tcPr>
          <w:p>
            <w:r/>
            <w:r>
              <w:rPr>
                <w:sz w:val="19"/>
              </w:rPr>
              <w:t>El retiro no se reintenta (no es idempotente: evita descontar dos veces)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Cada BFF es independiente: tiene su propio código, configuración, scope y circuito de resiliencia. Para llamar al backend obtienen su propio token (client_credentials) y se comunican por el API Gateway. Las comunicaciones usan tokens firmados; en AWS se recomienda terminar HTTPS en un Application Load Balancer con certificado ACM (ver despliegue.md).</w:t>
      </w:r>
    </w:p>
    <w:p>
      <w:pPr>
        <w:pStyle w:val="Heading1"/>
      </w:pPr>
      <w:r>
        <w:t>6. Microservicios resilientes con Spring Cloud</w:t>
      </w:r>
    </w:p>
    <w:p>
      <w:pPr>
        <w:pStyle w:val="Heading2"/>
      </w:pPr>
      <w:r>
        <w:t>6.1 Los tres servicios clave</w:t>
      </w:r>
    </w:p>
    <w:p>
      <w:pPr>
        <w:pStyle w:val="ListBullet"/>
        <w:spacing w:after="40"/>
      </w:pPr>
      <w:r>
        <w:rPr>
          <w:b/>
        </w:rPr>
        <w:t>Gestión de Cuentas:</w:t>
      </w:r>
      <w:r>
        <w:t xml:space="preserve"> apertura de cuentas, cambio de estado (activa, bloqueada, cerrada; solo se cierra con saldo cero), consulta y movimientos de saldo (débito/crédito).</w:t>
      </w:r>
    </w:p>
    <w:p>
      <w:pPr>
        <w:pStyle w:val="ListBullet"/>
        <w:spacing w:after="40"/>
      </w:pPr>
      <w:r>
        <w:rPr>
          <w:b/>
        </w:rPr>
        <w:t>Procesamiento de Pagos:</w:t>
      </w:r>
      <w:r>
        <w:t xml:space="preserve"> retiros, depósitos, pagos y transferencias. Registra cada transacción, publica el evento en Kafka y coordina con Cuentas.</w:t>
      </w:r>
    </w:p>
    <w:p>
      <w:pPr>
        <w:pStyle w:val="ListBullet"/>
        <w:spacing w:after="40"/>
      </w:pPr>
      <w:r>
        <w:rPr>
          <w:b/>
        </w:rPr>
        <w:t>Gestión de Clientes:</w:t>
      </w:r>
      <w:r>
        <w:t xml:space="preserve"> alta de clientes, consulta y actualización de datos de contacto.</w:t>
      </w:r>
    </w:p>
    <w:p>
      <w:pPr>
        <w:pStyle w:val="Heading2"/>
      </w:pPr>
      <w:r>
        <w:t>6.2 Consistencia en un entorno distribuido</w:t>
      </w:r>
    </w:p>
    <w:p>
      <w:r>
        <w:rPr>
          <w:b w:val="0"/>
          <w:i w:val="0"/>
        </w:rPr>
        <w:t>Como Pagos y Cuentas tienen bases de datos separadas, no existe una transacción única. Se aplicó una compensación (saga simple): si algo falla después de mover el saldo, Pagos revierte el movimiento en Cuentas. Por ejemplo, en una transferencia a una cuenta inexistente el dinero vuelve a la cuenta de origen.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8128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g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812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9"/>
        </w:rPr>
        <w:t>Figura 4. Flujo de una transferencia con compensación.</w:t>
      </w:r>
    </w:p>
    <w:p>
      <w:pPr>
        <w:pStyle w:val="Heading2"/>
      </w:pPr>
      <w:r>
        <w:t>6.3 Resiliencia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928"/>
            <w:shd w:val="clear" w:color="auto" w:fill="1F3F66"/>
          </w:tcPr>
          <w:p>
            <w:r/>
            <w:r>
              <w:rPr>
                <w:b/>
                <w:color w:val="FFFFFF"/>
                <w:sz w:val="20"/>
              </w:rPr>
              <w:t>Mecanismo</w:t>
            </w:r>
          </w:p>
        </w:tc>
        <w:tc>
          <w:tcPr>
            <w:tcW w:type="dxa" w:w="3855"/>
            <w:shd w:val="clear" w:color="auto" w:fill="1F3F66"/>
          </w:tcPr>
          <w:p>
            <w:r/>
            <w:r>
              <w:rPr>
                <w:b/>
                <w:color w:val="FFFFFF"/>
                <w:sz w:val="20"/>
              </w:rPr>
              <w:t>Configuración</w:t>
            </w:r>
          </w:p>
        </w:tc>
        <w:tc>
          <w:tcPr>
            <w:tcW w:type="dxa" w:w="3798"/>
            <w:shd w:val="clear" w:color="auto" w:fill="1F3F66"/>
          </w:tcPr>
          <w:p>
            <w:r/>
            <w:r>
              <w:rPr>
                <w:b/>
                <w:color w:val="FFFFFF"/>
                <w:sz w:val="20"/>
              </w:rPr>
              <w:t>Efecto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sz w:val="19"/>
              </w:rPr>
              <w:t>Timeouts</w:t>
            </w:r>
          </w:p>
        </w:tc>
        <w:tc>
          <w:tcPr>
            <w:tcW w:type="dxa" w:w="3855"/>
          </w:tcPr>
          <w:p>
            <w:r/>
            <w:r>
              <w:rPr>
                <w:sz w:val="19"/>
              </w:rPr>
              <w:t>Conexión 2 s, lectura 3 s</w:t>
            </w:r>
          </w:p>
        </w:tc>
        <w:tc>
          <w:tcPr>
            <w:tcW w:type="dxa" w:w="3798"/>
          </w:tcPr>
          <w:p>
            <w:r/>
            <w:r>
              <w:rPr>
                <w:sz w:val="19"/>
              </w:rPr>
              <w:t>Detecta caídas rápido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sz w:val="19"/>
              </w:rPr>
              <w:t>Retry</w:t>
            </w:r>
          </w:p>
        </w:tc>
        <w:tc>
          <w:tcPr>
            <w:tcW w:type="dxa" w:w="3855"/>
          </w:tcPr>
          <w:p>
            <w:r/>
            <w:r>
              <w:rPr>
                <w:sz w:val="19"/>
              </w:rPr>
              <w:t>3 intentos con espera creciente (solo lecturas)</w:t>
            </w:r>
          </w:p>
        </w:tc>
        <w:tc>
          <w:tcPr>
            <w:tcW w:type="dxa" w:w="3798"/>
          </w:tcPr>
          <w:p>
            <w:r/>
            <w:r>
              <w:rPr>
                <w:sz w:val="19"/>
              </w:rPr>
              <w:t>Absorbe fallos momentáneos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sz w:val="19"/>
              </w:rPr>
              <w:t>Circuit Breaker</w:t>
            </w:r>
          </w:p>
        </w:tc>
        <w:tc>
          <w:tcPr>
            <w:tcW w:type="dxa" w:w="3855"/>
          </w:tcPr>
          <w:p>
            <w:r/>
            <w:r>
              <w:rPr>
                <w:sz w:val="19"/>
              </w:rPr>
              <w:t>Ventana de 10 llamadas; abre con 50% de fallos; 15–20 s abierto</w:t>
            </w:r>
          </w:p>
        </w:tc>
        <w:tc>
          <w:tcPr>
            <w:tcW w:type="dxa" w:w="3798"/>
          </w:tcPr>
          <w:p>
            <w:r/>
            <w:r>
              <w:rPr>
                <w:sz w:val="19"/>
              </w:rPr>
              <w:t>Falla rápido sin golpear al servicio caído; se recupera solo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sz w:val="19"/>
              </w:rPr>
              <w:t>Bulkhead</w:t>
            </w:r>
          </w:p>
        </w:tc>
        <w:tc>
          <w:tcPr>
            <w:tcW w:type="dxa" w:w="3855"/>
          </w:tcPr>
          <w:p>
            <w:r/>
            <w:r>
              <w:rPr>
                <w:sz w:val="19"/>
              </w:rPr>
              <w:t>10 llamadas simultáneas (5 en escritura)</w:t>
            </w:r>
          </w:p>
        </w:tc>
        <w:tc>
          <w:tcPr>
            <w:tcW w:type="dxa" w:w="3798"/>
          </w:tcPr>
          <w:p>
            <w:r/>
            <w:r>
              <w:rPr>
                <w:sz w:val="19"/>
              </w:rPr>
              <w:t>Evita saturar el servicio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sz w:val="19"/>
              </w:rPr>
              <w:t>Fallback</w:t>
            </w:r>
          </w:p>
        </w:tc>
        <w:tc>
          <w:tcPr>
            <w:tcW w:type="dxa" w:w="3855"/>
          </w:tcPr>
          <w:p>
            <w:r/>
            <w:r>
              <w:rPr>
                <w:sz w:val="19"/>
              </w:rPr>
              <w:t>Respuesta 503 con mensaje claro; los errores 404/409/422 se propagan como respuestas de negocio</w:t>
            </w:r>
          </w:p>
        </w:tc>
        <w:tc>
          <w:tcPr>
            <w:tcW w:type="dxa" w:w="3798"/>
          </w:tcPr>
          <w:p>
            <w:r/>
            <w:r>
              <w:rPr>
                <w:sz w:val="19"/>
              </w:rPr>
              <w:t>Comportamiento alternativo controlado</w:t>
            </w:r>
          </w:p>
        </w:tc>
      </w:tr>
    </w:tbl>
    <w:p>
      <w:pPr>
        <w:spacing w:after="40"/>
      </w:pPr>
    </w:p>
    <w:p>
      <w:pPr>
        <w:pStyle w:val="Heading2"/>
      </w:pPr>
      <w:r>
        <w:t>6.4 Mensajería asíncrona (Kafka)</w:t>
      </w:r>
    </w:p>
    <w:p>
      <w:r>
        <w:rPr>
          <w:b w:val="0"/>
          <w:i w:val="0"/>
        </w:rPr>
        <w:t>Pagos publica un evento TransaccionEvent en el tópico banking.transacciones (3 particiones; la clave es el número de cuenta para mantener el orden por cuenta) cada vez que registra una transacción. notification-service lo consume y genera una notificación INFO, o ALERTA_MONTO_ALTO si el monto es de $200.000 o más. Si Kafka no está disponible, la operación bancaria no falla: el error se registra y se continúa.</w:t>
      </w:r>
    </w:p>
    <w:p>
      <w:pPr>
        <w:pStyle w:val="Heading2"/>
      </w:pPr>
      <w:r>
        <w:t>6.5 Seguridad distribuida</w:t>
      </w:r>
    </w:p>
    <w:p>
      <w:r>
        <w:rPr>
          <w:b w:val="0"/>
          <w:i w:val="0"/>
        </w:rPr>
        <w:t>El auth-server emite tokens JWT firmados con RS256. Todos los servicios son Resource Servers: validan la firma con las llaves públicas (JWKS) y exigen el scope correspondiente (banking.read para consultas, banking.write para operaciones). Pagos reenvía el token recibido a Cuentas (token relay). Sin token la respuesta es 401; con un scope incorrecto, 403.</w:t>
      </w:r>
    </w:p>
    <w:p>
      <w:pPr>
        <w:pStyle w:val="Heading2"/>
      </w:pPr>
      <w:r>
        <w:t>6.6 Configuración, descubrimiento y balanceo</w:t>
      </w:r>
    </w:p>
    <w:p>
      <w:pPr>
        <w:pStyle w:val="ListBullet"/>
        <w:spacing w:after="40"/>
      </w:pPr>
      <w:r>
        <w:rPr>
          <w:b/>
        </w:rPr>
        <w:t>Spring Cloud Config:</w:t>
      </w:r>
      <w:r>
        <w:t xml:space="preserve"> el Config Server (modo native) entrega parámetros a Pagos (máximo por transferencia) y a Batch (tasas, hilos, límites).</w:t>
      </w:r>
    </w:p>
    <w:p>
      <w:pPr>
        <w:pStyle w:val="ListBullet"/>
        <w:spacing w:after="40"/>
      </w:pPr>
      <w:r>
        <w:rPr>
          <w:b/>
        </w:rPr>
        <w:t>Eureka:</w:t>
      </w:r>
      <w:r>
        <w:t xml:space="preserve"> todos los servicios de negocio se registran y se encuentran por nombre (por ejemplo, Pagos llama a http://cuentas-service).</w:t>
      </w:r>
    </w:p>
    <w:p>
      <w:pPr>
        <w:pStyle w:val="ListBullet"/>
        <w:spacing w:after="40"/>
      </w:pPr>
      <w:r>
        <w:rPr>
          <w:b/>
        </w:rPr>
        <w:t>API Gateway:</w:t>
      </w:r>
      <w:r>
        <w:t xml:space="preserve"> el API Gateway enruta por ruta (/api/legacy/clientes → Clientes, /api/legacy/cuentas/*/retiro → Pagos, /batch → Batch, etc.) y reparte la carga entre las instancias registradas.</w:t>
      </w:r>
    </w:p>
    <w:p>
      <w:pPr>
        <w:pStyle w:val="Heading1"/>
      </w:pPr>
      <w:r>
        <w:t>7. Despliegue y escalabilidad</w:t>
      </w:r>
    </w:p>
    <w:p>
      <w:pPr>
        <w:pStyle w:val="ListBullet"/>
        <w:spacing w:after="40"/>
      </w:pPr>
      <w:r>
        <w:rPr>
          <w:b/>
        </w:rPr>
        <w:t>Docker:</w:t>
      </w:r>
      <w:r>
        <w:t xml:space="preserve"> cada servicio tiene un Dockerfile multi-etapa (compila con Maven y ejecuta en una imagen liviana de Java 17 con usuario sin privilegios y HEALTHCHECK).</w:t>
      </w:r>
    </w:p>
    <w:p>
      <w:pPr>
        <w:pStyle w:val="ListBullet"/>
        <w:spacing w:after="40"/>
      </w:pPr>
      <w:r>
        <w:rPr>
          <w:b/>
        </w:rPr>
        <w:t>Docker Compose:</w:t>
      </w:r>
      <w:r>
        <w:t xml:space="preserve"> un solo archivo levanta los 14 contenedores en el orden correcto (esperando que las dependencias estén sanas) y con reinicio automático.</w:t>
      </w:r>
    </w:p>
    <w:p>
      <w:pPr>
        <w:pStyle w:val="ListBullet"/>
        <w:spacing w:after="40"/>
      </w:pPr>
      <w:r>
        <w:rPr>
          <w:b/>
        </w:rPr>
        <w:t>AWS:</w:t>
      </w:r>
      <w:r>
        <w:t xml:space="preserve"> se despliega en una instancia EC2 con el mismo docker-compose.yml (pasos en despliegue.md); a futuro: ECS Fargate, MSK, RDS y Secrets Manager.</w:t>
      </w:r>
    </w:p>
    <w:p>
      <w:pPr>
        <w:pStyle w:val="ListBullet"/>
        <w:spacing w:after="40"/>
      </w:pPr>
      <w:r>
        <w:rPr>
          <w:b/>
        </w:rPr>
        <w:t>Escalabilidad horizontal:</w:t>
      </w:r>
      <w:r>
        <w:t xml:space="preserve"> docker compose up -d --scale clientes-service=2 crea una segunda instancia que Eureka registra y el gateway utiliza.</w:t>
      </w:r>
    </w:p>
    <w:p>
      <w:pPr>
        <w:pStyle w:val="ListBullet"/>
        <w:spacing w:after="40"/>
      </w:pPr>
      <w:r>
        <w:rPr>
          <w:b/>
        </w:rPr>
        <w:t>Monitoreo:</w:t>
      </w:r>
      <w:r>
        <w:t xml:space="preserve"> Actuator (health, circuitbreakers, retries, bulkheads), logs de cada job con leídos/escritos/omitidos, logs de eventos Kafka, Kafka UI y el panel de Eureka.</w:t>
      </w:r>
    </w:p>
    <w:p>
      <w:pPr>
        <w:pStyle w:val="Heading1"/>
      </w:pPr>
      <w:r>
        <w:t>8. Comparación con el sistema legacy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814"/>
            <w:shd w:val="clear" w:color="auto" w:fill="1F3F66"/>
          </w:tcPr>
          <w:p>
            <w:r/>
            <w:r>
              <w:rPr>
                <w:b/>
                <w:color w:val="FFFFFF"/>
                <w:sz w:val="20"/>
              </w:rPr>
              <w:t>Aspecto</w:t>
            </w:r>
          </w:p>
        </w:tc>
        <w:tc>
          <w:tcPr>
            <w:tcW w:type="dxa" w:w="3402"/>
            <w:shd w:val="clear" w:color="auto" w:fill="1F3F66"/>
          </w:tcPr>
          <w:p>
            <w:r/>
            <w:r>
              <w:rPr>
                <w:b/>
                <w:color w:val="FFFFFF"/>
                <w:sz w:val="20"/>
              </w:rPr>
              <w:t>Legacy (COBOL + Shell)</w:t>
            </w:r>
          </w:p>
        </w:tc>
        <w:tc>
          <w:tcPr>
            <w:tcW w:type="dxa" w:w="4365"/>
            <w:shd w:val="clear" w:color="auto" w:fill="1F3F66"/>
          </w:tcPr>
          <w:p>
            <w:r/>
            <w:r>
              <w:rPr>
                <w:b/>
                <w:color w:val="FFFFFF"/>
                <w:sz w:val="20"/>
              </w:rPr>
              <w:t>Nuevo sistema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sz w:val="19"/>
              </w:rPr>
              <w:t>Procesos batch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Scripts sin reintentos ni registro de rechazos</w:t>
            </w:r>
          </w:p>
        </w:tc>
        <w:tc>
          <w:tcPr>
            <w:tcW w:type="dxa" w:w="4365"/>
          </w:tcPr>
          <w:p>
            <w:r/>
            <w:r>
              <w:rPr>
                <w:sz w:val="19"/>
              </w:rPr>
              <w:t>Jobs con skip/retry, rechazos con motivo, reinicio automático y 4 hilos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sz w:val="19"/>
              </w:rPr>
              <w:t>Arquitectura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Monolito; un fallo afecta a todo</w:t>
            </w:r>
          </w:p>
        </w:tc>
        <w:tc>
          <w:tcPr>
            <w:tcW w:type="dxa" w:w="4365"/>
          </w:tcPr>
          <w:p>
            <w:r/>
            <w:r>
              <w:rPr>
                <w:sz w:val="19"/>
              </w:rPr>
              <w:t>Microservicios con Circuit Breaker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sz w:val="19"/>
              </w:rPr>
              <w:t>Escalabilidad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Vertical (mainframe)</w:t>
            </w:r>
          </w:p>
        </w:tc>
        <w:tc>
          <w:tcPr>
            <w:tcW w:type="dxa" w:w="4365"/>
          </w:tcPr>
          <w:p>
            <w:r/>
            <w:r>
              <w:rPr>
                <w:sz w:val="19"/>
              </w:rPr>
              <w:t>Horizontal (más instancias)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sz w:val="19"/>
              </w:rPr>
              <w:t>Seguridad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Centralizada y limitada</w:t>
            </w:r>
          </w:p>
        </w:tc>
        <w:tc>
          <w:tcPr>
            <w:tcW w:type="dxa" w:w="4365"/>
          </w:tcPr>
          <w:p>
            <w:r/>
            <w:r>
              <w:rPr>
                <w:sz w:val="19"/>
              </w:rPr>
              <w:t>OAuth2 distribuido con scopes por canal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sz w:val="19"/>
              </w:rPr>
              <w:t>Integración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Acoplada</w:t>
            </w:r>
          </w:p>
        </w:tc>
        <w:tc>
          <w:tcPr>
            <w:tcW w:type="dxa" w:w="4365"/>
          </w:tcPr>
          <w:p>
            <w:r/>
            <w:r>
              <w:rPr>
                <w:sz w:val="19"/>
              </w:rPr>
              <w:t>Eventos asíncronos con Kafka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sz w:val="19"/>
              </w:rPr>
              <w:t>Configuración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Dentro de scripts y código</w:t>
            </w:r>
          </w:p>
        </w:tc>
        <w:tc>
          <w:tcPr>
            <w:tcW w:type="dxa" w:w="4365"/>
          </w:tcPr>
          <w:p>
            <w:r/>
            <w:r>
              <w:rPr>
                <w:sz w:val="19"/>
              </w:rPr>
              <w:t>Centralizada en Config Server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sz w:val="19"/>
              </w:rPr>
              <w:t>Despliegue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Manual en servidores</w:t>
            </w:r>
          </w:p>
        </w:tc>
        <w:tc>
          <w:tcPr>
            <w:tcW w:type="dxa" w:w="4365"/>
          </w:tcPr>
          <w:p>
            <w:r/>
            <w:r>
              <w:rPr>
                <w:sz w:val="19"/>
              </w:rPr>
              <w:t>Un comando con Docker Compose; AWS</w:t>
            </w:r>
          </w:p>
        </w:tc>
      </w:tr>
    </w:tbl>
    <w:p>
      <w:pPr>
        <w:spacing w:after="40"/>
      </w:pPr>
    </w:p>
    <w:p>
      <w:pPr>
        <w:pStyle w:val="Heading1"/>
      </w:pPr>
      <w:r>
        <w:t>9. Desafíos enfrentados y soluciones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3515"/>
            <w:shd w:val="clear" w:color="auto" w:fill="1F3F66"/>
          </w:tcPr>
          <w:p>
            <w:r/>
            <w:r>
              <w:rPr>
                <w:b/>
                <w:color w:val="FFFFFF"/>
                <w:sz w:val="20"/>
              </w:rPr>
              <w:t>Desafío</w:t>
            </w:r>
          </w:p>
        </w:tc>
        <w:tc>
          <w:tcPr>
            <w:tcW w:type="dxa" w:w="6066"/>
            <w:shd w:val="clear" w:color="auto" w:fill="1F3F66"/>
          </w:tcPr>
          <w:p>
            <w:r/>
            <w:r>
              <w:rPr>
                <w:b/>
                <w:color w:val="FFFFFF"/>
                <w:sz w:val="20"/>
              </w:rPr>
              <w:t>Solución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  <w:sz w:val="19"/>
              </w:rPr>
              <w:t>Dividir el core sin romper los BFF ni Postman</w:t>
            </w:r>
          </w:p>
        </w:tc>
        <w:tc>
          <w:tcPr>
            <w:tcW w:type="dxa" w:w="6066"/>
          </w:tcPr>
          <w:p>
            <w:r/>
            <w:r>
              <w:rPr>
                <w:sz w:val="19"/>
              </w:rPr>
              <w:t>Se mantuvieron las mismas URLs: el API Gateway enruta cada ruta al microservicio correcto y toma el puerto 8080 que usaba el core.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  <w:sz w:val="19"/>
              </w:rPr>
              <w:t>Datos legacy con errores (fechas en 4 formatos, vacíos, duplicados)</w:t>
            </w:r>
          </w:p>
        </w:tc>
        <w:tc>
          <w:tcPr>
            <w:tcW w:type="dxa" w:w="6066"/>
          </w:tcPr>
          <w:p>
            <w:r/>
            <w:r>
              <w:rPr>
                <w:sz w:val="19"/>
              </w:rPr>
              <w:t>Procesadores con validaciones por regla; las filas inválidas se omiten con skip y se guardan con su motivo.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  <w:sz w:val="19"/>
              </w:rPr>
              <w:t>Reintentos sin duplicar datos</w:t>
            </w:r>
          </w:p>
        </w:tc>
        <w:tc>
          <w:tcPr>
            <w:tcW w:type="dxa" w:w="6066"/>
          </w:tcPr>
          <w:p>
            <w:r/>
            <w:r>
              <w:rPr>
                <w:sz w:val="19"/>
              </w:rPr>
              <w:t>La carga se limpia antes de cada ejecución; los reintentos usan los mismos parámetros (reinicio de Spring Batch).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  <w:sz w:val="19"/>
              </w:rPr>
              <w:t>Detección de duplicados con varios hilos</w:t>
            </w:r>
          </w:p>
        </w:tc>
        <w:tc>
          <w:tcPr>
            <w:tcW w:type="dxa" w:w="6066"/>
          </w:tcPr>
          <w:p>
            <w:r/>
            <w:r>
              <w:rPr>
                <w:sz w:val="19"/>
              </w:rPr>
              <w:t>Conjunto seguro para hilos que se crea nuevo en cada ejecución del paso.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  <w:sz w:val="19"/>
              </w:rPr>
              <w:t>Consistencia entre bases de datos separadas</w:t>
            </w:r>
          </w:p>
        </w:tc>
        <w:tc>
          <w:tcPr>
            <w:tcW w:type="dxa" w:w="6066"/>
          </w:tcPr>
          <w:p>
            <w:r/>
            <w:r>
              <w:rPr>
                <w:sz w:val="19"/>
              </w:rPr>
              <w:t>Compensación (saga simple) entre Pagos y Cuentas.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  <w:sz w:val="19"/>
              </w:rPr>
              <w:t>Retiro no idempotente</w:t>
            </w:r>
          </w:p>
        </w:tc>
        <w:tc>
          <w:tcPr>
            <w:tcW w:type="dxa" w:w="6066"/>
          </w:tcPr>
          <w:p>
            <w:r/>
            <w:r>
              <w:rPr>
                <w:sz w:val="19"/>
              </w:rPr>
              <w:t>El retiro y los movimientos de saldo no llevan Retry, solo Circuit Breaker y Bulkhead.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  <w:sz w:val="19"/>
              </w:rPr>
              <w:t>Evitar que la configuración central pisara ajustes locales</w:t>
            </w:r>
          </w:p>
        </w:tc>
        <w:tc>
          <w:tcPr>
            <w:tcW w:type="dxa" w:w="6066"/>
          </w:tcPr>
          <w:p>
            <w:r/>
            <w:r>
              <w:rPr>
                <w:sz w:val="19"/>
              </w:rPr>
              <w:t>El config-repo no define endpoints de Actuator ni usa variables ${}.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/>
                <w:sz w:val="19"/>
              </w:rPr>
              <w:t>Consumo de memoria con 14 contenedores</w:t>
            </w:r>
          </w:p>
        </w:tc>
        <w:tc>
          <w:tcPr>
            <w:tcW w:type="dxa" w:w="6066"/>
          </w:tcPr>
          <w:p>
            <w:r/>
            <w:r>
              <w:rPr>
                <w:sz w:val="19"/>
              </w:rPr>
              <w:t>JVM acotada a 384 MB por servicio y recomendación de instancia t3.xlarge en AWS.</w:t>
            </w:r>
          </w:p>
        </w:tc>
      </w:tr>
    </w:tbl>
    <w:p>
      <w:pPr>
        <w:spacing w:after="40"/>
      </w:pPr>
    </w:p>
    <w:p>
      <w:pPr>
        <w:pStyle w:val="Heading1"/>
      </w:pPr>
      <w:r>
        <w:t>10. Propuestas de mejora y próximos pasos</w:t>
      </w:r>
    </w:p>
    <w:p>
      <w:pPr>
        <w:pStyle w:val="ListBullet"/>
        <w:spacing w:after="40"/>
      </w:pPr>
      <w:r>
        <w:t>Reemplazar H2 por PostgreSQL/RDS (una base por servicio) para persistir los datos y poder escalar Cuentas y Pagos.</w:t>
      </w:r>
    </w:p>
    <w:p>
      <w:pPr>
        <w:pStyle w:val="ListBullet"/>
        <w:spacing w:after="40"/>
      </w:pPr>
      <w:r>
        <w:t>HTTPS de extremo a extremo (Application Load Balancer con certificado ACM) y secretos en AWS Secrets Manager.</w:t>
      </w:r>
    </w:p>
    <w:p>
      <w:pPr>
        <w:pStyle w:val="ListBullet"/>
        <w:spacing w:after="40"/>
      </w:pPr>
      <w:r>
        <w:t>Kafka administrado (Amazon MSK) con TLS y un tópico dedicado a alertas de seguridad; dead-letter topic en el consumidor.</w:t>
      </w:r>
    </w:p>
    <w:p>
      <w:pPr>
        <w:pStyle w:val="ListBullet"/>
        <w:spacing w:after="40"/>
      </w:pPr>
      <w:r>
        <w:t>Rate limiting en el API Gateway y trazabilidad distribuida (Micrometer + Zipkin).</w:t>
      </w:r>
    </w:p>
    <w:p>
      <w:pPr>
        <w:pStyle w:val="ListBullet"/>
        <w:spacing w:after="40"/>
      </w:pPr>
      <w:r>
        <w:t>Entrada y salida de los batch en Amazon S3 y ejecución programada (por ejemplo, EventBridge).</w:t>
      </w:r>
    </w:p>
    <w:p>
      <w:pPr>
        <w:pStyle w:val="ListBullet"/>
        <w:spacing w:after="40"/>
      </w:pPr>
      <w:r>
        <w:t>Pipeline CI/CD (GitHub Actions → ECR → ECS) y repositorio Git para el Config Server.</w:t>
      </w:r>
    </w:p>
    <w:p>
      <w:pPr>
        <w:pStyle w:val="Heading1"/>
      </w:pPr>
      <w:r>
        <w:t>11. Evidencias de ejecución</w:t>
      </w:r>
    </w:p>
    <w:p>
      <w:r>
        <w:rPr>
          <w:b w:val="0"/>
          <w:i/>
        </w:rPr>
        <w:t>Capturas de la ejecución del sistema (ver guía en evidencia-ejecucion/README.md).</w:t>
      </w:r>
    </w:p>
    <w:p>
      <w:pPr>
        <w:keepNext/>
      </w:pPr>
      <w:r>
        <w:rPr>
          <w:b/>
          <w:i w:val="0"/>
          <w:sz w:val="20"/>
        </w:rPr>
        <w:t>Figura 5. docker compose ps con todos los servicios healthy.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5354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8375975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35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keepNext/>
      </w:pPr>
      <w:r>
        <w:rPr>
          <w:b/>
          <w:i w:val="0"/>
          <w:sz w:val="20"/>
        </w:rPr>
        <w:t>Figura 6. Panel de Eureka con los servicios registrados.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5915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837575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91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keepNext/>
      </w:pPr>
      <w:r>
        <w:rPr>
          <w:b/>
          <w:i w:val="0"/>
          <w:sz w:val="20"/>
        </w:rPr>
        <w:t>Figura 7. Config Server entregando la configuración de batch-service.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98800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8207899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88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keepNext/>
      </w:pPr>
      <w:r>
        <w:rPr>
          <w:b/>
          <w:i w:val="0"/>
          <w:sz w:val="20"/>
        </w:rPr>
        <w:t>Figura 8. Postman: 3 jobs COMPLETED (leídos / escritos / omitidos).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22829" cy="306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9356664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22829" cy="3060000"/>
                    </a:xfrm>
                    <a:prstGeom prst="rect"/>
                  </pic:spPr>
                </pic:pic>
              </a:graphicData>
            </a:graphic>
          </wp:inline>
        </w:drawing>
        <w:br/>
      </w:r>
      <w:r>
        <w:drawing>
          <wp:inline xmlns:a="http://schemas.openxmlformats.org/drawingml/2006/main" xmlns:pic="http://schemas.openxmlformats.org/drawingml/2006/picture">
            <wp:extent cx="4441636" cy="306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9361893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41636" cy="3060000"/>
                    </a:xfrm>
                    <a:prstGeom prst="rect"/>
                  </pic:spPr>
                </pic:pic>
              </a:graphicData>
            </a:graphic>
          </wp:inline>
        </w:drawing>
        <w:br/>
      </w:r>
      <w:r>
        <w:drawing>
          <wp:inline xmlns:a="http://schemas.openxmlformats.org/drawingml/2006/main" xmlns:pic="http://schemas.openxmlformats.org/drawingml/2006/picture">
            <wp:extent cx="4401998" cy="306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9380927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01998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keepNext/>
      </w:pPr>
      <w:r>
        <w:rPr>
          <w:b/>
          <w:i w:val="0"/>
          <w:sz w:val="20"/>
        </w:rPr>
        <w:t>Figura 9. Reporte de intereses y registros rechazados con su motivo.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74862" cy="342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9364339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74862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keepNext/>
      </w:pPr>
      <w:r>
        <w:rPr>
          <w:b/>
          <w:i w:val="0"/>
          <w:sz w:val="20"/>
        </w:rPr>
        <w:t>Figura 10. Archivos CSV generados en /app/output.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71182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94853549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11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keepNext/>
      </w:pPr>
      <w:r>
        <w:rPr>
          <w:b/>
          <w:i w:val="0"/>
          <w:sz w:val="20"/>
        </w:rPr>
        <w:t>Figura 11. Postman Runner: ejecución completa de la colección (87 tests; incluye depósito, transferencia y compensación 404).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15071" cy="342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9472169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15071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0"/>
        </w:rPr>
        <w:t>Nota: de los 87 tests, 86 pasaron. El único fallido correspondía a un request de prueba "Sin token" de la carpeta 07 que estaba configurado para enviar token (error de la colección, no del sistema); fue corregido en la colección entregada.</w:t>
      </w:r>
    </w:p>
    <w:p>
      <w:pPr>
        <w:spacing w:after="40"/>
      </w:pPr>
    </w:p>
    <w:p>
      <w:pPr>
        <w:keepNext/>
      </w:pPr>
      <w:r>
        <w:rPr>
          <w:b/>
          <w:i w:val="0"/>
          <w:sz w:val="20"/>
        </w:rPr>
        <w:t>Figura 12. Kafka UI: eventos en banking.transacciones y notificaciones.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42090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9457718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20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keepNext/>
      </w:pPr>
      <w:r>
        <w:rPr>
          <w:b/>
          <w:i w:val="0"/>
          <w:sz w:val="20"/>
        </w:rPr>
        <w:t>Figura 13. Circuit Breaker abierto (503, con cuentas-service detenido) y recuperación (breaker CLOSED al volver el servicio).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89795" cy="305999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9491701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89795" cy="3059999"/>
                    </a:xfrm>
                    <a:prstGeom prst="rect"/>
                  </pic:spPr>
                </pic:pic>
              </a:graphicData>
            </a:graphic>
          </wp:inline>
        </w:drawing>
        <w:br/>
      </w:r>
      <w:r>
        <w:drawing>
          <wp:inline xmlns:a="http://schemas.openxmlformats.org/drawingml/2006/main" xmlns:pic="http://schemas.openxmlformats.org/drawingml/2006/picture">
            <wp:extent cx="4450909" cy="306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94979908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50909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keepNext/>
      </w:pPr>
      <w:r>
        <w:rPr>
          <w:b/>
          <w:i w:val="0"/>
          <w:sz w:val="20"/>
        </w:rPr>
        <w:t>Figura 14. Escalado: CLIENTES-SERVICE con 2 instancias en Eureka.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27559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9515018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75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pStyle w:val="Heading1"/>
      </w:pPr>
      <w:r>
        <w:t>Anexo. Relación con la pauta de evaluación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680"/>
            <w:shd w:val="clear" w:color="auto" w:fill="1F3F66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5102"/>
            <w:shd w:val="clear" w:color="auto" w:fill="1F3F66"/>
          </w:tcPr>
          <w:p>
            <w:r/>
            <w:r>
              <w:rPr>
                <w:b/>
                <w:color w:val="FFFFFF"/>
                <w:sz w:val="20"/>
              </w:rPr>
              <w:t>Criterio</w:t>
            </w:r>
          </w:p>
        </w:tc>
        <w:tc>
          <w:tcPr>
            <w:tcW w:type="dxa" w:w="3798"/>
            <w:shd w:val="clear" w:color="auto" w:fill="1F3F66"/>
          </w:tcPr>
          <w:p>
            <w:r/>
            <w:r>
              <w:rPr>
                <w:b/>
                <w:color w:val="FFFFFF"/>
                <w:sz w:val="20"/>
              </w:rPr>
              <w:t>Dónde se cubre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/>
                <w:sz w:val="19"/>
              </w:rPr>
              <w:t>1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Procesos clave identificados</w:t>
            </w:r>
          </w:p>
        </w:tc>
        <w:tc>
          <w:tcPr>
            <w:tcW w:type="dxa" w:w="3798"/>
          </w:tcPr>
          <w:p>
            <w:r/>
            <w:r>
              <w:rPr>
                <w:sz w:val="19"/>
              </w:rPr>
              <w:t>Sección 2</w:t>
            </w:r>
          </w:p>
        </w:tc>
      </w:tr>
      <w:tr>
        <w:tc>
          <w:tcPr>
            <w:tcW w:type="dxa" w:w="680"/>
          </w:tcPr>
          <w:p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Propuesta de arquitectura y requerimientos del negocio</w:t>
            </w:r>
          </w:p>
        </w:tc>
        <w:tc>
          <w:tcPr>
            <w:tcW w:type="dxa" w:w="3798"/>
          </w:tcPr>
          <w:p>
            <w:r/>
            <w:r>
              <w:rPr>
                <w:sz w:val="19"/>
              </w:rPr>
              <w:t>Sección 3</w:t>
            </w:r>
          </w:p>
        </w:tc>
      </w:tr>
      <w:tr>
        <w:tc>
          <w:tcPr>
            <w:tcW w:type="dxa" w:w="680"/>
          </w:tcPr>
          <w:p>
            <w:r/>
            <w:r>
              <w:rPr>
                <w:b/>
                <w:sz w:val="19"/>
              </w:rPr>
              <w:t>3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Procesos batch (errores, paralelismo, escalabilidad)</w:t>
            </w:r>
          </w:p>
        </w:tc>
        <w:tc>
          <w:tcPr>
            <w:tcW w:type="dxa" w:w="3798"/>
          </w:tcPr>
          <w:p>
            <w:r/>
            <w:r>
              <w:rPr>
                <w:sz w:val="19"/>
              </w:rPr>
              <w:t>Sección 4</w:t>
            </w:r>
          </w:p>
        </w:tc>
      </w:tr>
      <w:tr>
        <w:tc>
          <w:tcPr>
            <w:tcW w:type="dxa" w:w="680"/>
          </w:tcPr>
          <w:p>
            <w:r/>
            <w:r>
              <w:rPr>
                <w:b/>
                <w:sz w:val="19"/>
              </w:rPr>
              <w:t>4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BFF para 3 canales</w:t>
            </w:r>
          </w:p>
        </w:tc>
        <w:tc>
          <w:tcPr>
            <w:tcW w:type="dxa" w:w="3798"/>
          </w:tcPr>
          <w:p>
            <w:r/>
            <w:r>
              <w:rPr>
                <w:sz w:val="19"/>
              </w:rPr>
              <w:t>Sección 5</w:t>
            </w:r>
          </w:p>
        </w:tc>
      </w:tr>
      <w:tr>
        <w:tc>
          <w:tcPr>
            <w:tcW w:type="dxa" w:w="680"/>
          </w:tcPr>
          <w:p>
            <w:r/>
            <w:r>
              <w:rPr>
                <w:b/>
                <w:sz w:val="19"/>
              </w:rPr>
              <w:t>5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Microservicios resilientes con Resilience4j y Kafka</w:t>
            </w:r>
          </w:p>
        </w:tc>
        <w:tc>
          <w:tcPr>
            <w:tcW w:type="dxa" w:w="3798"/>
          </w:tcPr>
          <w:p>
            <w:r/>
            <w:r>
              <w:rPr>
                <w:sz w:val="19"/>
              </w:rPr>
              <w:t>Sección 6</w:t>
            </w:r>
          </w:p>
        </w:tc>
      </w:tr>
      <w:tr>
        <w:tc>
          <w:tcPr>
            <w:tcW w:type="dxa" w:w="680"/>
          </w:tcPr>
          <w:p>
            <w:r/>
            <w:r>
              <w:rPr>
                <w:b/>
                <w:sz w:val="19"/>
              </w:rPr>
              <w:t>6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Docker y escalabilidad horizontal</w:t>
            </w:r>
          </w:p>
        </w:tc>
        <w:tc>
          <w:tcPr>
            <w:tcW w:type="dxa" w:w="3798"/>
          </w:tcPr>
          <w:p>
            <w:r/>
            <w:r>
              <w:rPr>
                <w:sz w:val="19"/>
              </w:rPr>
              <w:t>Sección 7</w:t>
            </w:r>
          </w:p>
        </w:tc>
      </w:tr>
      <w:tr>
        <w:tc>
          <w:tcPr>
            <w:tcW w:type="dxa" w:w="680"/>
          </w:tcPr>
          <w:p>
            <w:r/>
            <w:r>
              <w:rPr>
                <w:b/>
                <w:sz w:val="19"/>
              </w:rPr>
              <w:t>7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Documentación: código, informe, instrucciones y despliegue</w:t>
            </w:r>
          </w:p>
        </w:tc>
        <w:tc>
          <w:tcPr>
            <w:tcW w:type="dxa" w:w="3798"/>
          </w:tcPr>
          <w:p>
            <w:r/>
            <w:r>
              <w:rPr>
                <w:sz w:val="19"/>
              </w:rPr>
              <w:t>readme.md, este informe, instrucciones.md, despliegue.md</w:t>
            </w:r>
          </w:p>
        </w:tc>
      </w:tr>
      <w:tr>
        <w:tc>
          <w:tcPr>
            <w:tcW w:type="dxa" w:w="680"/>
          </w:tcPr>
          <w:p>
            <w:r/>
            <w:r>
              <w:rPr>
                <w:b/>
                <w:sz w:val="19"/>
              </w:rPr>
              <w:t>8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Video</w:t>
            </w:r>
          </w:p>
        </w:tc>
        <w:tc>
          <w:tcPr>
            <w:tcW w:type="dxa" w:w="3798"/>
          </w:tcPr>
          <w:p>
            <w:r/>
            <w:r>
              <w:rPr>
                <w:sz w:val="19"/>
              </w:rPr>
              <w:t>Presentación de 5 a 7 minutos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13"/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PBY2203 · EFT S9 · Bayro Rañileo · 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3F6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F5D8C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