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0" w:after="0"/>
        <w:jc w:val="center"/>
        <w:pBdr>
          <w:bottom w:val="nil"/>
        </w:pBdr>
      </w:pPr>
      <w:r>
        <w:rPr>
          <w:rFonts w:ascii="Arial" w:hAnsi="Arial" w:eastAsia="Arial"/>
          <w:color w:val="000000"/>
          <w:sz w:val="104"/>
        </w:rPr>
        <w:t>Informe Gestión de Biblioteca</w:t>
      </w:r>
    </w:p>
    <w:p>
      <w:pPr>
        <w:spacing w:before="0" w:after="0"/>
        <w:jc w:val="center"/>
      </w:pPr>
      <w:r>
        <w:rPr>
          <w:rFonts w:ascii="Arial" w:hAnsi="Arial" w:eastAsia="Arial"/>
          <w:b w:val="0"/>
          <w:color w:val="000000"/>
          <w:sz w:val="28"/>
        </w:rPr>
        <w:t>Etapa 1: Análisis de Requisitos</w:t>
      </w:r>
    </w:p>
    <w:p>
      <w:pPr>
        <w:spacing w:before="5000"/>
        <w:jc w:val="left"/>
      </w:pPr>
      <w:r>
        <w:rPr>
          <w:rFonts w:ascii="Arial" w:hAnsi="Arial" w:eastAsia="Arial"/>
          <w:b/>
          <w:color w:val="000000"/>
          <w:sz w:val="28"/>
        </w:rPr>
        <w:t xml:space="preserve">Estudiantes: </w:t>
      </w:r>
      <w:r>
        <w:rPr>
          <w:rFonts w:ascii="Arial" w:hAnsi="Arial" w:eastAsia="Arial"/>
          <w:b w:val="0"/>
          <w:color w:val="000000"/>
          <w:sz w:val="28"/>
        </w:rPr>
        <w:t>Bayron Urrutia - José Ibarra</w:t>
      </w:r>
    </w:p>
    <w:p>
      <w:pPr>
        <w:spacing w:before="0"/>
        <w:jc w:val="left"/>
      </w:pPr>
      <w:r>
        <w:rPr>
          <w:rFonts w:ascii="Arial" w:hAnsi="Arial" w:eastAsia="Arial"/>
          <w:b/>
          <w:color w:val="000000"/>
          <w:sz w:val="28"/>
        </w:rPr>
        <w:t xml:space="preserve">Profesor(a): </w:t>
      </w:r>
      <w:r>
        <w:rPr>
          <w:rFonts w:ascii="Arial" w:hAnsi="Arial" w:eastAsia="Arial"/>
          <w:b w:val="0"/>
          <w:color w:val="000000"/>
          <w:sz w:val="28"/>
        </w:rPr>
        <w:t>Elliana Mallén González</w:t>
      </w:r>
    </w:p>
    <w:p>
      <w:pPr>
        <w:spacing w:before="0"/>
        <w:jc w:val="left"/>
      </w:pPr>
      <w:r>
        <w:rPr>
          <w:rFonts w:ascii="Arial" w:hAnsi="Arial" w:eastAsia="Arial"/>
          <w:b/>
          <w:color w:val="000000"/>
          <w:sz w:val="28"/>
        </w:rPr>
        <w:t xml:space="preserve">Asignatura: </w:t>
      </w:r>
      <w:r>
        <w:rPr>
          <w:rFonts w:ascii="Arial" w:hAnsi="Arial" w:eastAsia="Arial"/>
          <w:b w:val="0"/>
          <w:color w:val="000000"/>
          <w:sz w:val="28"/>
        </w:rPr>
        <w:t>Ingeniería de Requisitos</w:t>
      </w:r>
    </w:p>
    <w:p>
      <w:pPr>
        <w:spacing w:before="0"/>
        <w:jc w:val="left"/>
      </w:pPr>
      <w:r>
        <w:rPr>
          <w:rFonts w:ascii="Arial" w:hAnsi="Arial" w:eastAsia="Arial"/>
          <w:b/>
          <w:color w:val="000000"/>
          <w:sz w:val="28"/>
        </w:rPr>
        <w:t xml:space="preserve">Sección: </w:t>
      </w:r>
      <w:r>
        <w:rPr>
          <w:rFonts w:ascii="Arial" w:hAnsi="Arial" w:eastAsia="Arial"/>
          <w:b w:val="0"/>
          <w:color w:val="000000"/>
          <w:sz w:val="28"/>
        </w:rPr>
        <w:t>008D</w:t>
      </w:r>
    </w:p>
    <w:p>
      <w:pPr>
        <w:pStyle w:val="Heading1"/>
        <w:pageBreakBefore/>
        <w:jc w:val="center"/>
      </w:pPr>
      <w:r>
        <w:rPr>
          <w:rFonts w:ascii="Arial" w:hAnsi="Arial" w:eastAsia="Arial"/>
          <w:b/>
          <w:color w:val="000000"/>
          <w:sz w:val="32"/>
        </w:rPr>
        <w:t>Índice</w:t>
      </w:r>
    </w:p>
    <w:p>
      <w:r>
        <w:rPr>
          <w:rFonts w:ascii="Arial" w:hAnsi="Arial" w:eastAsia="Arial"/>
        </w:rP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Heading1"/>
        <w:pageBreakBefore/>
      </w:pPr>
      <w:r>
        <w:rPr>
          <w:rFonts w:ascii="Arial" w:hAnsi="Arial" w:eastAsia="Arial"/>
          <w:b/>
          <w:color w:val="000000"/>
          <w:sz w:val="32"/>
        </w:rPr>
        <w:t>1. Hola que hace</w:t>
      </w:r>
    </w:p>
    <w:p>
      <w:pPr>
        <w:pStyle w:val="Heading1"/>
        <w:pageBreakBefore/>
      </w:pPr>
      <w:r>
        <w:rPr>
          <w:rFonts w:ascii="Arial" w:hAnsi="Arial" w:eastAsia="Arial"/>
          <w:b/>
          <w:color w:val="000000"/>
          <w:sz w:val="32"/>
        </w:rPr>
        <w:t>2. Ay dios mio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0"/>
      <w:jc w:val="left"/>
    </w:pPr>
    <w:r>
      <w:drawing>
        <wp:inline xmlns:a="http://schemas.openxmlformats.org/drawingml/2006/main" xmlns:pic="http://schemas.openxmlformats.org/drawingml/2006/picture">
          <wp:extent cx="2688336" cy="67208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cabezadoDuo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88336" cy="67208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rPr>
      <w:rFonts w:ascii="Arial" w:hAnsi="Arial" w:eastAsia="Arial"/>
      <w:color w:val="000000"/>
      <w:u w:val="none"/>
    </w:rPr>
  </w:style>
  <w:style w:type="paragraph" w:customStyle="1" w:styleId="TOC2">
    <w:name w:val="TOC 2"/>
    <w:rPr>
      <w:rFonts w:ascii="Arial" w:hAnsi="Arial" w:eastAsia="Arial"/>
      <w:color w:val="000000"/>
      <w:u w:val="none"/>
    </w:rPr>
  </w:style>
  <w:style w:type="paragraph" w:customStyle="1" w:styleId="TOC3">
    <w:name w:val="TOC 3"/>
    <w:rPr>
      <w:rFonts w:ascii="Arial" w:hAnsi="Arial" w:eastAsia="Arial"/>
      <w:color w:val="000000"/>
      <w:u w:val="none"/>
    </w:rPr>
  </w:style>
  <w:style w:type="character" w:customStyle="1" w:styleId="Hyperlink">
    <w:name w:val="Hyperlink"/>
    <w:rPr>
      <w:rFonts w:ascii="Arial" w:hAnsi="Arial" w:eastAsia="Arial"/>
      <w:color w:val="000000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