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Event Production &amp; AV Requirements Brief</w:t>
      </w:r>
    </w:p>
    <w:p>
      <w:pPr>
        <w:pStyle w:val="Subtitle"/>
      </w:pPr>
      <w:r>
        <w:t>Northstar Leadership Summit 2026</w:t>
      </w:r>
    </w:p>
    <w:p>
      <w:pPr>
        <w:spacing w:after="280"/>
      </w:pPr>
      <w:r>
        <w:rPr>
          <w:b/>
          <w:color w:val="5A6470"/>
          <w:sz w:val="18"/>
        </w:rPr>
        <w:t>Reference: NLS-2026-RFP-01  |  Status: Planning brief  |  Confidentiality: Demo only</w:t>
      </w:r>
    </w:p>
    <w:p>
      <w:pPr>
        <w:pStyle w:val="Heading1"/>
      </w:pPr>
      <w:r>
        <w:t>Event overview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200"/>
        <w:gridCol w:w="7160"/>
      </w:tblGrid>
      <w:tr>
        <w:tc>
          <w:tcPr>
            <w:tcW w:type="dxa" w:w="2200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b/>
              </w:rPr>
              <w:t>Client organization</w:t>
            </w:r>
          </w:p>
        </w:tc>
        <w:tc>
          <w:tcPr>
            <w:tcW w:type="dxa" w:w="7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Northstar Health Collaborative</w:t>
            </w:r>
          </w:p>
        </w:tc>
      </w:tr>
      <w:tr>
        <w:tc>
          <w:tcPr>
            <w:tcW w:type="dxa" w:w="2200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b/>
              </w:rPr>
              <w:t>Event name</w:t>
            </w:r>
          </w:p>
        </w:tc>
        <w:tc>
          <w:tcPr>
            <w:tcW w:type="dxa" w:w="7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Northstar Leadership Summit 2026</w:t>
            </w:r>
          </w:p>
        </w:tc>
      </w:tr>
      <w:tr>
        <w:tc>
          <w:tcPr>
            <w:tcW w:type="dxa" w:w="2200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b/>
              </w:rPr>
              <w:t>Event type</w:t>
            </w:r>
          </w:p>
        </w:tc>
        <w:tc>
          <w:tcPr>
            <w:tcW w:type="dxa" w:w="7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Annual corporate leadership conference</w:t>
            </w:r>
          </w:p>
        </w:tc>
      </w:tr>
      <w:tr>
        <w:tc>
          <w:tcPr>
            <w:tcW w:type="dxa" w:w="2200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b/>
              </w:rPr>
              <w:t>Event format</w:t>
            </w:r>
          </w:p>
        </w:tc>
        <w:tc>
          <w:tcPr>
            <w:tcW w:type="dxa" w:w="7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In-person with a live virtual audience for the general sessions</w:t>
            </w:r>
          </w:p>
        </w:tc>
      </w:tr>
      <w:tr>
        <w:tc>
          <w:tcPr>
            <w:tcW w:type="dxa" w:w="2200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b/>
              </w:rPr>
              <w:t>Location</w:t>
            </w:r>
          </w:p>
        </w:tc>
        <w:tc>
          <w:tcPr>
            <w:tcW w:type="dxa" w:w="7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Chicago, Illinois</w:t>
            </w:r>
          </w:p>
        </w:tc>
      </w:tr>
      <w:tr>
        <w:tc>
          <w:tcPr>
            <w:tcW w:type="dxa" w:w="2200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b/>
              </w:rPr>
              <w:t>Venue</w:t>
            </w:r>
          </w:p>
        </w:tc>
        <w:tc>
          <w:tcPr>
            <w:tcW w:type="dxa" w:w="7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Lakeside Grand Chicago</w:t>
            </w:r>
          </w:p>
        </w:tc>
      </w:tr>
      <w:tr>
        <w:tc>
          <w:tcPr>
            <w:tcW w:type="dxa" w:w="2200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b/>
              </w:rPr>
              <w:t>Event dates</w:t>
            </w:r>
          </w:p>
        </w:tc>
        <w:tc>
          <w:tcPr>
            <w:tcW w:type="dxa" w:w="7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September 14–16, 2026</w:t>
            </w:r>
          </w:p>
        </w:tc>
      </w:tr>
      <w:tr>
        <w:tc>
          <w:tcPr>
            <w:tcW w:type="dxa" w:w="2200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b/>
              </w:rPr>
              <w:t>Expected attendance</w:t>
            </w:r>
          </w:p>
        </w:tc>
        <w:tc>
          <w:tcPr>
            <w:tcW w:type="dxa" w:w="7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450 in person; up to 300 concurrent virtual viewers</w:t>
            </w:r>
          </w:p>
        </w:tc>
      </w:tr>
      <w:tr>
        <w:tc>
          <w:tcPr>
            <w:tcW w:type="dxa" w:w="2200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b/>
              </w:rPr>
              <w:t>Primary contact</w:t>
            </w:r>
          </w:p>
        </w:tc>
        <w:tc>
          <w:tcPr>
            <w:tcW w:type="dxa" w:w="7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Jordan Lee, Events Director — jordan.lee@example.com</w:t>
            </w:r>
          </w:p>
        </w:tc>
      </w:tr>
      <w:tr>
        <w:tc>
          <w:tcPr>
            <w:tcW w:type="dxa" w:w="2200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b/>
              </w:rPr>
              <w:t>Proposal due</w:t>
            </w:r>
          </w:p>
        </w:tc>
        <w:tc>
          <w:tcPr>
            <w:tcW w:type="dxa" w:w="7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August 7, 2026 at 5:00 p.m. Central Time</w:t>
            </w:r>
          </w:p>
        </w:tc>
      </w:tr>
      <w:tr>
        <w:tc>
          <w:tcPr>
            <w:tcW w:type="dxa" w:w="2200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b/>
              </w:rPr>
              <w:t>Planning budget</w:t>
            </w:r>
          </w:p>
        </w:tc>
        <w:tc>
          <w:tcPr>
            <w:tcW w:type="dxa" w:w="7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USD 180,000–240,000 for event production and AV services</w:t>
            </w:r>
          </w:p>
        </w:tc>
      </w:tr>
    </w:tbl>
    <w:p>
      <w:pPr>
        <w:pStyle w:val="Heading1"/>
      </w:pPr>
      <w:r>
        <w:t>Objectives and audience</w:t>
      </w:r>
    </w:p>
    <w:p>
      <w:r>
        <w:t>The summit will bring together Northstar executives, regional directors, clinical leaders, and invited partners. The experience should feel confident, modern, and highly polished while remaining accessible to both in-room and remote participants.</w:t>
      </w:r>
    </w:p>
    <w:p>
      <w:pPr>
        <w:pStyle w:val="ListBullet"/>
        <w:spacing w:after="80"/>
        <w:ind w:left="403" w:hanging="259"/>
      </w:pPr>
      <w:r>
        <w:t>Deliver a high-energy opening general session and an executive strategy program.</w:t>
      </w:r>
    </w:p>
    <w:p>
      <w:pPr>
        <w:pStyle w:val="ListBullet"/>
        <w:spacing w:after="80"/>
        <w:ind w:left="403" w:hanging="259"/>
      </w:pPr>
      <w:r>
        <w:t>Support clear communication across one ballroom and three concurrent breakout rooms.</w:t>
      </w:r>
    </w:p>
    <w:p>
      <w:pPr>
        <w:pStyle w:val="ListBullet"/>
        <w:spacing w:after="80"/>
        <w:ind w:left="403" w:hanging="259"/>
      </w:pPr>
      <w:r>
        <w:t>Provide a dependable broadcast-quality stream for remote viewers.</w:t>
      </w:r>
    </w:p>
    <w:p>
      <w:pPr>
        <w:pStyle w:val="ListBullet"/>
        <w:spacing w:after="80"/>
        <w:ind w:left="403" w:hanging="259"/>
      </w:pPr>
      <w:r>
        <w:t>Capture approved sessions for internal on-demand viewing after the event.</w:t>
      </w:r>
    </w:p>
    <w:p>
      <w:pPr>
        <w:pStyle w:val="ListBullet"/>
        <w:spacing w:after="80"/>
        <w:ind w:left="403" w:hanging="259"/>
      </w:pPr>
      <w:r>
        <w:t>Maintain an uncluttered scenic design using Northstar’s navy, teal, and white brand palette.</w:t>
      </w:r>
    </w:p>
    <w:p>
      <w:pPr>
        <w:pStyle w:val="Heading1"/>
      </w:pPr>
      <w:r>
        <w:t>Program schedule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1300"/>
        <w:gridCol w:w="1900"/>
        <w:gridCol w:w="3560"/>
        <w:gridCol w:w="2600"/>
      </w:tblGrid>
      <w:tr>
        <w:trPr>
          <w:tblHeader w:val="true"/>
        </w:trPr>
        <w:tc>
          <w:tcPr>
            <w:tcW w:type="dxa" w:w="1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r>
              <w:rPr>
                <w:b/>
                <w:color w:val="1F4D78"/>
              </w:rPr>
              <w:t>Date</w:t>
            </w:r>
          </w:p>
        </w:tc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r>
              <w:rPr>
                <w:b/>
                <w:color w:val="1F4D78"/>
              </w:rPr>
              <w:t>Operating hours</w:t>
            </w:r>
          </w:p>
        </w:tc>
        <w:tc>
          <w:tcPr>
            <w:tcW w:type="dxa" w:w="3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r>
              <w:rPr>
                <w:b/>
                <w:color w:val="1F4D78"/>
              </w:rPr>
              <w:t>Program</w:t>
            </w:r>
          </w:p>
        </w:tc>
        <w:tc>
          <w:tcPr>
            <w:tcW w:type="dxa" w:w="2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r>
              <w:rPr>
                <w:b/>
                <w:color w:val="1F4D78"/>
              </w:rPr>
              <w:t>Rooms</w:t>
            </w:r>
          </w:p>
        </w:tc>
      </w:tr>
      <w:tr>
        <w:tc>
          <w:tcPr>
            <w:tcW w:type="dxa" w:w="1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Sep 13</w:t>
            </w:r>
          </w:p>
        </w:tc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1:00–8:00 p.m.</w:t>
            </w:r>
          </w:p>
        </w:tc>
        <w:tc>
          <w:tcPr>
            <w:tcW w:type="dxa" w:w="3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Vendor load-in, build, testing</w:t>
            </w:r>
          </w:p>
        </w:tc>
        <w:tc>
          <w:tcPr>
            <w:tcW w:type="dxa" w:w="2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Grand Ballroom + breakouts</w:t>
            </w:r>
          </w:p>
        </w:tc>
      </w:tr>
      <w:tr>
        <w:tc>
          <w:tcPr>
            <w:tcW w:type="dxa" w:w="1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Sep 14</w:t>
            </w:r>
          </w:p>
        </w:tc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7:00 a.m.–7:00 p.m.</w:t>
            </w:r>
          </w:p>
        </w:tc>
        <w:tc>
          <w:tcPr>
            <w:tcW w:type="dxa" w:w="3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Opening, keynotes, breakouts, reception</w:t>
            </w:r>
          </w:p>
        </w:tc>
        <w:tc>
          <w:tcPr>
            <w:tcW w:type="dxa" w:w="2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Ballroom + 3 breakouts</w:t>
            </w:r>
          </w:p>
        </w:tc>
      </w:tr>
      <w:tr>
        <w:tc>
          <w:tcPr>
            <w:tcW w:type="dxa" w:w="1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Sep 15</w:t>
            </w:r>
          </w:p>
        </w:tc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7:00 a.m.–6:00 p.m.</w:t>
            </w:r>
          </w:p>
        </w:tc>
        <w:tc>
          <w:tcPr>
            <w:tcW w:type="dxa" w:w="3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General session and concurrent breakouts</w:t>
            </w:r>
          </w:p>
        </w:tc>
        <w:tc>
          <w:tcPr>
            <w:tcW w:type="dxa" w:w="2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Ballroom + 3 breakouts</w:t>
            </w:r>
          </w:p>
        </w:tc>
      </w:tr>
      <w:tr>
        <w:tc>
          <w:tcPr>
            <w:tcW w:type="dxa" w:w="1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Sep 16</w:t>
            </w:r>
          </w:p>
        </w:tc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7:00 a.m.–3:00 p.m.</w:t>
            </w:r>
          </w:p>
        </w:tc>
        <w:tc>
          <w:tcPr>
            <w:tcW w:type="dxa" w:w="3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Closing sessions; strike begins at 3:30 p.m.</w:t>
            </w:r>
          </w:p>
        </w:tc>
        <w:tc>
          <w:tcPr>
            <w:tcW w:type="dxa" w:w="2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Ballroom + 2 breakouts</w:t>
            </w:r>
          </w:p>
        </w:tc>
      </w:tr>
    </w:tbl>
    <w:p>
      <w:pPr>
        <w:pStyle w:val="Heading1"/>
      </w:pPr>
      <w:r>
        <w:t>Production scope</w:t>
      </w:r>
    </w:p>
    <w:p>
      <w:pPr>
        <w:pStyle w:val="Heading2"/>
      </w:pPr>
      <w:r>
        <w:t>Grand Ballroom</w:t>
      </w:r>
    </w:p>
    <w:p>
      <w:pPr>
        <w:pStyle w:val="ListBullet"/>
        <w:spacing w:after="80"/>
        <w:ind w:left="403" w:hanging="259"/>
      </w:pPr>
      <w:r>
        <w:t>General-session seating for 450 with clear sightlines and accessible aisles.</w:t>
      </w:r>
    </w:p>
    <w:p>
      <w:pPr>
        <w:pStyle w:val="ListBullet"/>
        <w:spacing w:after="80"/>
        <w:ind w:left="403" w:hanging="259"/>
      </w:pPr>
      <w:r>
        <w:t>16:9 center presentation screen, confidence monitors, branded stage wash, and IMAG.</w:t>
      </w:r>
    </w:p>
    <w:p>
      <w:pPr>
        <w:pStyle w:val="ListBullet"/>
        <w:spacing w:after="80"/>
        <w:ind w:left="403" w:hanging="259"/>
      </w:pPr>
      <w:r>
        <w:t>Four-camera production: two operated cameras, one locked wide camera, and one confidence/utility camera.</w:t>
      </w:r>
    </w:p>
    <w:p>
      <w:pPr>
        <w:pStyle w:val="ListBullet"/>
        <w:spacing w:after="80"/>
        <w:ind w:left="403" w:hanging="259"/>
      </w:pPr>
      <w:r>
        <w:t>Digital audio console, lectern microphone, six wireless lavaliers, four wireless handheld microphones, playback, and recording feeds.</w:t>
      </w:r>
    </w:p>
    <w:p>
      <w:pPr>
        <w:pStyle w:val="ListBullet"/>
        <w:spacing w:after="80"/>
        <w:ind w:left="403" w:hanging="259"/>
      </w:pPr>
      <w:r>
        <w:t>Show caller, technical director, audio engineer, video engineer, graphics operator, camera operators, stage manager, and utility support.</w:t>
      </w:r>
    </w:p>
    <w:p>
      <w:pPr>
        <w:pStyle w:val="ListBullet"/>
        <w:spacing w:after="80"/>
        <w:ind w:left="403" w:hanging="259"/>
      </w:pPr>
      <w:r>
        <w:t>Live captions displayed in-room and embedded in the virtual program.</w:t>
      </w:r>
    </w:p>
    <w:p>
      <w:pPr>
        <w:pStyle w:val="Heading2"/>
      </w:pPr>
      <w:r>
        <w:t>Breakout rooms</w:t>
      </w:r>
    </w:p>
    <w:p>
      <w:pPr>
        <w:pStyle w:val="ListBullet"/>
        <w:spacing w:after="80"/>
        <w:ind w:left="403" w:hanging="259"/>
      </w:pPr>
      <w:r>
        <w:t>Three concurrent rooms on September 14 and 15; two rooms on September 16.</w:t>
      </w:r>
    </w:p>
    <w:p>
      <w:pPr>
        <w:pStyle w:val="ListBullet"/>
        <w:spacing w:after="80"/>
        <w:ind w:left="403" w:hanging="259"/>
      </w:pPr>
      <w:r>
        <w:t>Each room requires presentation display, laptop connectivity, audio reinforcement, one wireless lavalier, one handheld microphone, and a technician.</w:t>
      </w:r>
    </w:p>
    <w:p>
      <w:pPr>
        <w:pStyle w:val="ListBullet"/>
        <w:spacing w:after="80"/>
        <w:ind w:left="403" w:hanging="259"/>
      </w:pPr>
      <w:r>
        <w:t>Room A requires a remote presenter contribution and return confidence monitor.</w:t>
      </w:r>
    </w:p>
    <w:p>
      <w:pPr>
        <w:pStyle w:val="ListBullet"/>
        <w:spacing w:after="80"/>
        <w:ind w:left="403" w:hanging="259"/>
      </w:pPr>
      <w:r>
        <w:t>Sessions in Room A should be recorded; recording for Rooms B and C remains optional pending cost review.</w:t>
      </w:r>
    </w:p>
    <w:p>
      <w:pPr>
        <w:pStyle w:val="Heading2"/>
      </w:pPr>
      <w:r>
        <w:t>Streaming, recording, and content</w:t>
      </w:r>
    </w:p>
    <w:p>
      <w:pPr>
        <w:pStyle w:val="ListBullet"/>
        <w:spacing w:after="80"/>
        <w:ind w:left="403" w:hanging="259"/>
      </w:pPr>
      <w:r>
        <w:t>Stream general sessions to a browser-based platform for up to 300 concurrent viewers.</w:t>
      </w:r>
    </w:p>
    <w:p>
      <w:pPr>
        <w:pStyle w:val="ListBullet"/>
        <w:spacing w:after="80"/>
        <w:ind w:left="403" w:hanging="259"/>
      </w:pPr>
      <w:r>
        <w:t>Include branded holding slides, lower thirds, speaker names, agenda slates, and moderated Q&amp;A.</w:t>
      </w:r>
    </w:p>
    <w:p>
      <w:pPr>
        <w:pStyle w:val="ListBullet"/>
        <w:spacing w:after="80"/>
        <w:ind w:left="403" w:hanging="259"/>
      </w:pPr>
      <w:r>
        <w:t>Record program and clean feeds in 1080p; provide edited keynote files within five business days.</w:t>
      </w:r>
    </w:p>
    <w:p>
      <w:pPr>
        <w:pStyle w:val="ListBullet"/>
        <w:spacing w:after="80"/>
        <w:ind w:left="403" w:hanging="259"/>
      </w:pPr>
      <w:r>
        <w:t>Client will provide final presentation files by September 9, 2026.</w:t>
      </w:r>
    </w:p>
    <w:p>
      <w:pPr>
        <w:pStyle w:val="Heading1"/>
      </w:pPr>
      <w:r>
        <w:t>Vendor response requirements</w:t>
      </w:r>
    </w:p>
    <w:p>
      <w:pPr>
        <w:pStyle w:val="ListBullet"/>
        <w:spacing w:after="80"/>
        <w:ind w:left="403" w:hanging="259"/>
      </w:pPr>
      <w:r>
        <w:t>Provide an itemized equipment, labor, travel, service-charge, and tax breakdown.</w:t>
      </w:r>
    </w:p>
    <w:p>
      <w:pPr>
        <w:pStyle w:val="ListBullet"/>
        <w:spacing w:after="80"/>
        <w:ind w:left="403" w:hanging="259"/>
      </w:pPr>
      <w:r>
        <w:t>State all assumptions, exclusions, overtime rules, minimum calls, cancellation terms, and change-order procedures.</w:t>
      </w:r>
    </w:p>
    <w:p>
      <w:pPr>
        <w:pStyle w:val="ListBullet"/>
        <w:spacing w:after="80"/>
        <w:ind w:left="403" w:hanging="259"/>
      </w:pPr>
      <w:r>
        <w:t>Identify the proposed project lead and department leads.</w:t>
      </w:r>
    </w:p>
    <w:p>
      <w:pPr>
        <w:pStyle w:val="ListBullet"/>
        <w:spacing w:after="80"/>
        <w:ind w:left="403" w:hanging="259"/>
      </w:pPr>
      <w:r>
        <w:t>Provide proof of insurance and two examples of comparable corporate events.</w:t>
      </w:r>
    </w:p>
    <w:p>
      <w:pPr>
        <w:pStyle w:val="ListBullet"/>
        <w:spacing w:after="80"/>
        <w:ind w:left="403" w:hanging="259"/>
      </w:pPr>
      <w:r>
        <w:t>Offer a base solution plus clearly labeled options for breakout recording and enhanced scenic treatment.</w:t>
      </w:r>
    </w:p>
    <w:p>
      <w:pPr>
        <w:pStyle w:val="Heading1"/>
      </w:pPr>
      <w:r>
        <w:t>Items to confirm during planning</w:t>
      </w:r>
    </w:p>
    <w:p>
      <w:r>
        <w:t>The client has not yet selected the streaming platform, confirmed the final scenic package, or decided whether Rooms B and C require recording. Vendors should identify recommended choices and the associated investment impact.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296" w:bottom="1080" w:left="1296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5A6470"/>
        <w:sz w:val="16"/>
      </w:rPr>
      <w:t>Fictional client-demo material • Prepared July 23,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b/>
        <w:color w:val="5A6470"/>
        <w:sz w:val="16"/>
      </w:rPr>
      <w:t>NORTHSTAR LEADERSHIP SUMMIT 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Aptos" w:hAnsi="Aptos"/>
      <w:color w:val="1C253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00" w:after="1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F4D7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F4D78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F4D7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2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1F4D78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320"/>
    </w:pPr>
    <w:rPr>
      <w:rFonts w:asciiTheme="majorHAnsi" w:eastAsiaTheme="majorEastAsia" w:hAnsiTheme="majorHAnsi" w:cstheme="majorBidi" w:ascii="Aptos" w:hAnsi="Aptos"/>
      <w:b w:val="0"/>
      <w:i/>
      <w:iCs/>
      <w:color w:val="5A647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