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D62217" w:rsidRDefault="00EB1480">
      <w:pPr>
        <w:pStyle w:val="3"/>
        <w:shd w:val="clear" w:color="auto" w:fill="auto"/>
        <w:spacing w:line="240" w:lineRule="auto"/>
        <w:jc w:val="center"/>
      </w:pPr>
      <w:r>
        <w:t>А</w:t>
      </w:r>
      <w:r w:rsidR="00952E1C">
        <w:t>К</w:t>
      </w:r>
      <w:r>
        <w:t xml:space="preserve">Т  № </w:t>
      </w:r>
      <w:r w:rsidR="00D62217">
        <w:t>4</w:t>
      </w:r>
      <w:r w:rsidR="00B02F96">
        <w:t>4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37FA" w:rsidRPr="00CD37FA">
        <w:rPr>
          <w:b w:val="0"/>
          <w:bCs w:val="0"/>
          <w:lang w:val="ru-RU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37FA" w:rsidRPr="00CD37FA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1C5E92">
        <w:t>СЕ</w:t>
      </w:r>
      <w:r w:rsidR="00B02F96">
        <w:rPr>
          <w:lang w:val="ru-RU"/>
        </w:rPr>
        <w:t>5637СР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8F423D">
        <w:t>СЕ</w:t>
      </w:r>
      <w:r w:rsidR="00B02F96">
        <w:t>3498</w:t>
      </w:r>
      <w:r w:rsidR="00F13913">
        <w:rPr>
          <w:lang w:val="en-US"/>
        </w:rPr>
        <w:t>X</w:t>
      </w:r>
      <w:r w:rsidR="00B02F96">
        <w:t>Р</w:t>
      </w:r>
      <w:r>
        <w:rPr>
          <w:b w:val="0"/>
          <w:bCs w:val="0"/>
        </w:rPr>
        <w:t xml:space="preserve">, загальний об’єм </w:t>
      </w:r>
      <w:r w:rsidR="00B02F96">
        <w:t>30850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964DF7" w:rsidP="00C36E65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B02F96" w:rsidRDefault="00B02F96" w:rsidP="008F423D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30850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8F423D" w:rsidRDefault="00B02F96" w:rsidP="0001483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832,4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B02F96" w:rsidP="001C4CF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B02F96" w:rsidP="00201360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25680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64DF7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sz w:val="16"/>
                <w:szCs w:val="16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F13913" w:rsidRDefault="006A5BF0" w:rsidP="00F13913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952E1C" w:rsidP="00964DF7">
            <w:pPr>
              <w:pStyle w:val="3"/>
              <w:shd w:val="clear" w:color="auto" w:fill="auto"/>
              <w:spacing w:line="240" w:lineRule="auto"/>
              <w:jc w:val="center"/>
            </w:pPr>
            <w:r w:rsidRPr="00964DF7">
              <w:rPr>
                <w:rFonts w:eastAsia="Calibri"/>
                <w:bCs w:val="0"/>
              </w:rPr>
              <w:t>2</w:t>
            </w:r>
            <w:r w:rsidR="00964DF7">
              <w:rPr>
                <w:rFonts w:eastAsia="Calibri"/>
                <w:bCs w:val="0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B02F96" w:rsidP="00C36E65">
            <w:pPr>
              <w:pStyle w:val="3"/>
              <w:shd w:val="clear" w:color="auto" w:fill="auto"/>
              <w:spacing w:line="240" w:lineRule="auto"/>
              <w:jc w:val="center"/>
            </w:pPr>
            <w:r>
              <w:t>30850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964DF7">
              <w:rPr>
                <w:rFonts w:eastAsia="Calibri"/>
                <w:bCs w:val="0"/>
              </w:rPr>
              <w:t>об’ємно</w:t>
            </w:r>
            <w:proofErr w:type="spellEnd"/>
            <w:r w:rsidRPr="00964DF7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B02F96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832,4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B02F96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21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964DF7" w:rsidRDefault="00B02F96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25680</w:t>
            </w:r>
            <w:bookmarkStart w:id="1" w:name="_GoBack"/>
            <w:bookmarkEnd w:id="1"/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14830"/>
    <w:rsid w:val="000331A3"/>
    <w:rsid w:val="000463CF"/>
    <w:rsid w:val="000668CD"/>
    <w:rsid w:val="000A4473"/>
    <w:rsid w:val="000E13C8"/>
    <w:rsid w:val="00116282"/>
    <w:rsid w:val="00150835"/>
    <w:rsid w:val="001947B4"/>
    <w:rsid w:val="001A6FA4"/>
    <w:rsid w:val="001C4CF4"/>
    <w:rsid w:val="001C5E92"/>
    <w:rsid w:val="00200787"/>
    <w:rsid w:val="00201360"/>
    <w:rsid w:val="002566AB"/>
    <w:rsid w:val="00265450"/>
    <w:rsid w:val="00283D4A"/>
    <w:rsid w:val="0029237E"/>
    <w:rsid w:val="002D77E9"/>
    <w:rsid w:val="002E6D61"/>
    <w:rsid w:val="002F2127"/>
    <w:rsid w:val="0035568B"/>
    <w:rsid w:val="00425E65"/>
    <w:rsid w:val="00476780"/>
    <w:rsid w:val="004B327D"/>
    <w:rsid w:val="004D1F5E"/>
    <w:rsid w:val="00531F0C"/>
    <w:rsid w:val="00565E70"/>
    <w:rsid w:val="005B4BF4"/>
    <w:rsid w:val="005C40EA"/>
    <w:rsid w:val="00610C2B"/>
    <w:rsid w:val="006248D9"/>
    <w:rsid w:val="00627C2C"/>
    <w:rsid w:val="00652835"/>
    <w:rsid w:val="006A3691"/>
    <w:rsid w:val="006A5BF0"/>
    <w:rsid w:val="006A6C50"/>
    <w:rsid w:val="0071101B"/>
    <w:rsid w:val="0074535F"/>
    <w:rsid w:val="00764FA5"/>
    <w:rsid w:val="008551A1"/>
    <w:rsid w:val="008773DD"/>
    <w:rsid w:val="008840C2"/>
    <w:rsid w:val="00893178"/>
    <w:rsid w:val="008A615E"/>
    <w:rsid w:val="008B77D9"/>
    <w:rsid w:val="008F423D"/>
    <w:rsid w:val="00900053"/>
    <w:rsid w:val="00903FCE"/>
    <w:rsid w:val="00907A14"/>
    <w:rsid w:val="00952E1C"/>
    <w:rsid w:val="00964DF7"/>
    <w:rsid w:val="00A215AB"/>
    <w:rsid w:val="00A50214"/>
    <w:rsid w:val="00A519D9"/>
    <w:rsid w:val="00A6348A"/>
    <w:rsid w:val="00A641A3"/>
    <w:rsid w:val="00A95F29"/>
    <w:rsid w:val="00AA20E4"/>
    <w:rsid w:val="00AB246C"/>
    <w:rsid w:val="00AB2FDB"/>
    <w:rsid w:val="00AC6608"/>
    <w:rsid w:val="00B02F96"/>
    <w:rsid w:val="00B46681"/>
    <w:rsid w:val="00BB5BFF"/>
    <w:rsid w:val="00BD7944"/>
    <w:rsid w:val="00BE2302"/>
    <w:rsid w:val="00BE4610"/>
    <w:rsid w:val="00C36272"/>
    <w:rsid w:val="00C36E65"/>
    <w:rsid w:val="00C51589"/>
    <w:rsid w:val="00C60B13"/>
    <w:rsid w:val="00C75F7E"/>
    <w:rsid w:val="00CA28FC"/>
    <w:rsid w:val="00CD37FA"/>
    <w:rsid w:val="00D021C7"/>
    <w:rsid w:val="00D50050"/>
    <w:rsid w:val="00D62217"/>
    <w:rsid w:val="00D835DB"/>
    <w:rsid w:val="00DC5813"/>
    <w:rsid w:val="00E3584C"/>
    <w:rsid w:val="00E41D3D"/>
    <w:rsid w:val="00E62D9C"/>
    <w:rsid w:val="00EB1480"/>
    <w:rsid w:val="00EB5FC7"/>
    <w:rsid w:val="00ED1973"/>
    <w:rsid w:val="00ED2EE8"/>
    <w:rsid w:val="00EF5A39"/>
    <w:rsid w:val="00F13913"/>
    <w:rsid w:val="00F251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2024-05-03T07:38:00Z</dcterms:created>
  <dcterms:modified xsi:type="dcterms:W3CDTF">2024-05-03T07:41:00Z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