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105786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Explainable State-of-Health Estimation for Lithium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noBreakHyphen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Ion Batteries</w:t>
      </w:r>
    </w:p>
    <w:p w14:paraId="635174D7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 w:ascii="Times New Roman" w:hAnsi="Times New Roman" w:eastAsia="SimSun" w:cs="Times New Roman"/>
          <w:b w:val="0"/>
          <w:bCs w:val="0"/>
          <w:sz w:val="22"/>
          <w:szCs w:val="22"/>
          <w:lang w:val="en-US" w:eastAsia="zh-CN"/>
        </w:rPr>
      </w:pPr>
      <w:r>
        <w:rPr>
          <w:rFonts w:hint="eastAsia" w:ascii="Times New Roman" w:hAnsi="Times New Roman" w:eastAsia="SimSun" w:cs="Times New Roman"/>
          <w:b w:val="0"/>
          <w:bCs w:val="0"/>
          <w:sz w:val="22"/>
          <w:szCs w:val="22"/>
          <w:lang w:val="en-US" w:eastAsia="zh-CN"/>
        </w:rPr>
        <w:t>Author: Baze Bai</w:t>
      </w:r>
    </w:p>
    <w:p w14:paraId="3C2D18F2">
      <w:pPr>
        <w:pStyle w:val="3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2"/>
          <w:szCs w:val="22"/>
        </w:rPr>
      </w:pPr>
      <w:r>
        <w:rPr>
          <w:rStyle w:val="6"/>
          <w:rFonts w:hint="default" w:ascii="Times New Roman" w:hAnsi="Times New Roman" w:cs="Times New Roman"/>
          <w:sz w:val="24"/>
          <w:szCs w:val="24"/>
        </w:rPr>
        <w:t>Research Question &amp; Hypotheses</w:t>
      </w:r>
      <w:r>
        <w:rPr>
          <w:rFonts w:hint="default" w:ascii="Times New Roman" w:hAnsi="Times New Roman" w:cs="Times New Roman"/>
          <w:sz w:val="22"/>
          <w:szCs w:val="22"/>
        </w:rPr>
        <w:br w:type="textWrapping"/>
      </w:r>
      <w:r>
        <w:rPr>
          <w:rFonts w:hint="default" w:ascii="Times New Roman" w:hAnsi="Times New Roman" w:cs="Times New Roman"/>
          <w:sz w:val="22"/>
          <w:szCs w:val="22"/>
        </w:rPr>
        <w:t>Estimating the State</w:t>
      </w:r>
      <w:r>
        <w:rPr>
          <w:rFonts w:hint="default" w:ascii="Times New Roman" w:hAnsi="Times New Roman" w:cs="Times New Roman"/>
          <w:sz w:val="22"/>
          <w:szCs w:val="22"/>
        </w:rPr>
        <w:noBreakHyphen/>
      </w:r>
      <w:r>
        <w:rPr>
          <w:rFonts w:hint="default" w:ascii="Times New Roman" w:hAnsi="Times New Roman" w:cs="Times New Roman"/>
          <w:sz w:val="22"/>
          <w:szCs w:val="22"/>
        </w:rPr>
        <w:t>of</w:t>
      </w:r>
      <w:r>
        <w:rPr>
          <w:rFonts w:hint="default" w:ascii="Times New Roman" w:hAnsi="Times New Roman" w:cs="Times New Roman"/>
          <w:sz w:val="22"/>
          <w:szCs w:val="22"/>
        </w:rPr>
        <w:noBreakHyphen/>
      </w:r>
      <w:r>
        <w:rPr>
          <w:rFonts w:hint="default" w:ascii="Times New Roman" w:hAnsi="Times New Roman" w:cs="Times New Roman"/>
          <w:sz w:val="22"/>
          <w:szCs w:val="22"/>
        </w:rPr>
        <w:t>Health (SOH) of lithium</w:t>
      </w:r>
      <w:r>
        <w:rPr>
          <w:rFonts w:hint="default" w:ascii="Times New Roman" w:hAnsi="Times New Roman" w:cs="Times New Roman"/>
          <w:sz w:val="22"/>
          <w:szCs w:val="22"/>
        </w:rPr>
        <w:noBreakHyphen/>
      </w:r>
      <w:r>
        <w:rPr>
          <w:rFonts w:hint="default" w:ascii="Times New Roman" w:hAnsi="Times New Roman" w:cs="Times New Roman"/>
          <w:sz w:val="22"/>
          <w:szCs w:val="22"/>
        </w:rPr>
        <w:t>ion batteries accurately remains challenging, and few studies examine model explainability. This project tests two hypotheses:</w:t>
      </w:r>
    </w:p>
    <w:p w14:paraId="531DEF5F"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No specific patterns exist between external features and SOH.</w:t>
      </w:r>
    </w:p>
    <w:p w14:paraId="0AB529E6"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leftChars="0" w:right="0" w:firstLine="0" w:firstLine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Distinct patterns do exist between external features and SOH. ​</w:t>
      </w:r>
    </w:p>
    <w:p w14:paraId="7F0348B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sz w:val="22"/>
          <w:szCs w:val="22"/>
        </w:rPr>
      </w:pPr>
      <w:r>
        <w:rPr>
          <w:rStyle w:val="6"/>
          <w:rFonts w:hint="default" w:ascii="Times New Roman" w:hAnsi="Times New Roman" w:eastAsia="SimSun" w:cs="Times New Roman"/>
          <w:sz w:val="24"/>
          <w:szCs w:val="24"/>
        </w:rPr>
        <w:t>Importance</w:t>
      </w:r>
      <w:r>
        <w:rPr>
          <w:rFonts w:hint="default" w:ascii="Times New Roman" w:hAnsi="Times New Roman" w:eastAsia="SimSun" w:cs="Times New Roman"/>
          <w:sz w:val="22"/>
          <w:szCs w:val="22"/>
        </w:rPr>
        <w:br w:type="textWrapping"/>
      </w:r>
      <w:r>
        <w:rPr>
          <w:rFonts w:hint="default" w:ascii="Times New Roman" w:hAnsi="Times New Roman" w:eastAsia="SimSun" w:cs="Times New Roman"/>
          <w:sz w:val="22"/>
          <w:szCs w:val="22"/>
        </w:rPr>
        <w:t>SOH monitoring is vital for battery safety, longevity, and cost</w:t>
      </w:r>
      <w:r>
        <w:rPr>
          <w:rFonts w:hint="default" w:ascii="Times New Roman" w:hAnsi="Times New Roman" w:eastAsia="SimSun" w:cs="Times New Roman"/>
          <w:sz w:val="22"/>
          <w:szCs w:val="22"/>
        </w:rPr>
        <w:noBreakHyphen/>
      </w:r>
      <w:r>
        <w:rPr>
          <w:rFonts w:hint="default" w:ascii="Times New Roman" w:hAnsi="Times New Roman" w:eastAsia="SimSun" w:cs="Times New Roman"/>
          <w:sz w:val="22"/>
          <w:szCs w:val="22"/>
        </w:rPr>
        <w:t>effective maintenance. Adding explainability helps reveal which external measurements truly drive SOH predictions, leading to more reliable management. ​</w:t>
      </w:r>
    </w:p>
    <w:p w14:paraId="08C4CCF9">
      <w:pPr>
        <w:rPr>
          <w:rFonts w:hint="default" w:ascii="Times New Roman" w:hAnsi="Times New Roman" w:eastAsia="SimSun" w:cs="Times New Roman"/>
          <w:sz w:val="22"/>
          <w:szCs w:val="22"/>
        </w:rPr>
      </w:pPr>
      <w:r>
        <w:rPr>
          <w:rStyle w:val="6"/>
          <w:rFonts w:hint="default" w:ascii="Times New Roman" w:hAnsi="Times New Roman" w:eastAsia="SimSun" w:cs="Times New Roman"/>
          <w:sz w:val="24"/>
          <w:szCs w:val="24"/>
        </w:rPr>
        <w:t>Prior Work</w:t>
      </w:r>
      <w:r>
        <w:rPr>
          <w:rFonts w:hint="default" w:ascii="Times New Roman" w:hAnsi="Times New Roman" w:eastAsia="SimSun" w:cs="Times New Roman"/>
          <w:sz w:val="22"/>
          <w:szCs w:val="22"/>
        </w:rPr>
        <w:br w:type="textWrapping"/>
      </w:r>
      <w:r>
        <w:rPr>
          <w:rFonts w:hint="default" w:ascii="Times New Roman" w:hAnsi="Times New Roman" w:eastAsia="SimSun" w:cs="Times New Roman"/>
          <w:sz w:val="22"/>
          <w:szCs w:val="22"/>
        </w:rPr>
        <w:t>Wang et al. (“Explainability</w:t>
      </w:r>
      <w:r>
        <w:rPr>
          <w:rFonts w:hint="default" w:ascii="Times New Roman" w:hAnsi="Times New Roman" w:eastAsia="SimSun" w:cs="Times New Roman"/>
          <w:sz w:val="22"/>
          <w:szCs w:val="22"/>
        </w:rPr>
        <w:noBreakHyphen/>
      </w:r>
      <w:r>
        <w:rPr>
          <w:rFonts w:hint="default" w:ascii="Times New Roman" w:hAnsi="Times New Roman" w:eastAsia="SimSun" w:cs="Times New Roman"/>
          <w:sz w:val="22"/>
          <w:szCs w:val="22"/>
        </w:rPr>
        <w:t>driven model improvement for SOH estimation of lithium</w:t>
      </w:r>
      <w:r>
        <w:rPr>
          <w:rFonts w:hint="default" w:ascii="Times New Roman" w:hAnsi="Times New Roman" w:eastAsia="SimSun" w:cs="Times New Roman"/>
          <w:sz w:val="22"/>
          <w:szCs w:val="22"/>
        </w:rPr>
        <w:noBreakHyphen/>
      </w:r>
      <w:r>
        <w:rPr>
          <w:rFonts w:hint="default" w:ascii="Times New Roman" w:hAnsi="Times New Roman" w:eastAsia="SimSun" w:cs="Times New Roman"/>
          <w:sz w:val="22"/>
          <w:szCs w:val="22"/>
        </w:rPr>
        <w:t>ion Battery”) combined deep learning (CNN/LSTM) with post</w:t>
      </w:r>
      <w:r>
        <w:rPr>
          <w:rFonts w:hint="default" w:ascii="Times New Roman" w:hAnsi="Times New Roman" w:eastAsia="SimSun" w:cs="Times New Roman"/>
          <w:sz w:val="22"/>
          <w:szCs w:val="22"/>
        </w:rPr>
        <w:noBreakHyphen/>
      </w:r>
      <w:r>
        <w:rPr>
          <w:rFonts w:hint="default" w:ascii="Times New Roman" w:hAnsi="Times New Roman" w:eastAsia="SimSun" w:cs="Times New Roman"/>
          <w:sz w:val="22"/>
          <w:szCs w:val="22"/>
        </w:rPr>
        <w:t>hoc methods like LRP to identify key features and feed those insights back into training, improving both interpretability and accuracy. ​</w:t>
      </w:r>
    </w:p>
    <w:p w14:paraId="53C81641">
      <w:pPr>
        <w:rPr>
          <w:rFonts w:hint="default" w:ascii="Times New Roman" w:hAnsi="Times New Roman" w:eastAsia="SimSun" w:cs="Times New Roman"/>
          <w:sz w:val="22"/>
          <w:szCs w:val="22"/>
        </w:rPr>
      </w:pPr>
    </w:p>
    <w:p w14:paraId="29EC056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20" w:beforeAutospacing="0" w:after="20" w:afterAutospacing="0"/>
        <w:ind w:left="-38" w:leftChars="0"/>
        <w:rPr>
          <w:rFonts w:hint="default" w:ascii="Times New Roman" w:hAnsi="Times New Roman" w:eastAsia="SimSun" w:cs="Times New Roman"/>
          <w:sz w:val="22"/>
          <w:szCs w:val="22"/>
        </w:rPr>
      </w:pPr>
      <w:r>
        <w:rPr>
          <w:rStyle w:val="6"/>
          <w:rFonts w:hint="default" w:ascii="Times New Roman" w:hAnsi="Times New Roman" w:eastAsia="SimSun" w:cs="Times New Roman"/>
          <w:sz w:val="24"/>
          <w:szCs w:val="24"/>
        </w:rPr>
        <w:t>Proposed Approach</w:t>
      </w:r>
      <w:r>
        <w:rPr>
          <w:rFonts w:hint="default" w:ascii="Times New Roman" w:hAnsi="Times New Roman" w:eastAsia="SimSun" w:cs="Times New Roman"/>
          <w:sz w:val="22"/>
          <w:szCs w:val="22"/>
        </w:rPr>
        <w:br w:type="textWrapping"/>
      </w:r>
      <w:r>
        <w:rPr>
          <w:rFonts w:hint="default" w:ascii="Times New Roman" w:hAnsi="Times New Roman" w:eastAsia="SimSun" w:cs="Times New Roman"/>
          <w:sz w:val="22"/>
          <w:szCs w:val="22"/>
        </w:rPr>
        <w:t>• Build a multi</w:t>
      </w:r>
      <w:r>
        <w:rPr>
          <w:rFonts w:hint="default" w:ascii="Times New Roman" w:hAnsi="Times New Roman" w:eastAsia="SimSun" w:cs="Times New Roman"/>
          <w:sz w:val="22"/>
          <w:szCs w:val="22"/>
        </w:rPr>
        <w:noBreakHyphen/>
      </w:r>
      <w:r>
        <w:rPr>
          <w:rFonts w:hint="default" w:ascii="Times New Roman" w:hAnsi="Times New Roman" w:eastAsia="SimSun" w:cs="Times New Roman"/>
          <w:sz w:val="22"/>
          <w:szCs w:val="22"/>
        </w:rPr>
        <w:t>channel 1D</w:t>
      </w:r>
      <w:r>
        <w:rPr>
          <w:rFonts w:hint="default" w:ascii="Times New Roman" w:hAnsi="Times New Roman" w:eastAsia="SimSun" w:cs="Times New Roman"/>
          <w:sz w:val="22"/>
          <w:szCs w:val="22"/>
        </w:rPr>
        <w:noBreakHyphen/>
      </w:r>
      <w:r>
        <w:rPr>
          <w:rFonts w:hint="default" w:ascii="Times New Roman" w:hAnsi="Times New Roman" w:eastAsia="SimSun" w:cs="Times New Roman"/>
          <w:sz w:val="22"/>
          <w:szCs w:val="22"/>
        </w:rPr>
        <w:t>CNN where each channel processes a different feature set (e.g., EIS, IC c</w:t>
      </w:r>
      <w:r>
        <w:rPr>
          <w:rFonts w:hint="default" w:ascii="Times New Roman" w:hAnsi="Times New Roman" w:eastAsia="SimSun" w:cs="Times New Roman"/>
          <w:sz w:val="22"/>
          <w:szCs w:val="22"/>
        </w:rPr>
        <w:t>urves, temperature).</w:t>
      </w:r>
      <w:r>
        <w:rPr>
          <w:rFonts w:hint="default" w:ascii="Times New Roman" w:hAnsi="Times New Roman" w:eastAsia="SimSun" w:cs="Times New Roman"/>
          <w:sz w:val="22"/>
          <w:szCs w:val="22"/>
        </w:rPr>
        <w:br w:type="textWrapping"/>
      </w:r>
      <w:r>
        <w:rPr>
          <w:rFonts w:hint="default" w:ascii="Times New Roman" w:hAnsi="Times New Roman" w:eastAsia="SimSun" w:cs="Times New Roman"/>
          <w:sz w:val="22"/>
          <w:szCs w:val="22"/>
        </w:rPr>
        <w:t>• Apply Integrated</w:t>
      </w:r>
      <w:r>
        <w:rPr>
          <w:rFonts w:hint="eastAsia" w:ascii="Times New Roman" w:hAnsi="Times New Roman" w:eastAsia="SimSun" w:cs="Times New Roman"/>
          <w:sz w:val="22"/>
          <w:szCs w:val="22"/>
          <w:lang w:val="en-US" w:eastAsia="zh-CN"/>
        </w:rPr>
        <w:t xml:space="preserve"> </w:t>
      </w:r>
      <w:r>
        <w:rPr>
          <w:rFonts w:hint="default" w:ascii="Times New Roman" w:hAnsi="Times New Roman" w:eastAsia="SimSun" w:cs="Times New Roman"/>
          <w:sz w:val="22"/>
          <w:szCs w:val="22"/>
        </w:rPr>
        <w:t>Gradients (</w:t>
      </w:r>
      <w:r>
        <w:rPr>
          <w:rFonts w:hint="eastAsia" w:ascii="Times New Roman" w:hAnsi="Times New Roman" w:eastAsia="SimSun" w:cs="Times New Roman"/>
          <w:sz w:val="22"/>
          <w:szCs w:val="22"/>
          <w:lang w:val="en-US" w:eastAsia="zh-CN"/>
        </w:rPr>
        <w:t>IG</w:t>
      </w:r>
      <w:r>
        <w:rPr>
          <w:rFonts w:hint="default" w:ascii="Times New Roman" w:hAnsi="Times New Roman" w:eastAsia="SimSun" w:cs="Times New Roman"/>
          <w:sz w:val="22"/>
          <w:szCs w:val="22"/>
        </w:rPr>
        <w:t>)</w:t>
      </w:r>
      <w:r>
        <w:rPr>
          <w:rFonts w:hint="eastAsia" w:ascii="Times New Roman" w:hAnsi="Times New Roman" w:eastAsia="SimSun" w:cs="Times New Roman"/>
          <w:sz w:val="22"/>
          <w:szCs w:val="22"/>
          <w:lang w:val="en-US" w:eastAsia="zh-CN"/>
        </w:rPr>
        <w:t xml:space="preserve"> maps</w:t>
      </w:r>
      <w:r>
        <w:rPr>
          <w:rFonts w:hint="default" w:ascii="Times New Roman" w:hAnsi="Times New Roman" w:eastAsia="SimSun" w:cs="Times New Roman"/>
          <w:sz w:val="22"/>
          <w:szCs w:val="22"/>
        </w:rPr>
        <w:t xml:space="preserve"> across SOH levels (100%→70%) to visualize and quantify feature importance. ​</w:t>
      </w:r>
    </w:p>
    <w:p w14:paraId="46516CE3">
      <w:pPr>
        <w:rPr>
          <w:rFonts w:hint="default" w:ascii="Times New Roman" w:hAnsi="Times New Roman" w:eastAsia="SimSun" w:cs="Times New Roman"/>
          <w:sz w:val="22"/>
          <w:szCs w:val="22"/>
        </w:rPr>
      </w:pPr>
    </w:p>
    <w:p w14:paraId="51381B32">
      <w:pPr>
        <w:rPr>
          <w:rFonts w:hint="default" w:ascii="Times New Roman" w:hAnsi="Times New Roman" w:eastAsia="SimSun" w:cs="Times New Roman"/>
          <w:sz w:val="22"/>
          <w:szCs w:val="22"/>
        </w:rPr>
      </w:pPr>
      <w:r>
        <w:rPr>
          <w:rFonts w:hint="default" w:ascii="Times New Roman" w:hAnsi="Times New Roman" w:eastAsia="SimSun" w:cs="Times New Roman"/>
          <w:sz w:val="22"/>
          <w:szCs w:val="22"/>
        </w:rPr>
        <w:drawing>
          <wp:inline distT="0" distB="0" distL="114300" distR="114300">
            <wp:extent cx="5266690" cy="3511550"/>
            <wp:effectExtent l="0" t="0" r="3810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50C212">
      <w:pPr>
        <w:jc w:val="center"/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eastAsia="SimSun" w:cs="Times New Roman"/>
          <w:sz w:val="22"/>
          <w:szCs w:val="22"/>
          <w:lang w:val="en-US" w:eastAsia="zh-CN"/>
        </w:rPr>
        <w:t>Fig.1 Architecture of 1D-CNN</w:t>
      </w:r>
    </w:p>
    <w:p w14:paraId="548B8C91">
      <w:pPr>
        <w:pStyle w:val="2"/>
        <w:keepNext w:val="0"/>
        <w:keepLines w:val="0"/>
        <w:widowControl/>
        <w:suppressLineNumbers w:val="0"/>
        <w:spacing w:before="200" w:beforeAutospacing="0" w:after="100" w:afterAutospacing="0" w:line="13" w:lineRule="atLeast"/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MultiSource1DCNN Architecture</w:t>
      </w:r>
    </w:p>
    <w:p w14:paraId="1C2A3797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20" w:beforeAutospacing="0" w:after="20" w:afterAutospacing="0"/>
        <w:ind w:left="-200" w:left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Input</w:t>
      </w:r>
      <w:r>
        <w:rPr>
          <w:rFonts w:hint="default" w:ascii="Times New Roman" w:hAnsi="Times New Roman" w:cs="Times New Roman"/>
          <w:sz w:val="22"/>
          <w:szCs w:val="22"/>
        </w:rPr>
        <w:t xml:space="preserve">: (Batch,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</w:t>
      </w:r>
      <w:r>
        <w:rPr>
          <w:rFonts w:hint="default" w:ascii="Times New Roman" w:hAnsi="Times New Roman" w:cs="Times New Roman"/>
          <w:sz w:val="22"/>
          <w:szCs w:val="22"/>
        </w:rPr>
        <w:t xml:space="preserve"> sources, 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feature_length</w:t>
      </w:r>
      <w:r>
        <w:rPr>
          <w:rFonts w:hint="default" w:ascii="Times New Roman" w:hAnsi="Times New Roman" w:cs="Times New Roman"/>
          <w:sz w:val="22"/>
          <w:szCs w:val="22"/>
        </w:rPr>
        <w:t>)</w:t>
      </w:r>
    </w:p>
    <w:p w14:paraId="26FA26A5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20" w:beforeAutospacing="0" w:after="20" w:afterAutospacing="0"/>
        <w:ind w:left="-200" w:left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Processing</w:t>
      </w:r>
      <w:r>
        <w:rPr>
          <w:rFonts w:hint="default" w:ascii="Times New Roman" w:hAnsi="Times New Roman" w:cs="Times New Roman"/>
          <w:sz w:val="22"/>
          <w:szCs w:val="22"/>
        </w:rPr>
        <w:t>:</w:t>
      </w:r>
    </w:p>
    <w:p w14:paraId="495BA8DE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bottom w:val="none" w:color="auto" w:sz="0" w:space="0"/>
        </w:pBdr>
        <w:spacing w:before="20" w:beforeAutospacing="0" w:after="20" w:afterAutospacing="0"/>
        <w:ind w:left="322" w:hanging="36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n</w:t>
      </w:r>
      <w:r>
        <w:rPr>
          <w:rFonts w:hint="default" w:ascii="Times New Roman" w:hAnsi="Times New Roman" w:cs="Times New Roman"/>
          <w:sz w:val="22"/>
          <w:szCs w:val="22"/>
        </w:rPr>
        <w:t xml:space="preserve"> parallel convolutional branches (one per source)</w:t>
      </w:r>
    </w:p>
    <w:p w14:paraId="5F33E38F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bottom w:val="none" w:color="auto" w:sz="0" w:space="0"/>
        </w:pBdr>
        <w:spacing w:before="20" w:beforeAutospacing="0" w:after="20" w:afterAutospacing="0"/>
        <w:ind w:left="322" w:hanging="36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Each branch: 3 Conv1D layers (1→16→32→64 channels) with ReLU</w:t>
      </w:r>
    </w:p>
    <w:p w14:paraId="2027602D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bottom w:val="none" w:color="auto" w:sz="0" w:space="0"/>
        </w:pBdr>
        <w:spacing w:before="20" w:beforeAutospacing="0" w:after="20" w:afterAutospacing="0"/>
        <w:ind w:left="322" w:hanging="36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All convolutions maintain sequence length (60)</w:t>
      </w:r>
    </w:p>
    <w:p w14:paraId="309DBDC3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20" w:beforeAutospacing="0" w:after="20" w:afterAutospacing="0"/>
        <w:ind w:left="-200" w:left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Feature Fusion</w:t>
      </w:r>
      <w:r>
        <w:rPr>
          <w:rFonts w:hint="default" w:ascii="Times New Roman" w:hAnsi="Times New Roman" w:cs="Times New Roman"/>
          <w:sz w:val="22"/>
          <w:szCs w:val="22"/>
        </w:rPr>
        <w:t>: Concatenate outputs from all branches</w:t>
      </w:r>
    </w:p>
    <w:p w14:paraId="33D279AF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20" w:beforeAutospacing="0" w:after="20" w:afterAutospacing="0"/>
        <w:ind w:left="-200" w:left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Classification</w:t>
      </w:r>
      <w:r>
        <w:rPr>
          <w:rFonts w:hint="default" w:ascii="Times New Roman" w:hAnsi="Times New Roman" w:cs="Times New Roman"/>
          <w:sz w:val="22"/>
          <w:szCs w:val="22"/>
        </w:rPr>
        <w:t>:</w:t>
      </w:r>
    </w:p>
    <w:p w14:paraId="4E0FFA34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bottom w:val="none" w:color="auto" w:sz="0" w:space="0"/>
        </w:pBdr>
        <w:spacing w:before="20" w:beforeAutospacing="0" w:after="20" w:afterAutospacing="0"/>
        <w:ind w:left="322" w:hanging="36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Flatten concatenated features</w:t>
      </w:r>
    </w:p>
    <w:p w14:paraId="785A5370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bottom w:val="none" w:color="auto" w:sz="0" w:space="0"/>
        </w:pBdr>
        <w:spacing w:before="20" w:beforeAutospacing="0" w:after="20" w:afterAutospacing="0"/>
        <w:ind w:left="322" w:hanging="36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Two FC layers (flattened→128→num_classes)</w:t>
      </w:r>
    </w:p>
    <w:p w14:paraId="44AE41A5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bottom w:val="none" w:color="auto" w:sz="0" w:space="0"/>
        </w:pBdr>
        <w:spacing w:before="20" w:beforeAutospacing="0" w:after="20" w:afterAutospacing="0"/>
        <w:ind w:left="322" w:hanging="360"/>
        <w:rPr>
          <w:rFonts w:hint="default" w:ascii="Times New Roman" w:hAnsi="Times New Roman" w:eastAsia="SimSu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Default output: Single value for regression/binary classification</w:t>
      </w:r>
    </w:p>
    <w:p w14:paraId="4AD5E7C8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20" w:beforeAutospacing="0" w:after="20" w:afterAutospacing="0"/>
        <w:ind w:left="-38" w:leftChars="0"/>
        <w:rPr>
          <w:rFonts w:hint="default" w:ascii="Times New Roman" w:hAnsi="Times New Roman" w:eastAsia="SimSun" w:cs="Times New Roman"/>
          <w:sz w:val="22"/>
          <w:szCs w:val="22"/>
        </w:rPr>
      </w:pPr>
      <w:r>
        <w:rPr>
          <w:rFonts w:hint="default" w:ascii="Times New Roman" w:hAnsi="Times New Roman" w:eastAsia="SimSun" w:cs="Times New Roman"/>
          <w:sz w:val="22"/>
          <w:szCs w:val="22"/>
        </w:rPr>
        <w:t>The model processes multiple time series independently before combining features for prediction.</w:t>
      </w:r>
    </w:p>
    <w:p w14:paraId="4DC5C7EE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20" w:beforeAutospacing="0" w:after="20" w:afterAutospacing="0"/>
        <w:ind w:left="-38" w:leftChars="0"/>
        <w:rPr>
          <w:rFonts w:hint="default" w:ascii="Times New Roman" w:hAnsi="Times New Roman" w:eastAsia="SimSun" w:cs="Times New Roman"/>
          <w:sz w:val="22"/>
          <w:szCs w:val="22"/>
        </w:rPr>
      </w:pPr>
    </w:p>
    <w:p w14:paraId="51179A9F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20" w:beforeAutospacing="0" w:after="20" w:afterAutospacing="0"/>
        <w:ind w:left="-38" w:leftChars="0"/>
        <w:rPr>
          <w:rFonts w:hint="default" w:ascii="Times New Roman" w:hAnsi="Times New Roman" w:eastAsia="SimSun" w:cs="Times New Roman"/>
          <w:b/>
          <w:bCs/>
          <w:sz w:val="22"/>
          <w:szCs w:val="22"/>
          <w:lang w:val="en-US" w:eastAsia="zh-CN"/>
        </w:rPr>
      </w:pPr>
      <w:r>
        <w:rPr>
          <w:rFonts w:hint="default" w:ascii="Times New Roman" w:hAnsi="Times New Roman" w:eastAsia="SimSun" w:cs="Times New Roman"/>
          <w:b/>
          <w:bCs/>
          <w:sz w:val="22"/>
          <w:szCs w:val="22"/>
          <w:lang w:val="en-US" w:eastAsia="zh-CN"/>
        </w:rPr>
        <w:t>Explain model with</w:t>
      </w:r>
      <w:r>
        <w:rPr>
          <w:rFonts w:hint="eastAsia" w:ascii="Times New Roman" w:hAnsi="Times New Roman" w:eastAsia="SimSun" w:cs="Times New Roman"/>
          <w:b/>
          <w:bCs/>
          <w:sz w:val="22"/>
          <w:szCs w:val="22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bCs/>
          <w:sz w:val="22"/>
          <w:szCs w:val="22"/>
        </w:rPr>
        <w:t>Integrated</w:t>
      </w:r>
      <w:r>
        <w:rPr>
          <w:rFonts w:hint="eastAsia" w:ascii="Times New Roman" w:hAnsi="Times New Roman" w:cs="Times New Roman"/>
          <w:b/>
          <w:bCs/>
          <w:sz w:val="22"/>
          <w:szCs w:val="22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bCs/>
          <w:sz w:val="22"/>
          <w:szCs w:val="22"/>
        </w:rPr>
        <w:t>Gradients</w:t>
      </w:r>
      <w:bookmarkStart w:id="0" w:name="_GoBack"/>
      <w:bookmarkEnd w:id="0"/>
    </w:p>
    <w:p w14:paraId="76A65837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bottom w:val="none" w:color="auto" w:sz="0" w:space="0"/>
        </w:pBdr>
        <w:spacing w:before="20" w:beforeAutospacing="0" w:after="20" w:afterAutospacing="0"/>
        <w:ind w:left="160" w:hanging="36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It takes a trained model, input data, optional target class indices, baseline inputs (defaults to zero tensor), and number of interpolation steps.</w:t>
      </w:r>
    </w:p>
    <w:p w14:paraId="0B8DCA17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bottom w:val="none" w:color="auto" w:sz="0" w:space="0"/>
        </w:pBdr>
        <w:spacing w:before="20" w:beforeAutospacing="0" w:after="20" w:afterAutospacing="0"/>
        <w:ind w:left="160" w:leftChars="0" w:hanging="360" w:firstLine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The function uses Captum's Integrated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Gradients to calculate attribution scores by:</w:t>
      </w:r>
    </w:p>
    <w:p w14:paraId="2741637E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bottom w:val="none" w:color="auto" w:sz="0" w:space="0"/>
        </w:pBdr>
        <w:spacing w:before="20" w:beforeAutospacing="0" w:after="20" w:afterAutospacing="0"/>
        <w:ind w:left="402" w:hanging="36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Creating a path from baseline to input</w:t>
      </w:r>
    </w:p>
    <w:p w14:paraId="1F1D910C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bottom w:val="none" w:color="auto" w:sz="0" w:space="0"/>
        </w:pBdr>
        <w:spacing w:before="20" w:beforeAutospacing="0" w:after="20" w:afterAutospacing="0"/>
        <w:ind w:left="402" w:hanging="36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Computing gradients at each step along this path</w:t>
      </w:r>
    </w:p>
    <w:p w14:paraId="00C01D9D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bottom w:val="none" w:color="auto" w:sz="0" w:space="0"/>
        </w:pBdr>
        <w:spacing w:before="20" w:beforeAutospacing="0" w:after="20" w:afterAutospacing="0"/>
        <w:ind w:left="402" w:hanging="36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Averaging these gradients and multiplying by input-baseline difference</w:t>
      </w:r>
    </w:p>
    <w:p w14:paraId="2F727DC1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bottom w:val="none" w:color="auto" w:sz="0" w:space="0"/>
        </w:pBdr>
        <w:spacing w:before="20" w:beforeAutospacing="0" w:after="20" w:afterAutospacing="0"/>
        <w:ind w:left="160" w:leftChars="0" w:hanging="360" w:firstLine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This reveals which input features (time points and variables) most influenced the model's predictions, with higher attribution values indicating greater importance.</w:t>
      </w:r>
    </w:p>
    <w:p w14:paraId="36B501ED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bottom w:val="none" w:color="auto" w:sz="0" w:space="0"/>
        </w:pBdr>
        <w:spacing w:before="20" w:beforeAutospacing="0" w:after="20" w:afterAutospacing="0"/>
        <w:ind w:left="160" w:leftChars="0" w:hanging="360" w:firstLine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The attribution tensor (shape: batch × variables × time) quantifies each input feature's contribution, helping understand model behavior by highlighting which parts of the input most affect the output.</w:t>
      </w:r>
    </w:p>
    <w:p w14:paraId="6739A232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bottom w:val="none" w:color="auto" w:sz="0" w:space="0"/>
        </w:pBdr>
        <w:spacing w:before="20" w:beforeAutospacing="0" w:after="20" w:afterAutospacing="0"/>
        <w:ind w:left="160" w:leftChars="0" w:hanging="360" w:firstLine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The function also returns convergence deltas to verify the approximation quality of the numerical integration.</w:t>
      </w:r>
    </w:p>
    <w:p w14:paraId="4377AA68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20" w:beforeAutospacing="0" w:after="20" w:afterAutospacing="0"/>
        <w:jc w:val="both"/>
        <w:rPr>
          <w:rFonts w:hint="default" w:ascii="Times New Roman" w:hAnsi="Times New Roman" w:cs="Times New Roman"/>
          <w:sz w:val="22"/>
          <w:szCs w:val="22"/>
        </w:rPr>
      </w:pPr>
    </w:p>
    <w:p w14:paraId="7C503F2F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20" w:beforeAutospacing="0" w:after="20" w:afterAutospacing="0"/>
        <w:jc w:val="both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Result:</w:t>
      </w:r>
    </w:p>
    <w:p w14:paraId="20112614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20" w:beforeAutospacing="0" w:after="20" w:afterAutospacing="0"/>
        <w:jc w:val="both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74310" cy="4277360"/>
            <wp:effectExtent l="0" t="0" r="889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41D0B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20" w:beforeAutospacing="0" w:after="20" w:afterAutospacing="0"/>
        <w:jc w:val="center"/>
        <w:rPr>
          <w:rFonts w:hint="default" w:ascii="Times New Roman" w:hAnsi="Times New Roman" w:cs="Times New Roman" w:eastAsiaTheme="minorEastAsia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 xml:space="preserve">Fig.2 </w:t>
      </w:r>
      <w:r>
        <w:rPr>
          <w:rFonts w:hint="default" w:ascii="Times New Roman" w:hAnsi="Times New Roman" w:eastAsia="SimSun" w:cs="Times New Roman"/>
          <w:sz w:val="22"/>
          <w:szCs w:val="22"/>
        </w:rPr>
        <w:t>Integrated Gradients Map</w:t>
      </w:r>
    </w:p>
    <w:p w14:paraId="1C0D54A5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20" w:beforeAutospacing="0" w:after="20" w:afterAutospacing="0"/>
        <w:jc w:val="both"/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eastAsia="SimSun" w:cs="Times New Roman"/>
          <w:sz w:val="22"/>
          <w:szCs w:val="22"/>
        </w:rPr>
        <w:t>This heatmap visualizes feature attributions for a single sample (Sample 0). The x-axis represents different feature indices, while the y-axis shows source indices (e.g., channels or input segments). Bright colors (yellow) indicate high positive attribution, dark colors (purple) represent negative attribution, and teal indicates near-zero contribution. Notably, only source index 3 shows significant attribution activity, suggesting it is the most influential input source for the model’s output in this sample.</w:t>
      </w:r>
    </w:p>
    <w:p w14:paraId="41902522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20" w:beforeAutospacing="0" w:after="20" w:afterAutospacing="0"/>
        <w:ind w:left="-38" w:leftChars="0"/>
        <w:rPr>
          <w:rFonts w:hint="default" w:ascii="Times New Roman" w:hAnsi="Times New Roman" w:eastAsia="SimSun" w:cs="Times New Roman"/>
          <w:sz w:val="22"/>
          <w:szCs w:val="22"/>
          <w:lang w:val="en-US" w:eastAsia="zh-CN"/>
        </w:rPr>
      </w:pPr>
    </w:p>
    <w:p w14:paraId="79E68139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20" w:beforeAutospacing="0" w:after="20" w:afterAutospacing="0"/>
        <w:ind w:left="-38" w:leftChars="0"/>
        <w:rPr>
          <w:rFonts w:hint="default" w:ascii="Times New Roman" w:hAnsi="Times New Roman" w:eastAsia="SimSun" w:cs="Times New Roman"/>
          <w:sz w:val="22"/>
          <w:szCs w:val="22"/>
        </w:rPr>
      </w:pPr>
    </w:p>
    <w:p w14:paraId="3BC48046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bottom w:val="none" w:color="auto" w:sz="0" w:space="0"/>
        </w:pBdr>
        <w:spacing w:before="20" w:beforeAutospacing="0" w:after="20" w:afterAutospacing="0"/>
        <w:ind w:left="-38" w:leftChars="0"/>
        <w:rPr>
          <w:rFonts w:hint="default" w:ascii="Times New Roman" w:hAnsi="Times New Roman" w:eastAsia="SimSun" w:cs="Times New Roman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12C180"/>
    <w:multiLevelType w:val="singleLevel"/>
    <w:tmpl w:val="BF12C18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FE34999"/>
    <w:multiLevelType w:val="multilevel"/>
    <w:tmpl w:val="CFE3499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DAA82760"/>
    <w:multiLevelType w:val="multilevel"/>
    <w:tmpl w:val="DAA8276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E919D931"/>
    <w:multiLevelType w:val="multilevel"/>
    <w:tmpl w:val="E919D93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06A28029"/>
    <w:multiLevelType w:val="multilevel"/>
    <w:tmpl w:val="06A2802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06B9F077"/>
    <w:multiLevelType w:val="multilevel"/>
    <w:tmpl w:val="06B9F07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0CD66AAD"/>
    <w:multiLevelType w:val="multilevel"/>
    <w:tmpl w:val="0CD66AA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10DE1489"/>
    <w:multiLevelType w:val="multilevel"/>
    <w:tmpl w:val="10DE14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3016DD96"/>
    <w:multiLevelType w:val="multilevel"/>
    <w:tmpl w:val="3016DD9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5FED2C2D"/>
    <w:multiLevelType w:val="multilevel"/>
    <w:tmpl w:val="5FED2C2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7AC610B3"/>
    <w:multiLevelType w:val="multilevel"/>
    <w:tmpl w:val="7AC610B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1"/>
  </w:num>
  <w:num w:numId="5">
    <w:abstractNumId w:val="5"/>
  </w:num>
  <w:num w:numId="6">
    <w:abstractNumId w:val="3"/>
  </w:num>
  <w:num w:numId="7">
    <w:abstractNumId w:val="8"/>
  </w:num>
  <w:num w:numId="8">
    <w:abstractNumId w:val="2"/>
  </w:num>
  <w:num w:numId="9">
    <w:abstractNumId w:val="9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DD4CC4"/>
    <w:rsid w:val="18DD4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rPr>
      <w:sz w:val="24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37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2025-04-21T02:20:00Z</dcterms:created>
  <dc:creator>白木</dc:creator>
  <cp:lastModifiedBy>白木</cp:lastModifiedBy>
  <dcterms:modified xsi:type="dcterms:W3CDTF">2025-04-21T02:58:14Z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E01F026EF3E047C6830EB8801E86431D_11</vt:lpwstr>
  </property>
  <property fmtid="{D5CDD505-2E9C-101B-9397-08002B2CF9AE}" pid="4" name="KSOTemplateDocerSaveRecord">
    <vt:lpwstr>eyJoZGlkIjoiMjAwNjk5ZWE4YzBmYTM2NWY3MjNhNDgxZmQ5ZDk2NzEiLCJ1c2VySWQiOiI3Mzc0MDg5MzYifQ==</vt:lpwstr>
  </property>
</Properties>
</file>