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 Integrated Research and Implementation Dossier</w:t>
      </w:r>
    </w:p>
    <w:p>
      <w:pPr>
        <w:pStyle w:val="Heading2"/>
      </w:pPr>
      <w:r>
        <w:t>Leadership Learning Algorithmic Management and Institutional Assurance</w:t>
      </w:r>
    </w:p>
    <w:p>
      <w:r>
        <w:t>David A. Grand | Grand Research Institute</w:t>
      </w:r>
    </w:p>
    <w:p>
      <w:r>
        <w:t>28 October 2026 | Research implementation edition 1</w:t>
      </w:r>
    </w:p>
    <w:p>
      <w:r>
        <w:t>GRI should expand from its existing research infrastructure through a shared evidence and evaluation program. The current foundation includes the public dashboard, executable assurance and mobility modules, ZERO’s dataset audit, Treasury originating prototype materials, deposited leadership history, and the Cambodian antiquities working case. Training a Tiger adds a documented learning sequence and a new experimental setting to this established program.</w:t>
      </w:r>
    </w:p>
    <w:p>
      <w:r>
        <w:t>This dossier records work completed during the present review and specifies the next implementation decisions. The accompanying package contains source snapshots, source identity checks, executable lineage controls, tests, a claim register, a public endpoint snapshot, and reproducibility instructions. These are delivered research assets. They do not constitute a completed causal validation of the AI Paradox or a trained golf robot.</w:t>
      </w:r>
    </w:p>
    <w:p>
      <w:r>
        <w:t>The organizing question is how institutions convert observations into representations, representations into decisions, and decisions into legitimate authority. The AI Paradox becomes concrete when measured task success diverges from the institution’s ability to understand, challenge, and correct the consequences.</w:t>
      </w:r>
    </w:p>
    <w:p>
      <w:pPr>
        <w:pStyle w:val="Heading2"/>
      </w:pPr>
      <w:r>
        <w:t>Executive decisions</w:t>
      </w:r>
    </w:p>
    <w:p>
      <w:r>
        <w:t>Use ConsciousAI as the comparative research archive and dashboard integration location. Preserve ZERO as a distinct dataset provenance workstream. Reuse existing mobility and assurance components rather than building parallel systems with competing definitions. Treat Treasury materials as an independent design case. Preserve human management history as historical evidence with its own chronology. Extend the Cambodian case through primary institutional records and a structured event ledger.</w:t>
      </w:r>
    </w:p>
    <w:p>
      <w:r>
        <w:t>Adopt the new offline evidence lineage layer as a development artifact for review. It detects duplicated sources, declared shared origins, unmeasured training claims, missing review, and requests beyond the research record. It does not issue factual certifications or operational permissions. The supplied dashboard review payload is a candidate integration artifact, not a new deployed API response.</w:t>
      </w:r>
    </w:p>
    <w:p>
      <w:r>
        <w:t>The first scientific milestone should be a versioned decision episode register populated with reviewable evidence from the existing cases. Machine learning and curriculum experiments should use this evidence architecture, while retaining domain specific methods and outcomes. A unified research method does not require one universal model.</w:t>
      </w:r>
    </w:p>
    <w:p>
      <w:pPr>
        <w:pStyle w:val="Heading2"/>
      </w:pPr>
      <w:r>
        <w:t>Completed work and observed baseline</w:t>
      </w:r>
    </w:p>
    <w:p>
      <w:r>
        <w:t>Repository inspection was anchored to ConsciousAI commit 41d2d89c3bd0e52726fc26b6676622c664fcd031. The review inspected selected source documents, implementation files, tests, and public endpoints. It was not a comprehensive security, production, or legal audit. [R1]</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Completed check</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Observed result</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Meaning</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Live public endpoints</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Five HTTP 200 responses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Point in time reachability</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Existing assurance suite</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Seven tests passed</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Selected synthetic regression checks reproduced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Existing mobility suite</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Seven tests passed</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Selected arithmetic and constraint checks reproduced</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ZERO audit</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36 records across 18 scenarios; integrity passed</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Fixture consistency, not fairness validation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ZERO negative checks</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Five injected data failures detected</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Specified data errors rejected</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New lineage suite</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Twelve tests passed</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New evidence controls exercised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Source identity</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Ten files match recorded Git blob identifiers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Exact inspected source bytes retained</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Claim register</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Fourteen records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Evidence classes and review states recorded</w:t>
            </w:r>
          </w:p>
        </w:tc>
      </w:tr>
    </w:tbl>
    <w:p>
      <w:pPr>
        <w:spacing w:after="40"/>
      </w:pPr>
    </w:p>
    <w:p>
      <w:r>
        <w:t>The public snapshot began at 13:28:47 UTC on 28 October 2026, corresponding to 9:28:47 a.m. Eastern Daylight Time. The captured health response reported readiness. Collection status reported three current feeds. The summary reported four cases, five events, and zero records in the policy registry. A separate policy candidate collection can exist while the reviewed policy registry remains empty. [R2]</w:t>
      </w:r>
    </w:p>
    <w:p>
      <w:r>
        <w:t>The assurance overview returned four assessed records requiring review and no measured accuracy, precision, recall, Brier score, drift, or bias evaluation. These values support a precise conclusion: a working research interface and evidence assessment process exist, while the inspected endpoint does not establish evaluated production ML performance. Endpoint counts and timestamps are self reported operational metadata. [R2]</w:t>
      </w:r>
    </w:p>
    <w:p>
      <w:pPr>
        <w:pStyle w:val="Heading2"/>
      </w:pPr>
      <w:r>
        <w:t>A reproduced limitation and an implemented improvement</w:t>
      </w:r>
    </w:p>
    <w:p>
      <w:r>
        <w:t>A synthetic counterexample supplied two different publisher names with the same source URL to the existing assurance gate. With the supplied review flags, the gate returned eligibility for human publication review. It continued to require human review and did not authorize remediation. The limitation is therefore narrow: publisher name diversity can be mistaken for independent evidence in this check. [R3]</w:t>
      </w:r>
    </w:p>
    <w:p>
      <w:r>
        <w:t>The new lineage gate identifies the duplicate URL and shared declared origin and holds the same example for review. Twelve tests cover this issue and additional boundaries, including naive timestamps, missing sources, unmeasured training effects, contradictions, duplicate identifiers, and attempted external actions.</w:t>
      </w:r>
    </w:p>
    <w:p>
      <w:r>
        <w:t>This is an implemented engineering improvement supported by a reproducible counterexample. It is not evidence of actual dashboard misinformation or a population estimate of error. Declared origin identifiers can themselves be wrong; human source review remains necessary. The old source is preserved unchanged so a reviewer can reproduce the comparison. [R3]</w:t>
      </w:r>
    </w:p>
    <w:p>
      <w:pPr>
        <w:pStyle w:val="Heading2"/>
      </w:pPr>
      <w:r>
        <w:t>Research continuity across the archive</w:t>
      </w:r>
    </w:p>
    <w:p>
      <w:r>
        <w:t>The historical sequence should preserve distinct enterprises and periods. The repository’s human leadership case lists an April 2, 1993 WWI publication and other deposited archival materials. It identifies WWI as a predecessor influence, rather than Grand Advertising itself. It describes Grand Advertising’s structured field training, mentoring, evaluation, and office replication through founder testimony. [R4]</w:t>
      </w:r>
    </w:p>
    <w:p>
      <w:r>
        <w:t>The early 1990s account and other records with later operating dates should be reconciled at the entity and event level. Establishing a company’s registration date does not necessarily establish when a person first practiced a management method. The chronology should separately record employer or enterprise, role, location, source, event date, and retrospective account date.</w:t>
      </w:r>
    </w:p>
    <w:p>
      <w:r>
        <w:t>The inspected historical case attributes Florida Marlins, Tire Kingdom, and Papa John’s campaign involvement to the founder’s account. The present user statement adds the New York Yankees. Campaign contracts, dated promotional material, or independent contemporaneous records are still needed before describing every named relationship as independently established. This distinction preserves the value of the history while making stronger documentation possible. [R4, U1]</w:t>
      </w:r>
    </w:p>
    <w:p>
      <w:r>
        <w:t>The proposed historical dataset should contain campaign episodes, not a list of prestigious names. Record the client attribution, product offered, team structure, training procedure, promotion criterion, documented outcome, and source. Interview former participants using the same questions and include divergent accounts. Successful former managers alone cannot establish the program’s causal effect.</w:t>
      </w:r>
    </w:p>
    <w:p>
      <w:r>
        <w:t>GRI’s contemporary research program is documented as beginning in 2021. Earlier commercial experience is an antecedent to that research, not evidence that the institute operated during the 1990s. Global management study at Thunderbird and continuing leadership and management study with an AI concentration provide academic context. Exact degree titles and dates should be checked against academic records before use in formal credentials. This dossier does not assert a doctorate, university sponsorship, or an approved dissertation. [R1, R4]</w:t>
      </w:r>
    </w:p>
    <w:p>
      <w:pPr>
        <w:pStyle w:val="Heading2"/>
      </w:pPr>
      <w:r>
        <w:t>Training a Tiger and the new source evidence</w:t>
      </w:r>
    </w:p>
    <w:p>
      <w:r>
        <w:t>The six newly supplied images have been inspected and fingerprinted in book_asset_manifest.json. They are retained as source references rather than redistributed in this package. The contents photograph supplies the strongest new evidence. It identifies a putting chapter starting on page 56, the short game on page 74, and the full swing on page 98. It also places relationship development and working together before golf mechanics, and includes practice, thinking during play, rules, seeking help, and sharing. [U2]</w:t>
      </w:r>
    </w:p>
    <w:p>
      <w:r>
        <w:t>This supports a documented chapter sequence from putting toward longer swing tasks. It does not establish formal reinforcement learning backward chaining, a particular disturbance schedule, a reward function, or improved machine performance. Those computational translations remain GRI interventions to specify and test.</w:t>
      </w:r>
    </w:p>
    <w:p>
      <w:r>
        <w:t>The quotation screenshot has no original book page locator. Its wording should not be presented as an authenticated Earl Woods quotation. The package flags it as an unresolved attribution, while preserving the chapter sequence established by the photographed contents. The jacket identifies Pete McDaniel. Use that author credit consistently. [U2]</w:t>
      </w:r>
    </w:p>
    <w:p>
      <w:r>
        <w:t>A source coding form should record the edition, printed page, passage, instructional action, intended learner response, alternative interpretation, computational intervention, and reviewer disagreement. The first source review can focus on pages beginning at 56, 74, 98, 129, and 145. A chapter starting page is a navigation aid, not evidence that every relevant practice occurs on that exact page.</w:t>
      </w:r>
    </w:p>
    <w:p>
      <w:r>
        <w:t>The broader leadership contribution is equally relevant. Relationship, cooperation, rules, help seeking, and sharing suggest research questions about who teaches, who judges progress, when support is needed, and what obligations accompany competence. A future curriculum study should assess these questions rather than reduce the book to stress exposure alone.</w:t>
      </w:r>
    </w:p>
    <w:p>
      <w:pPr>
        <w:pStyle w:val="Heading2"/>
      </w:pPr>
      <w:r>
        <w:t>Comparing human management and algorithmic management</w:t>
      </w:r>
    </w:p>
    <w:p>
      <w:r>
        <w:t>Historical field mentoring offers a mechanism to investigate: supervisors observe performance, explain decisions, and require learners to teach others before advancing. Contemporary systems may translate observation into telemetry, explanation into interface guidance, and promotion criteria into scores. The similarities justify comparison of management mechanisms; they do not establish equivalent human experiences or identical causal effects.</w:t>
      </w:r>
    </w:p>
    <w:p>
      <w:r>
        <w:t>The key dependent variables should include performance, retained diagnostic skill, discretion, opportunity, and correction. A faster task completion rate can coexist with a weaker ability to identify a bad instruction. The reverse is also possible: assistance may free time for learning. Both are empirical possibilities.</w:t>
      </w:r>
    </w:p>
    <w:p>
      <w:r>
        <w:t>The executive education program should use documented GRI episodes. Participants can inspect a source chain, evaluate an automated recommendation, identify its authority, and propose a review or remedy. Their performance should be assessed on a fresh case after instruction and in a later organizational application. Attendance and satisfaction are educational measures, not demonstrated institutional improvement.</w:t>
      </w:r>
    </w:p>
    <w:p>
      <w:pPr>
        <w:pStyle w:val="Heading2"/>
      </w:pPr>
      <w:r>
        <w:t>Cambodian antiquities and institutional correction</w:t>
      </w:r>
    </w:p>
    <w:p>
      <w:r>
        <w:t>The existing Legitimacy Paradox paper provides a framework of source integrity, provenance, independent validation, context, contestability, and remediation. This review strengthens that source base with primary records rather than treating its bibliography leads as completed verification. [R5]</w:t>
      </w:r>
    </w:p>
    <w:p>
      <w:r>
        <w:t>The Met’s December 15, 2023 announcement initiated the return of fourteen sculptures to Cambodia and two to Thailand. Its July 2, 2024 announcement described physical return of the fourteen Cambodian sculptures. These are different institutional milestones, and their dates should be recorded separately. A 2023 decision date cannot substitute for a physical transfer date. [P1, P2]</w:t>
      </w:r>
    </w:p>
    <w:p>
      <w:r>
        <w:t>DOJ records distinguish allegations against Douglas Latchford from subsequent legal outcomes. The indictment was dismissed after his death. A 2023 civil settlement is separate from a criminal conviction. The research must preserve those distinctions rather than use the prominence of the case to collapse different kinds of evidence. [P3]</w:t>
      </w:r>
    </w:p>
    <w:p>
      <w:r>
        <w:t>The comparative AI question concerns how documents and prior institutional acceptance influence later decisions. It does not equate cultural heritage trafficking with ordinary AI errors. The positive comparison matters too: consultation, new evidence, institutional review, and return of objects illustrate correction and international cooperation. Cambodia, Thailand, the United States, and the museum have different roles and interests.</w:t>
      </w:r>
    </w:p>
    <w:p>
      <w:r>
        <w:t>Build an object level ledger with accession identifier, asserted origin, source records, challenge, institutional response, legal event, decision, and transfer. Where an object’s historical acquisition or challenge date is unknown, leave it unknown. The time between two public announcements is not automatically the duration of wrongdoing, delay, or institutional awareness.</w:t>
      </w:r>
    </w:p>
    <w:p>
      <w:pPr>
        <w:pStyle w:val="Heading2"/>
      </w:pPr>
      <w:r>
        <w:t>Dashboard integration and decision episodes</w:t>
      </w:r>
    </w:p>
    <w:p>
      <w:r>
        <w:t>The deployed dashboard should remain the interface for research records, not become a single unqualified authority score. Each case should expose the observation, source chain, interpretation, review status, system version, and accountable role. The existing server already separates several operational and research endpoints; new work should use that architecture. [R1, R2]</w:t>
      </w:r>
    </w:p>
    <w:p>
      <w:r>
        <w:t>The package exports results/dashboard_review_payload.json from the fourteen claim records. Its dispositions are review instructions, not final truth labels. Records with local asset sources remain visibly unresolved by the public URL checks. That is appropriate for the current development contract and identifies the need for a dedicated governed local evidence resolver.</w:t>
      </w:r>
    </w:p>
    <w:p>
      <w:r>
        <w:t>The next adapter should map the candidate payload into the existing case registry without overwriting unrelated records. It should retain claim identifiers, distinguish source origin from publication domain, and keep contradictory evidence visible. Integration tests should verify that a stale or incomplete record does not silently become current or verified. Deploying that adapter is a separate operational step; this package does not modify the public service.</w:t>
      </w:r>
    </w:p>
    <w:p>
      <w:r>
        <w:t>A decision episode should record episode ID, domain, observation time, source ID, representation, decision, decision maker, delegated authority, governing rule, model version where relevant, challenge, review, outcome, and remedy. Record event occurrence separately from collection time. Otherwise a recent dashboard refresh may appear to make old evidence new.</w:t>
      </w:r>
    </w:p>
    <w:p>
      <w:pPr>
        <w:pStyle w:val="Heading2"/>
      </w:pPr>
      <w:r>
        <w:t>Mobility Treasury ZERO and Waymax</w:t>
      </w:r>
    </w:p>
    <w:p>
      <w:r>
        <w:t>GRI Mobility Intelligence already provides a deterministic read only offer evaluator. Its tests cover selected arithmetic and class, sleep, and return deadline constraints. The inspected public summary reports zero verified observations and zero trained models. Dataset 12 notes the need to distinguish accepted offers, completed trips, and settled payments, as well as counterfactual costs. These are concrete next data engineering requirements. [R6]</w:t>
      </w:r>
    </w:p>
    <w:p>
      <w:r>
        <w:t>A prospective trip ledger should separate offered pay from settled pay, pickup time from trip time, waiting and return time, actual distance from estimates, and incurred cost from hypothetical cost. Collect declined offers where authorized to reduce selection bias. Participant observations do not reveal platform intent without additional evidence. The first analysis should describe the observed sample before attempting earnings forecasts or policy effects.</w:t>
      </w:r>
    </w:p>
    <w:p>
      <w:r>
        <w:t>The Treasury originating materials supply a useful authority case: exact field matching, ambiguity, extraction error, and human adjudication. Their stakeholder narratives are supplied exercise material, not authenticated interviews. No federal production access or endorsed service is asserted. A local benchmark can compare clean and degraded synthetic labels while separately recording extraction accuracy and authorized human decisions. [R7]</w:t>
      </w:r>
    </w:p>
    <w:p>
      <w:r>
        <w:t>ZERO’s 36 record pilot supports data pipeline development. It does not provide independent human labels or a representative population. The next step is blinded annotation by separate reviewers, disagreement analysis, and a governed held out set. Newly reviewed data should preserve the authored fixture’s identity rather than relabel it as observed evidence. [R8]</w:t>
      </w:r>
    </w:p>
    <w:p>
      <w:r>
        <w:t>Waymax is an external autonomous driving research simulator, already referenced in GRI’s registry. Its bounding box behavior environment is distinct from raw sensor simulation and physical safety certification. Dataset access and license terms matter for any execution or redistribution. This review verified the reference, not an executed Waymax experiment or a deployed GRI integration. [R9, P4]</w:t>
      </w:r>
    </w:p>
    <w:p>
      <w:r>
        <w:t>Evans Research remains a named lead. Scoped repository searches did not identify the exact source. It is recorded in the claim register so it remains part of the program without acquiring an invented identity or finding. Its resolution does not block the completed implementation package.</w:t>
      </w:r>
    </w:p>
    <w:p>
      <w:pPr>
        <w:pStyle w:val="Heading2"/>
      </w:pPr>
      <w:r>
        <w:t>Measurement of the AI Paradox</w:t>
      </w:r>
    </w:p>
    <w:p>
      <w:r>
        <w:t>Use separate measures for separate mechanisms. Capability is observed task performance. Deployment is the scope and frequency of consequential use. Assurance is the evidence and institutional capacity available to evaluate that use. A time lag among these processes is a research measure, not automatic evidence of harm.</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Mechanism</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Observable measure</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Important alternative explanation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Authority expands before review</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Time from material change to completed corresponding review</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Low consequence changes may need less review</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Provenance is mistaken for independence</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Duplicate origin rate in claims asserted to be corroborated</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Common reporting may be openly acknowledged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Metrics omit human outcomes</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Divergence between task score and predefined human outcome</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External conditions may explain the outcome</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Oversight competence changes</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Performance on independent diagnostic tasks over time</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Hiring, turnover, or training may differ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Correction is inaccessible</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Challenge completion, reversal, and remedy times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Some challenges lack sufficient evidence</w:t>
            </w:r>
          </w:p>
        </w:tc>
      </w:tr>
    </w:tbl>
    <w:p>
      <w:pPr>
        <w:spacing w:after="40"/>
      </w:pPr>
    </w:p>
    <w:p>
      <w:r>
        <w:t>Missing review completion should be right censored at the analysis cutoff, not assigned a fictional completion date. Task success should be measured against a predefined primary outcome. Human outcomes should be defined with affected participants and analyzed separately. Avoid one composite paradox score until its measurement properties have been established.</w:t>
      </w:r>
    </w:p>
    <w:p>
      <w:r>
        <w:t>Historical process tracing can identify sequences, contradictions, and plausible mechanisms. Prospective comparisons can test selected mechanisms. Neither alone licenses a universal causal claim across museums, mobility platforms, learning systems, and public agencies. The comparative contribution comes from explicit mechanisms and evidence that can challenge them.</w:t>
      </w:r>
    </w:p>
    <w:p>
      <w:pPr>
        <w:pStyle w:val="Heading2"/>
      </w:pPr>
      <w:r>
        <w:t>Implementation milestones and accountable outputs</w:t>
      </w:r>
    </w:p>
    <w:p>
      <w:r>
        <w:t>The following dates are relative to project initiation. David A. Grand retains research direction; additional roles should be assigned to actual qualified people before recruitment or physical trials. This schedule is an execution framework, not a commitment by unappointed collaborators.</w:t>
      </w:r>
    </w:p>
    <w:tbl>
      <w:tblPr>
        <w:tblW w:type="auto" w:w="0"/>
        <w:jc w:val="center"/>
        <w:tblLayout w:type="fixed"/>
        <w:tblLook w:firstColumn="1" w:firstRow="1" w:lastColumn="0" w:lastRow="0" w:noHBand="0" w:noVBand="1" w:val="04A0"/>
      </w:tblPr>
      <w:tblGrid>
        <w:gridCol w:w="2376"/>
        <w:gridCol w:w="3168"/>
        <w:gridCol w:w="4248"/>
      </w:tblGrid>
      <w:tr>
        <w:trPr>
          <w:tblHeader/>
          <w:cantSplit/>
        </w:trPr>
        <w:tc>
          <w:tcPr>
            <w:tcW w:type="dxa" w:w="2376"/>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Period</w:t>
            </w:r>
          </w:p>
        </w:tc>
        <w:tc>
          <w:tcPr>
            <w:tcW w:type="dxa" w:w="316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Output</w:t>
            </w:r>
          </w:p>
        </w:tc>
        <w:tc>
          <w:tcPr>
            <w:tcW w:type="dxa" w:w="4248"/>
            <w:vAlign w:val="center"/>
            <w:shd w:fill="33333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b/>
                <w:color w:val="FFFFFF"/>
                <w:sz w:val="20"/>
              </w:rPr>
              <w:t>Acceptance criterion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Days 1 to 14</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Reconcile source and episode registers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Every claim has a source class, owner, and unresolved fields</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Days 15 to 30</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Blinded review pilot across selected cases</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Independent decisions and disagreements recorded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Days 31 to 60</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Mobility ledger pilot and learning source coding</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Consent and costs resolved; interventions traceable</w:t>
            </w:r>
          </w:p>
        </w:tc>
      </w:tr>
      <w:tr>
        <w:trPr>
          <w:cantSplit/>
        </w:trPr>
        <w:tc>
          <w:tcPr>
            <w:tcW w:type="dxa" w:w="2376"/>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Days 61 to 90</w:t>
            </w:r>
          </w:p>
        </w:tc>
        <w:tc>
          <w:tcPr>
            <w:tcW w:type="dxa" w:w="316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Bounded curriculum experiment and executive module</w:t>
            </w:r>
          </w:p>
        </w:tc>
        <w:tc>
          <w:tcPr>
            <w:tcW w:type="dxa" w:w="4248"/>
            <w:vAlign w:val="center"/>
            <w:shd w:fill="F2F2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Protocol fixed before evaluation; outcomes reported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After review</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Dashboard integration and comparative paper</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100" w:before="100" w:line="247" w:lineRule="auto"/>
            </w:pPr>
            <w:r>
              <w:rPr>
                <w:sz w:val="20"/>
              </w:rPr>
              <w:t>Versioned evidence, integration checks, and decisions recorded</w:t>
            </w:r>
          </w:p>
        </w:tc>
      </w:tr>
    </w:tbl>
    <w:p>
      <w:pPr>
        <w:spacing w:after="40"/>
      </w:pPr>
    </w:p>
    <w:p>
      <w:r>
        <w:t>A research lead owns the question and publication. A data steward owns access and retention. An evaluator owns a frozen evaluation set and reproducibility. A domain reviewer owns contextual assessment. A technical maintainer owns integration and rollback. One person can hold several roles, but conflicts and limits should be recorded.</w:t>
      </w:r>
    </w:p>
    <w:p>
      <w:r>
        <w:t>Training a Tiger should initially inform a small simulator curriculum study, using forward versus backward sequence and matched disturbance exposure as distinct factors. The existing code package does not implement that simulator and does not claim training results. A Waymax study would be a separate mobility experiment. Neither should be treated as a prerequisite for completing evidence review and institutional research already possible with current assets.</w:t>
      </w:r>
    </w:p>
    <w:p>
      <w:pPr>
        <w:pStyle w:val="Heading2"/>
      </w:pPr>
      <w:r>
        <w:t>Revision memorandum for the existing case</w:t>
      </w:r>
    </w:p>
    <w:p>
      <w:r>
        <w:t>Retain the published case as an independent decision teaching artifact. Attach this implementation edition to distinguish actual GRI observations from the fictional SKL narrative. The current empirical contribution is the repository reproduction, endpoint snapshot, source verification, and implemented lineage gate.</w:t>
      </w:r>
    </w:p>
    <w:p>
      <w:r>
        <w:t>Update the source note for the book: chapter order is now supported by the contents photograph. Do not elevate the unlocated quotation into primary text. Add the Met’s actual transfer announcement alongside the earlier return decision. Keep historical commercial relationships individually attributed pending corroboration.</w:t>
      </w:r>
    </w:p>
    <w:p>
      <w:r>
        <w:t>Use the deployed platform language supported by current observations. Restrict qualifications to the specific subsystem: the dashboard is reachable; the selected checks run; measured ML performance is absent from the inspected endpoint. This is more informative than describing the entire GRI program as hypothetical.</w:t>
      </w:r>
    </w:p>
    <w:p>
      <w:r>
        <w:t>This dossier supersedes the prior suggestion that GRI first needs to establish a research infrastructure. The immediate work is to integrate and evaluate the infrastructure that already exists. It does not supersede the evidence boundaries of the original case.</w:t>
      </w:r>
    </w:p>
    <w:p>
      <w:pPr>
        <w:pStyle w:val="Heading2"/>
      </w:pPr>
      <w:r>
        <w:t>Sources and reproducibility</w:t>
      </w:r>
    </w:p>
    <w:p>
      <w:pPr>
        <w:spacing w:after="180"/>
      </w:pPr>
      <w:r>
        <w:rPr>
          <w:sz w:val="20"/>
        </w:rPr>
        <w:t>[R1] ConsciousAI repository inspection at commit 41d2d89c3bd0e52726fc26b6676622c664fcd031. Platform status: https://github.com/BazeletDave/ConsciousAI/blob/41d2d89c3bd0e52726fc26b6676622c664fcd031/GRI-Research-Journey/Research-Governance/ConsciousAI-Research-Systems/DEPLOYMENT_AND_RESEARCH_STATUS.md . Source status document blob 5302e59cc737df78d84d631bbcc0023dfbdb4e36. Code, tests, and identity details are in source_manifest.json.</w:t>
      </w:r>
    </w:p>
    <w:p>
      <w:pPr>
        <w:spacing w:after="180"/>
      </w:pPr>
      <w:r>
        <w:rPr>
          <w:sz w:val="20"/>
        </w:rPr>
        <w:t>[R2] Public GRI endpoint observation, 28 October 2026. URLs: https://gri-global-intelligence.onrender.com/health ; /health/collections ; /intelligence/summary ; /assurance/overview ; /governance/assurance-evidence . Full URLs, timestamps, HTTP responses, and JSON payloads are retained in results/public_snapshot.json. These are observations of the service’s responses, not independent certification of the response contents.</w:t>
      </w:r>
    </w:p>
    <w:p>
      <w:pPr>
        <w:spacing w:after="180"/>
      </w:pPr>
      <w:r>
        <w:rPr>
          <w:sz w:val="20"/>
        </w:rPr>
        <w:t>[R3] Local reproduction and synthetic sensitivity experiment. See run_baseline.py, claim_registry.py, test_claim_registry.py, results/baseline.json, and the preserved existing source modules. The new module is an offline development contribution. No production replacement occurred.</w:t>
      </w:r>
    </w:p>
    <w:p>
      <w:pPr>
        <w:spacing w:after="180"/>
      </w:pPr>
      <w:r>
        <w:rPr>
          <w:sz w:val="20"/>
        </w:rPr>
        <w:t>[R4] GRI. From Human Leadership to Algorithmic Management. https://github.com/BazeletDave/ConsciousAI/blob/41d2d89c3bd0e52726fc26b6676622c664fcd031/GRI-Research-Journey/Human-Leadership-to-Algorithmic-Management/README.md . Blob 82a4c6ab07e17338ecc0eade25d0d286bce9d4dd. Deposited archive index and attributed founder account; campaign outcomes not independently validated here.</w:t>
      </w:r>
    </w:p>
    <w:p>
      <w:pPr>
        <w:spacing w:after="180"/>
      </w:pPr>
      <w:r>
        <w:rPr>
          <w:sz w:val="20"/>
        </w:rPr>
        <w:t>[R5] GRI. The Legitimacy Paradox From Looted Gods to Algorithmic Truth. https://github.com/BazeletDave/ConsciousAI/blob/41d2d89c3bd0e52726fc26b6676622c664fcd031/GRI-Research-Journey/Integrated-Research-Journey/Legitimacy-Paradox-Cambodian-Antiquities.md . A working comparative framework, distinct from primary legal and museum records.</w:t>
      </w:r>
    </w:p>
    <w:p>
      <w:pPr>
        <w:spacing w:after="180"/>
      </w:pPr>
      <w:r>
        <w:rPr>
          <w:sz w:val="20"/>
        </w:rPr>
        <w:t>[R6] GRI Mobility Intelligence and Dataset 12 integration notes. https://github.com/BazeletDave/ConsciousAI/tree/41d2d89c3bd0e52726fc26b6676622c664fcd031/GRI-Research-Journey/Algorithmic-Management-Institutional-Leadership/GRI-Mobility-Intelligence . Deterministic engine and tests are preserved in the package.</w:t>
      </w:r>
    </w:p>
    <w:p>
      <w:pPr>
        <w:spacing w:after="180"/>
      </w:pPr>
      <w:r>
        <w:rPr>
          <w:sz w:val="20"/>
        </w:rPr>
        <w:t>[R7] Treasury originating label verification exercise. https://github.com/BazeletDave/Treasury-TTB-Label-Verification/blob/main/README.md . Inspected blob 67ce8ce00d952971ac84473ba6f4e7321c0a31de. Scenario material and independent prototype context, not government production evidence.</w:t>
      </w:r>
    </w:p>
    <w:p>
      <w:pPr>
        <w:spacing w:after="180"/>
      </w:pPr>
      <w:r>
        <w:rPr>
          <w:sz w:val="20"/>
        </w:rPr>
        <w:t>[R8] GRI ZERO dataset audit. https://github.com/BazeletDave/ZERO/tree/main/datasets/bias_audit . Exact audit code, fixture, verification script, and Git blob identities are preserved in the package. Synthetic fixture results are not population fairness findings.</w:t>
      </w:r>
    </w:p>
    <w:p>
      <w:pPr>
        <w:spacing w:after="180"/>
      </w:pPr>
      <w:r>
        <w:rPr>
          <w:sz w:val="20"/>
        </w:rPr>
        <w:t>[R9] GRI governance intelligence registry. https://github.com/BazeletDave/ConsciousAI/blob/41d2d89c3bd0e52726fc26b6676622c664fcd031/GRI-Research-Journey/institutional-ai-governance-assurance/intelligence-registry/README.md . Documents the Waymax reference and integration boundaries.</w:t>
      </w:r>
    </w:p>
    <w:p>
      <w:pPr>
        <w:spacing w:after="180"/>
      </w:pPr>
      <w:r>
        <w:rPr>
          <w:sz w:val="20"/>
        </w:rPr>
        <w:t>[P1] The Metropolitan Museum of Art. December 15, 2023. Announcement of return of sixteen Khmer sculptures. https://www.metmuseum.org/press-releases/return-of-khmer-works-2023-news . Primary institutional statement of the decision.</w:t>
      </w:r>
    </w:p>
    <w:p>
      <w:pPr>
        <w:spacing w:after="180"/>
      </w:pPr>
      <w:r>
        <w:rPr>
          <w:sz w:val="20"/>
        </w:rPr>
        <w:t>[P2] The Metropolitan Museum of Art. July 2, 2024. Transfer of fourteen sculptures to Cambodia. https://www.metmuseum.org/press-releases/cambodia-transfer-2024-news . Primary institutional statement of physical transfer.</w:t>
      </w:r>
    </w:p>
    <w:p>
      <w:pPr>
        <w:spacing w:after="180"/>
      </w:pPr>
      <w:r>
        <w:rPr>
          <w:sz w:val="20"/>
        </w:rPr>
        <w:t>[P3] U.S. Attorney’s Office for the Southern District of New York. June 2023 civil forfeiture settlement concerning the Latchford estate. https://www.justice.gov/usao-sdny/pr/us-attorney-announces-12-million-settlement-civil-forfeiture-action-against-estate . Distinguishes dismissed indictment from civil settlement.</w:t>
      </w:r>
    </w:p>
    <w:p>
      <w:pPr>
        <w:spacing w:after="180"/>
      </w:pPr>
      <w:r>
        <w:rPr>
          <w:sz w:val="20"/>
        </w:rPr>
        <w:t>[P4] Waymo Research. Waymax README. https://github.com/waymo-research/waymax/blob/main/README.md . Inspected blob 71e6eb0c0292bf78c75e4ad34fbe5584f7087119. External research simulator; no Waymax code or dataset is redistributed in this package.</w:t>
      </w:r>
    </w:p>
    <w:p>
      <w:pPr>
        <w:spacing w:after="180"/>
      </w:pPr>
      <w:r>
        <w:rPr>
          <w:sz w:val="20"/>
        </w:rPr>
        <w:t>[U1] David A. Grand, present research instructions and historical account, 28 October 2026. New York Yankees relationship remains an attributed lead rather than an independently established contract.</w:t>
      </w:r>
    </w:p>
    <w:p>
      <w:pPr>
        <w:spacing w:after="180"/>
      </w:pPr>
      <w:r>
        <w:rPr>
          <w:sz w:val="20"/>
        </w:rPr>
        <w:t>[U2] Six supplied images, IMG_7475.jpeg through IMG_7470(1).jpeg. See book_asset_manifest.json for exact filenames and SHA256 identifiers. The contents, jacket, illustrations, and quotation screenshot have different evidentiary roles. The complete book text was not supplied in this review.</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GRI Research Implementation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 Integrated Research and Implementation Dossier</dc:title>
  <dc:subject>Algorithmic management and leadership learning decision case</dc:subject>
  <dc:creator>Grand Research Institute</dc:creator>
  <cp:keywords>AI Paradox, algorithmic management, curriculum learning, executive education</cp:keywords>
  <dc:description>generated by python-docx</dc:description>
  <cp:lastModifiedBy/>
  <cp:revision>1</cp:revision>
  <dcterms:created xsi:type="dcterms:W3CDTF">2013-12-23T23:15:00Z</dcterms:created>
  <dcterms:modified xsi:type="dcterms:W3CDTF">2013-12-23T23:15:00Z</dcterms:modified>
  <cp:category/>
</cp:coreProperties>
</file>