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Algorithmic Management AI Paradox</w:t>
      </w:r>
    </w:p>
    <w:p>
      <w:pPr>
        <w:pStyle w:val="Heading2"/>
      </w:pPr>
      <w:r>
        <w:t>Human Coaching Machine Learning Markets and Institutional Authority</w:t>
      </w:r>
    </w:p>
    <w:p>
      <w:r>
        <w:t>David A. Grand research agenda | Grand Research Institute</w:t>
      </w:r>
    </w:p>
    <w:p>
      <w:r>
        <w:t>Academic decision case and executive education teaching note</w:t>
      </w:r>
    </w:p>
    <w:p>
      <w:r>
        <w:t>28 October 2026</w:t>
      </w:r>
    </w:p>
    <w:p>
      <w:r>
        <w:t>This case places a fictional robotics laboratory before a consequential training architecture decision and examines that choice through David A. Grand and Grand Research Institute’s research on the AI Paradox and algorithmic management. It connects a proposed golf learning experiment to leadership development, academic inquiry, and continuing executive education.</w:t>
      </w:r>
    </w:p>
    <w:p>
      <w:r>
        <w:t>Its analytical premise is that the selection of objectives, practice conditions, feedback, and permissions constitutes a form of management. Those choices should remain open to examination even when measured performance improves.</w:t>
      </w:r>
    </w:p>
    <w:p>
      <w:r>
        <w:t>Case classification: fictional decision scenario with a prospective GRI research extension. Synthetic Kinetics Labs, Dr. Elena Rostova, the November 2025 setting, reported model behavior, and the six week proposal deadline are supplied scenario assumptions. They are not verified empirical events or results. No completed GRI golf model, experimental dataset, partnership, or funding commitment is asserted.</w:t>
      </w:r>
    </w:p>
    <w:p>
      <w:r>
        <w:t>Prepared for advanced management discussion. This is an independent GRI case and does not imply authorship, review, approval, or endorsement by Thunderbird School of Global Management, Arizona State University, Tiger Woods, or the Woods family.</w:t>
      </w:r>
    </w:p>
    <w:p>
      <w:r>
        <w:br w:type="page"/>
      </w:r>
    </w:p>
    <w:p>
      <w:pPr>
        <w:pStyle w:val="Heading1"/>
      </w:pPr>
      <w:r>
        <w:t>Executive Briefing</w:t>
      </w:r>
    </w:p>
    <w:p>
      <w:pPr>
        <w:pStyle w:val="Heading2"/>
      </w:pPr>
      <w:r>
        <w:t>Transferring human teaching principles into AI training</w:t>
      </w:r>
    </w:p>
    <w:p>
      <w:r>
        <w:t>Grand Research Institute | Independent teaching case | GRI Tiger Case 2026 01</w:t>
      </w:r>
    </w:p>
    <w:p>
      <w:r>
        <w:t>Decision. In the fictional SKL scenario, Elena Rostova has six weeks to decide whether preliminary robustness results justify standardizing a new robotics training architecture. The proposed alternative combines backward chaining with targeted disturbance exposure and attributes its inspiration to human coaching.</w:t>
      </w:r>
    </w:p>
    <w:p>
      <w:r>
        <w:t>Management issue. Training objectives, practice allocation, evaluation, and deployment permissions determine how an AI develops and what authority it receives. GRI’s AI Compliance Paradox directs attention to divergence between formal success and contextual outcomes. Leadership must examine whether better benchmark scores justify broader action or control over people.</w:t>
      </w:r>
    </w:p>
    <w:p>
      <w:r>
        <w:t>Evidence. Model A’s reported decline of more than 60 percent is a scenario assumption with no defined metric. The later illustrative success rates of 89.7 percent and 38.1 percent are also hypothetical, not measured findings. If compared on the same success measure, they differ by 51.6 percentage points. That arithmetic establishes no causal advantage and cannot supply the missing baseline for the reported decline.</w:t>
      </w:r>
    </w:p>
    <w:p>
      <w:r>
        <w:t>Research response. Compare forward and backward curricula both with and without matched disturbances. Hold architecture, reward, and evaluation constant. Verify the book passages before attributing the training rules to Earl Woods. Test initial robustness separately from adaptation that actually updates a model.</w:t>
      </w:r>
    </w:p>
    <w:p>
      <w:r>
        <w:t>Research ownership. David A. Grand and Grand Research Institute originate the AI governance research agenda developed in this case. The analysis concerns coaching, machine learning, algorithmic management, and institutional learning.</w:t>
      </w:r>
    </w:p>
    <w:p>
      <w:r>
        <w:t>Institutional implications. The sector extension compares documented Uber surge pricing with Walmart’s stated shelf label policy and an announced D.R. Horton production agreement. It examines regulation, labor, affordability, and who captures productivity gains. [15, 16, 17]</w:t>
      </w:r>
    </w:p>
    <w:p>
      <w:r>
        <w:t>Executive education. Use the case to teach evidence assessment, objective revision, decision rights, and staged investment. A continuing 90 day program asks leaders to apply those skills to an actual AI initiative and demonstrate a reasoned organizational decision.</w:t>
      </w:r>
    </w:p>
    <w:p>
      <w:r>
        <w:t>Proposed action. Treat the experimental architecture as a candidate for controlled validation. Make proposal commitments conditional on reproducibility and physical testing. Reserve organization wide standardization for evidence that isolates the relevant mechanism and demonstrates an acceptable operating envelope.</w:t>
      </w:r>
    </w:p>
    <w:p>
      <w:r>
        <w:br w:type="page"/>
      </w:r>
    </w:p>
    <w:p>
      <w:pPr>
        <w:pStyle w:val="Heading1"/>
      </w:pPr>
      <w:r>
        <w:t>Part One The Decision Case</w:t>
      </w:r>
    </w:p>
    <w:p>
      <w:pPr>
        <w:pStyle w:val="Heading2"/>
      </w:pPr>
      <w:r>
        <w:t>The decision facing Elena Rostova</w:t>
      </w:r>
    </w:p>
    <w:p>
      <w:r>
        <w:t>In November 2025, Dr. Elena Rostova, Director of Reinforcement Learning Research at the fictional Synthetic Kinetics Labs, reviewed preliminary results from two autonomous robotics models for precise physical manipulation. A proposal for defense and industrial automation was due in six weeks. Her decision was whether the laboratory should standardize its training architecture around an experimental coaching inspired approach or continue refining its established curriculum methods.</w:t>
      </w:r>
    </w:p>
    <w:p>
      <w:r>
        <w:t>In the supplied scenario, Model A progressed from basic motor primitives to complex dynamic swings. It converged rapidly in static simulation, but task execution reportedly degraded by more than 60 percent on physical testbeds exposed to wind, changing turf friction, and mechanical jitter. Model B combined backward chaining with targeted disturbances and was described as slower to train but unusually robust during first exposure to extreme perturbations. These statements constitute the case’s fictional opening evidence, not validated research findings.</w:t>
      </w:r>
    </w:p>
    <w:p>
      <w:r>
        <w:t>The apparent contrast was compelling. The causal explanation was unresolved. The case did not supply an outcome definition for the 60 percent degradation, uncertainty estimates, independent training runs, matched compute budgets, or a quantitative score for Model B. Nor did it isolate backward chaining from disturbance exposure. Rostova could not yet determine whether the observed difference arose from instructional sequence, training distribution, engineering choices, or evaluation design.</w:t>
      </w:r>
    </w:p>
    <w:p>
      <w:r>
        <w:t>The Model B framework was described in the scenario as derived from Earl Woods’s human coaching accounts. That provenance is a claim requiring passage level verification. The phrase military style is a characterization in the decision scenario, not an established scientific category or a verified description of the book’s methods. A successful model would not by itself validate that broader characterization.</w:t>
      </w:r>
    </w:p>
    <w:p>
      <w:r>
        <w:t>For David A. Grand and GRI, the case makes the management problem concrete. A leader must decide how much authority preliminary optimization results should acquire within an institution. The AI Compliance Paradox asks whether formal success can diverge from acceptable contextual outcomes; the broader AI Paradox asks how institutions respond when growing capability changes the demands placed on governance. Both remain GRI working propositions. [G1]</w:t>
      </w:r>
    </w:p>
    <w:p>
      <w:r>
        <w:t>Participants advise Rostova on the six week decision and then design the corresponding GRI research program. Their recommendation must separate a promising prototype, a justified training method, and an architecture ready for institutional standardization. It must state what evidence could be produced before the proposal deadline and which commitments should remain conditional.</w:t>
      </w:r>
    </w:p>
    <w:p>
      <w:pPr>
        <w:pStyle w:val="Heading2"/>
      </w:pPr>
      <w:r>
        <w:t>The originating source and its evidentiary limits</w:t>
      </w:r>
    </w:p>
    <w:p>
      <w:r>
        <w:t>The supplied book cover identifies Earl Woods, Pete McDaniel, and a foreword by Tiger Woods. Bibliographic records identify a 1997 HarperCollins edition of Training a Tiger A Father’s Guide to Raising a Winner in Both Golf and Life. The book is a candidate source of instructional hypotheses. Its autobiographical account cannot by itself isolate the causes of exceptional sporting performance. [1]</w:t>
      </w:r>
    </w:p>
    <w:p>
      <w:r>
        <w:t>A source review would need to establish which practices the text actually describes. GRI would then distinguish an author’s observation, the research team’s interpretation, and the computational rule chosen for testing. A useful experiment does not require a claim that the book contains a complete training algorithm or that reading it can recreate a person.</w:t>
      </w:r>
    </w:p>
    <w:p>
      <w:pPr>
        <w:pStyle w:val="Heading2"/>
      </w:pPr>
      <w:r>
        <w:t>From a coaching account to an experimental curriculum</w:t>
      </w:r>
    </w:p>
    <w:p>
      <w:r>
        <w:t>The first research task is translation. A passage might describe a practice sequence, a response to error, or an approach to challenge. Researchers would record its edition and page, interpret its instructional meaning, and propose an observable intervention. Independent reviewers would examine whether the interpretation is supported. Disagreements would remain visible in the research record.</w:t>
      </w:r>
    </w:p>
    <w:p>
      <w:r>
        <w:t>For example, a curriculum might repeat a task until performance becomes stable, then increase variability. Another might introduce unfamiliar conditions earlier. These are candidate experimental designs, not verified lessons from Earl Woods. Until the source text is coded, none should be attributed to the book. This distinction prevents an attractive narrative from becoming a source of fabricated evidence.</w:t>
      </w:r>
    </w:p>
    <w:p>
      <w:r>
        <w:t>Bengio and colleagues formalized curriculum learning as the selection and ordering of training examples and demonstrated benefits in the settings they studied. This provides a technical basis for testing instructional sequence. It does not establish that any particular human coaching philosophy improves a robotic golf agent. [2]</w:t>
      </w:r>
    </w:p>
    <w:p>
      <w:r>
        <w:t>GRI would also need to separate knowledge retrieval from behavioral learning. A language model could help researchers retrieve authorized passages or generate structured descriptions for review. The ability to discuss a putting technique would not establish the ability to execute it. A movement policy would need observations, actions, physical interaction, and task feedback. A simulator would supply controlled practice conditions; a control system would translate a permitted action into the robot’s movement.</w:t>
      </w:r>
    </w:p>
    <w:p>
      <w:r>
        <w:t>The phrase world model should be used precisely. A golf simulator may apply specified physics without learning them. A learned world model estimates how observations change when actions occur. Either can support experimentation, but their errors differ. A simulated golf environment represents selected features of the world. It does not reconstruct the whole world or establish a complete model of human development.</w:t>
      </w:r>
    </w:p>
    <w:p>
      <w:pPr>
        <w:pStyle w:val="Heading2"/>
      </w:pPr>
      <w:r>
        <w:t>What the book cannot establish alone</w:t>
      </w:r>
    </w:p>
    <w:p>
      <w:r>
        <w:t>Exceptional athletic performance depends on circumstances the case cannot recover from a single narrative. A retrospective account contains selection effects and interpretation. Even a carefully documented training practice may depend on a particular learner, relationship, body, historical setting, or opportunity structure.</w:t>
      </w:r>
    </w:p>
    <w:p>
      <w:r>
        <w:t>Research on deliberate practice makes structured practice relevant to the inquiry, while subsequent replication work challenges strong claims that accumulated practice alone explains levels of expertise. GRI should therefore test a specific intervention and report its boundaries. Success in simulated putting would support a claim about the tested curriculum, task, and agent. It would not demonstrate a universal formula for producing exceptional human or machine intelligence. [3, 4]</w:t>
      </w:r>
    </w:p>
    <w:p>
      <w:r>
        <w:t>The useful institutional asset would be a traceable method for translating developmental knowledge into experiments. Its value would survive a null result about the book because the method could reveal which interpretations fail, where measurement is inadequate, and which claims require different evidence.</w:t>
      </w:r>
    </w:p>
    <w:p>
      <w:pPr>
        <w:pStyle w:val="Heading2"/>
      </w:pPr>
      <w:r>
        <w:t>Algorithmic management begins before deployment</w:t>
      </w:r>
    </w:p>
    <w:p>
      <w:r>
        <w:t>The proposed golfer illustrates management at several levels. Researchers decide the objectives, curriculum designers allocate practice, evaluators determine acceptable performance, and institutional leaders authorize deployment. If a system subsequently assigns exercises to people, evaluates their progress, or recommends consequences, it becomes part of an algorithmic management arrangement.</w:t>
      </w:r>
    </w:p>
    <w:p>
      <w:r>
        <w:t>Kellogg, Valentine, and Christin identify mechanisms through which algorithms direct, evaluate, and discipline work. Their account highlights that algorithmic systems redistribute control as well as improve coordination. In the GRI case, this literature helps frame a prospective transition from an agent that is trained to an agent that influences the training and evaluation of others. [5]</w:t>
      </w:r>
    </w:p>
    <w:p>
      <w:r>
        <w:t>That transition is not automatic. A putting policy that selects a stroke is not a manager. A coaching system becomes managerially consequential when its recommendations shape access, workload, evaluation, advancement, or sanctions. Authority therefore depends on the organizational role assigned to a model, not on the sophistication of its interface.</w:t>
      </w:r>
    </w:p>
    <w:p>
      <w:r>
        <w:t>Consider an explicitly hypothetical extension. A golf academy adopts the system to recommend practice plans. Later, its scores determine which learners receive advanced coaching. A metric originally developed to measure improvement in a simulator now influences human opportunity. GRI would need new evidence about validity, accessibility, error distribution, and contestability. Robotic putting accuracy would not answer those questions.</w:t>
      </w:r>
    </w:p>
    <w:p>
      <w:r>
        <w:t>Grand’s mobility research agenda provides a related domain of inquiry. Algorithmically mediated work raises questions about how automated recommendations become consequential instructions, whose observations count as evidence, and how a person can challenge an outcome. The present case uses that agenda as a conceptual connection. It makes no new empirical claim about Uber or Lyft operations, participant counts, or platform conduct. [G1]</w:t>
      </w:r>
    </w:p>
    <w:p>
      <w:pPr>
        <w:pStyle w:val="Heading2"/>
      </w:pPr>
      <w:r>
        <w:t>The automation and augmentation tension</w:t>
      </w:r>
    </w:p>
    <w:p>
      <w:r>
        <w:t>Raisch and Krakowski argue that automation and augmentation are interdependent across tasks and over time. Their paradox concerns the tension between delegating tasks to machines and collaborating with them. It is distinct from GRI’s proposed Compliance Paradox, which concerns divergence between formal optimization and contextual outcomes. [6]</w:t>
      </w:r>
    </w:p>
    <w:p>
      <w:r>
        <w:t>In the proposed project, researchers might initially use AI to assist source coding. Verified patterns could then support automated curriculum scheduling. Coaches could subsequently review unexpected behavior and revise the curriculum. The balance between human and machine work would change as evidence accumulates.</w:t>
      </w:r>
    </w:p>
    <w:p>
      <w:r>
        <w:t>An executive decision to automate would also affect learning opportunities. If the system performs every diagnosis, a human coach might receive fewer chances to practice diagnosis. If every exception requires human intervention, workload could increase despite faster routine performance. These are case propositions to investigate through observation and assessment, rather than assumed consequences of AI adoption.</w:t>
      </w:r>
    </w:p>
    <w:p>
      <w:r>
        <w:t>GRI must decide which skills people should retain, how those skills will be exercised, and what evidence demonstrates that oversight remains effective. Assigning a human reviewer is insufficient if that person lacks time, information, competence, or authority to intervene.</w:t>
      </w:r>
    </w:p>
    <w:p>
      <w:pPr>
        <w:pStyle w:val="Heading2"/>
      </w:pPr>
      <w:r>
        <w:t>Connecting the AI Paradox to the golf experiment</w:t>
      </w:r>
    </w:p>
    <w:p>
      <w:r>
        <w:t>For this case, GRI’s broad AI Paradox is treated as a working proposition: improvements in machine capability and optimization may create new institutional demands that existing governance cannot adequately meet. Its narrower Compliance Paradox concerns situations where formal rule satisfaction diverges from safe or legitimate outcomes in a changing human system. Neither proposition implies that lawful requirements should be ignored. [G1]</w:t>
      </w:r>
    </w:p>
    <w:p>
      <w:r>
        <w:t>The putting experiment can test a bounded mechanism related to these ideas. Suppose an agent receives a high reward for successful putts but inadequate feedback about prohibited operating conditions. It might improve the measured outcome while selecting actions outside the intended boundary. This would first indicate a specification or validation failure. Calling it a paradox would add explanatory value only if researchers demonstrate a persistent tension between the objectives and their surrounding context, rather than merely a correctable programming error.</w:t>
      </w:r>
    </w:p>
    <w:p>
      <w:r>
        <w:t>A different hypothetical scenario concerns uncertainty. A robot could execute only within a narrow validated range and stop whenever uncertainty exceeds a threshold. That is an appropriate operational response. If leaders pressure the team to count every stop as failure, the evaluation system could encourage concealment of uncertainty. The management problem would originate in institutional incentives as much as in the model.</w:t>
      </w:r>
    </w:p>
    <w:p>
      <w:r>
        <w:t>The research must therefore distinguish four explanations: a deficient skill policy, an inaccurate simulator, an incomplete objective, and a governance process that mishandles evidence. Different explanations require different remedies. More training data will not resolve an unclear allocation of authority. A policy statement will not repair unstable motor control.</w:t>
      </w:r>
    </w:p>
    <w:p>
      <w:pPr>
        <w:pStyle w:val="Heading2"/>
      </w:pPr>
      <w:r>
        <w:t>Learning at four levels</w:t>
      </w:r>
    </w:p>
    <w:p>
      <w:r>
        <w:t>Machine learning changes a model’s parameters or action policy through specified training processes. Human leadership learning involves interpretation, judgment, values, and responsibility. Academic learning requires defensible questions, appropriate methods, and examination of evidence. Organizational learning concerns changes in shared practices and assumptions. These processes can interact without being treated as identical.</w:t>
      </w:r>
    </w:p>
    <w:p>
      <w:r>
        <w:t>Argyris distinguishes correcting errors within existing objectives from questioning the objectives and assumptions themselves. Applied here, improving the putter’s accuracy differs from asking whether accuracy adequately defines success. [7]</w:t>
      </w:r>
    </w:p>
    <w:p>
      <w:r>
        <w:t>March’s exploration and exploitation framework explains why an institution may need both refinement of established routines and investigation of alternatives. For GRI, repeated optimization within familiar conditions should be accompanied by tests outside those conditions. This is an analytical application of the framework, not proof that organizational and machine learning obey the same laws. [8]</w:t>
      </w:r>
    </w:p>
    <w:p>
      <w:r>
        <w:t>Academic learning would require GRI to publish unsuccessful interventions as well as improvements. Leadership learning would require executives to state which result would change their investment decision. Continuing education would require evidence that participants can transfer the reasoning to a fresh problem after the classroom session ends.</w:t>
      </w:r>
    </w:p>
    <w:p>
      <w:pPr>
        <w:pStyle w:val="Heading2"/>
      </w:pPr>
      <w:r>
        <w:t>From simulated performance to a physical golfer</w:t>
      </w:r>
    </w:p>
    <w:p>
      <w:r>
        <w:t>A credible technical pathway begins with a task small enough to evaluate. Simulated putting allows controlled variation in distance, slope, friction, and observation noise. The first agent can select direction and force within fixed limits. A later experiment could add visual estimation, a physical putting mechanism, and eventually more demanding movement.</w:t>
      </w:r>
    </w:p>
    <w:p>
      <w:r>
        <w:t>Published robotics research establishes relevant components. The RT 2 research combined visual and language representations with robotic trajectory data to support action and generalization. Haarnoja and colleagues demonstrated bipedal soccer skills trained in simulation and transferred to physical robots. Neither study establishes golf mastery or replication of a particular athlete. [9, 10]</w:t>
      </w:r>
    </w:p>
    <w:p>
      <w:r>
        <w:t>Physical golf adds perception error, contact dynamics, calibration drift, equipment variation, and mechanical limits. A full swing also involves rapid motion and substantial energy. A small putting experiment should precede any claim about a humanoid golfer. Hardware choice should follow validated task requirements rather than an assumption that a human shaped body is necessary for the initial study.</w:t>
      </w:r>
    </w:p>
    <w:p>
      <w:r>
        <w:t>Transfer would require separate evaluation. The team should measure physical performance without silently tuning the model on the final test set. If calibration data are used, their amount and purpose should be disclosed. Unexpected stops, unstable actions, and supervisor interventions should be reported alongside successful trials.</w:t>
      </w:r>
    </w:p>
    <w:p>
      <w:r>
        <w:t>The project would need a defined operating envelope, including the permitted task, environment, equipment, and supervision. When observations fall outside that envelope, the agent should stop or request an authorized response. Research on adaptive governance concerns how institutions revise validated boundaries through review. It should not be interpreted as granting a robot permission to improvise outside them.</w:t>
      </w:r>
    </w:p>
    <w:p>
      <w:pPr>
        <w:pStyle w:val="Heading2"/>
      </w:pPr>
      <w:r>
        <w:t>Institutional responsibility and stakeholder voice</w:t>
      </w:r>
    </w:p>
    <w:p>
      <w:r>
        <w:t>NIST’s AI Risk Management Framework 1.0 organizes risk work through Govern, Map, Measure, and Manage, with continuing attention across the system lifecycle. The case uses the 2023 framework as a named reference, not as a claim of certification or an assertion that it is the latest edition. [11]</w:t>
      </w:r>
    </w:p>
    <w:p>
      <w:r>
        <w:t>IFC Performance Standard 1 provides an institutional analogy through ongoing risk assessment, stakeholder engagement, management responsibility, and grievance mechanisms. Its application to the GRI learning architecture is an independent analytical extension. IFC’s standard does not validate the proposed model or automatically apply to this project. [12]</w:t>
      </w:r>
    </w:p>
    <w:p>
      <w:r>
        <w:t>The management implication is to compare formal safeguards with actual incentives. A project may record a review procedure while rewarding teams only for launch speed. A grievance channel may exist while providing no practical remedy. GRI should examine whether oversight can alter decisions, whether affected users can obtain a meaningful response, and whether adverse evidence changes the investment plan.</w:t>
      </w:r>
    </w:p>
    <w:p>
      <w:pPr>
        <w:pStyle w:val="Heading2"/>
      </w:pPr>
      <w:r>
        <w:t>Three strategic alternatives</w:t>
      </w:r>
    </w:p>
    <w:p>
      <w:r>
        <w:t>Option A is a bounded software research program. GRI would complete source coding, validate a simulator, and compare curricula. It would purchase little or no specialized robotics hardware initially. The main benefit is a clear test of the developmental hypothesis. The limitation is that results would not establish physical transfer.</w:t>
      </w:r>
    </w:p>
    <w:p>
      <w:r>
        <w:t>Option B is parallel curriculum and robotics development. A limited putting mechanism would help identify physical constraints early. This path could reduce later redesign but requires additional technical capability and creates more explanations for failure. If the curriculum and hardware change together, the team may be unable to determine which caused an observed difference.</w:t>
      </w:r>
    </w:p>
    <w:p>
      <w:r>
        <w:t>Option C is an executive learning laboratory before substantial model development. Leaders would examine the proposed architecture, design governance and evaluation protocols, and apply them to their own institutions. It could build educational value and refine the research question. Participant satisfaction, however, would not validate the machine learning hypothesis or demonstrate workplace improvement.</w:t>
      </w:r>
    </w:p>
    <w:p>
      <w:r>
        <w:t>The alternatives need not be permanent commitments. A staged sequence could preserve options, provided each stage has a defined evidence requirement. GRI should avoid a sequence in which enthusiasm from an educational event is treated as technical validation or a successful demonstration becomes a substitute for independent review.</w:t>
      </w:r>
    </w:p>
    <w:p>
      <w:r>
        <w:t>No financial figures are provided because quotes, staffing commitments, compute requirements, and hardware specifications have not been established. Participants should identify the costs they need before approving expenditure. The cost model should include source review, experiment design, engineering, evaluation, hardware when relevant, educational delivery, and continuing oversight.</w:t>
      </w:r>
    </w:p>
    <w:p>
      <w:pPr>
        <w:pStyle w:val="Heading2"/>
      </w:pPr>
      <w:r>
        <w:t>The decision memorandum</w:t>
      </w:r>
    </w:p>
    <w:p>
      <w:r>
        <w:t>Participants should prepare a memorandum recommending the next research commitment. It must identify the primary hypothesis, the comparison needed to test it, and a result that would justify stopping or revising the program. It must also name the accountable decision maker and explain how dissenting evidence will reach that person.</w:t>
      </w:r>
    </w:p>
    <w:p>
      <w:r>
        <w:t>The memorandum should answer whether the first deliverable is a research result, an educational program, a physical demonstration, or a combination with distinct evaluation criteria. It should state what could legitimately be claimed after success and which ambitions would remain untested.</w:t>
      </w:r>
    </w:p>
    <w:p>
      <w:r>
        <w:t>The final question returns to Grand’s original ambition. If GRI eventually creates an exceptional golfing robot, how will it know that the developmental curriculum contributed to that outcome? And if the system begins teaching or evaluating people, what evidence would justify granting it that additional role?</w:t>
      </w:r>
    </w:p>
    <w:p>
      <w:r>
        <w:t>The opening case ends before an investment decision or research outcome. The following sector extension uses evidence available in October 2026 and should be introduced after the initial decision. The instructor analysis follows the exhibits and should be withheld during participant preparation.</w:t>
      </w:r>
    </w:p>
    <w:p>
      <w:r>
        <w:br w:type="page"/>
      </w:r>
    </w:p>
    <w:p>
      <w:pPr>
        <w:pStyle w:val="Heading1"/>
      </w:pPr>
      <w:r>
        <w:t>Part Two Implications across Markets and Institutions</w:t>
      </w:r>
    </w:p>
    <w:p>
      <w:pPr>
        <w:pStyle w:val="Heading2"/>
      </w:pPr>
      <w:r>
        <w:t>The transferable method and the limits of transfer</w:t>
      </w:r>
    </w:p>
    <w:p>
      <w:r>
        <w:t>The proposed bridge from golf to economic and societal systems concerns a method of designing learning experiences, testing under variation, and governing consequential actions. It does not establish that a motor control policy can be transferred directly into a pricing engine. Pricing involves strategic responses by people and firms, changing preferences, and institutional constraints. Construction involves engineering tolerances, interdependent contractors, materials, and physical safety. These environments require separate state definitions, action spaces, objectives, and validation.</w:t>
      </w:r>
    </w:p>
    <w:p>
      <w:r>
        <w:t>Backward chaining in task instruction should also be distinguished from backward induction in economics, planning backward from a target, and estimating a price that supports a desired conversion rate. Similar directional language does not establish the same algorithm. GRI’s contribution would be a comparative research protocol that tests whether curriculum structure and governance arrangements improve outcomes within each domain.</w:t>
      </w:r>
    </w:p>
    <w:p>
      <w:r>
        <w:t>Management, teaching, learning, and information understanding are therefore connected but separate. Management assigns objectives and authority. Teaching selects experiences and feedback. Learning changes behavior or understanding. Information understanding requires interpreting evidence in context. A system can become more effective at a task while the institution misunderstands what its success demonstrates.</w:t>
      </w:r>
    </w:p>
    <w:p>
      <w:pPr>
        <w:pStyle w:val="Heading2"/>
      </w:pPr>
      <w:r>
        <w:t>Dynamic pricing and algorithmic authority</w:t>
      </w:r>
    </w:p>
    <w:p>
      <w:r>
        <w:t>Uber describes surge pricing as an automated response to changes in rider demand and driver availability, with local adjustments and context dependent practices. This company description establishes the stated mechanism, not an independent estimate of its welfare effects. GRI’s platform work research can investigate how such allocation systems interact with worker autonomy and economic outcomes. [15, G2]</w:t>
      </w:r>
    </w:p>
    <w:p>
      <w:r>
        <w:t>Walmart provides a contrasting example. Its October 2026 public statement rejects the characterization that it uses digital shelf labels for dynamic or individualized pricing. The case must distinguish the capacity to update displayed prices from evidence of an algorithm that sets prices in response to demand. This is a company account, not an independent audit of every pricing system. It does not support presenting Walmart as an established example of Uber style surge pricing. [16]</w:t>
      </w:r>
    </w:p>
    <w:p>
      <w:r>
        <w:t>A generic retail simulation remains a legitimate prospective research setting. Researchers could vary demand, inventory, replenishment delays, and allowable price changes, while examining how different curricula affect a policy. The simulator would need behavioral assumptions that are independently evaluated. Apparent performance could otherwise reflect the assumptions used to generate customers rather than a useful economic discovery.</w:t>
      </w:r>
    </w:p>
    <w:p>
      <w:r>
        <w:t>An institutional study would assess several outcomes together: service availability, consumer expenditure, worker compensation where relevant, price stability, access for constrained users, and the distribution of gains. These are proposed measures, not claims that any named company produces a particular result. The objective selected by the operator determines which of these outcomes influences action and which remains external to the model.</w:t>
      </w:r>
    </w:p>
    <w:p>
      <w:r>
        <w:t>The management paradox emerges when feedback is interpreted only through the institution’s chosen measure. A rise in revenue may reflect improved matching, increased market power, altered product mix, or customers with fewer alternatives paying more. Identifying the explanation requires evidence. Treating the same revenue result as proof of social benefit would bypass the question GRI seeks to study.</w:t>
      </w:r>
    </w:p>
    <w:p>
      <w:pPr>
        <w:pStyle w:val="Heading2"/>
      </w:pPr>
      <w:r>
        <w:t>Affordability through sensing and coordinated action</w:t>
      </w:r>
    </w:p>
    <w:p>
      <w:r>
        <w:t>The retail case extends beyond price setting. Walmart’s September 25, 2026 CEO letter describes technology as supporting efficiency and affordability while committing against personalized prices. Its October 1 account explains Stock to Light, Pick to Light, and Shop to Light as uses of shelf LEDs to help associates or customers locate products. These records support analysis of operational coordination; they do not verify a separate CEO statement on October 28. [21, 22]</w:t>
      </w:r>
    </w:p>
    <w:p>
      <w:r>
        <w:t>A broader retail architecture can connect readers and sensors to inventory estimates, forecasts, work allocation, replenishment, and customer guidance. The components must be distinguished: a reader captures an observation, a forecast estimates a future condition, an optimization process selects an action, and a light communicates an instruction. A light or label need not contain AI for the wider workflow to be algorithmically managed. The existence of one component does not establish every other component or a particular surveillance practice.</w:t>
      </w:r>
    </w:p>
    <w:p>
      <w:r>
        <w:t>The proposed affordability mechanism is a causal chain to test: better information may reduce inventory error, which may improve replenishment and reduce wasted labor or goods, which may lower operating cost. Whether cost reductions produce lower consumer prices depends on competition, strategy, contracts, and the allocation of gains. GRI should measure each link rather than attribute every price movement to AI.</w:t>
      </w:r>
    </w:p>
    <w:p>
      <w:r>
        <w:t>The AI Paradox can therefore occur alongside genuine consumer benefit. Lower costs and improved availability could coexist with stronger dependence on centralized coordination, less discretion for employees, or reduced bargaining power for smaller suppliers. Those outcomes are plausible research hypotheses, not established findings about Walmart. Evidence of benefit does not settle the distributional question, and evidence of a tradeoff does not negate the benefit.</w:t>
      </w:r>
    </w:p>
    <w:p>
      <w:r>
        <w:t>A second mechanism is organizational fragility. If every task depends on a common information pipeline, a shared error can propagate through ordering, work allocation, and customer promises. The relevant resilience test asks how the organization operates when observations are stale, connectivity fails, or a recommendation conflicts with local knowledge. Teams should evaluate recovery, manual alternatives, correction time, and who can interrupt the process.</w:t>
      </w:r>
    </w:p>
    <w:p>
      <w:r>
        <w:t>A third mechanism concerns leadership learning. Efficient guidance may make execution easier while reducing opportunities to learn the reasons behind a decision. The effect is empirical: staff may instead gain time and access to better information. A study should compare retained task knowledge, diagnostic skill, discretion, and service quality rather than assume either improvement or deskilling.</w:t>
      </w:r>
    </w:p>
    <w:p>
      <w:r>
        <w:t>The institutional opportunity is to account for the whole result. Evaluate affordability through a stable basket of goods and a defensible comparison; assess availability through stockouts and substitutions; assess labor through paid hours, workload, skills, and earnings where relevant; assess suppliers through terms and access; assess resilience through recovery from controlled failures. These are proposed research measures, not a claim of an existing comprehensive GRI audit.</w:t>
      </w:r>
    </w:p>
    <w:p>
      <w:r>
        <w:t>This reframes the executive decision around a consequential question: can an organization demonstrate that its increasingly effective coordination system improves human outcomes and remains corrigible when its own measures indicate success? The objective is to preserve operational benefits while making the distribution of gains, the authority to intervene, and the consequences of failure visible.</w:t>
      </w:r>
    </w:p>
    <w:p>
      <w:pPr>
        <w:pStyle w:val="Heading2"/>
      </w:pPr>
      <w:r>
        <w:t>Construction automation and the housing system</w:t>
      </w:r>
    </w:p>
    <w:p>
      <w:r>
        <w:t>Promise Robotics announced a commercial agreement with D.R. Horton on 13 October 2026 involving access to an integrated production platform intended to support more than 1,250 homes. Its account describes coordinated robotic manufacturing, factory operations, and onsite installation. This is an announced commercial arrangement, not evidence that the homes have been completed or independently demonstrated cost savings. [17]</w:t>
      </w:r>
    </w:p>
    <w:p>
      <w:r>
        <w:t>The announcement does not establish use of Earl Woods’s curriculum, the proposed SKL architecture, or the specific robotic bricklaying and concrete application methods in the supplied specification. Those connections remain hypothetical. The date also matters: the announcement belongs in this October 2026 analytical extension, not among facts available to the fictional Rostova in November 2025.</w:t>
      </w:r>
    </w:p>
    <w:p>
      <w:r>
        <w:t>A construction learning study could examine task decomposition, material variation, quality inspection, and recovery from interruptions on an appropriately bounded platform. It should compare production time with defect rates, rework, resource use, and supervisor interventions. If a faster process transfers work or risk to another contractor, a narrow factory metric could overstate the system benefit.</w:t>
      </w:r>
    </w:p>
    <w:p>
      <w:r>
        <w:t>At the societal level, reduced production cost would not automatically become lower home prices. Land, financing, infrastructure, permitting, market competition, and firm decisions also influence outcomes. GRI should distinguish technical productivity, enterprise profitability, housing supply, and household affordability as separate dependent variables. Their relationship is a research question.</w:t>
      </w:r>
    </w:p>
    <w:p>
      <w:r>
        <w:t>The labor implications similarly require investigation. Automation may reduce some tasks while increasing demand for maintenance, integration, quality assurance, and supervision. Whether displaced workers can access those roles depends on training, geography, credentials, and employer practice. An executive education program should ask who bears transition costs and whether existing workers have a route into the resulting opportunities.</w:t>
      </w:r>
    </w:p>
    <w:p>
      <w:pPr>
        <w:pStyle w:val="Heading2"/>
      </w:pPr>
      <w:r>
        <w:t>The regulatory implications of changing the system role</w:t>
      </w:r>
    </w:p>
    <w:p>
      <w:r>
        <w:t>Regulatory classification follows actual use, jurisdiction, data, and effects. A golf research model, a worker evaluation system, a consumer pricing tool, and a construction controller can create different obligations even if they share a learning technique. Technical similarity does not create one regulatory category.</w:t>
      </w:r>
    </w:p>
    <w:p>
      <w:r>
        <w:t>The European Commission’s AI Act guidance identifies certain employment and educational uses as potentially high risk and describes prohibited practices, including specified emotion recognition uses in workplaces and educational institutions, subject to stated exceptions. These examples illustrate why a coaching aid can acquire a different regulatory significance when used to determine human opportunity. They are not a determination that the GRI prototype falls within any particular category. Classification, exceptions, applicable dates, and governing texts must be assessed for the actual deployment. [18]</w:t>
      </w:r>
    </w:p>
    <w:p>
      <w:r>
        <w:t>In pricing, the FTC’s surveillance pricing study concerns the use of personal information by intermediary systems. Its initial findings should not be treated as proof that every retailer uses those practices or that every variable price is unlawful. Separately, the FTC and DOJ have argued that competitors cannot avoid competition law by using algorithms to facilitate prohibited coordination. Independent competitive responses and coordinated conduct must be distinguished. These sources identify scrutiny and legal principles rather than a finding against the companies discussed in this case. [19, 20]</w:t>
      </w:r>
    </w:p>
    <w:p>
      <w:r>
        <w:t>Physical deployment also requires an institution to establish the applicable product, occupational, construction, inspection, privacy, contractual, and local operating requirements. This case does not provide a compliance determination. The research opportunity is to study how leaders identify those requirements, translate them into authority boundaries, and verify that changes to a model do not invalidate earlier assurance.</w:t>
      </w:r>
    </w:p>
    <w:p>
      <w:r>
        <w:t>A regulatory inventory should connect each consequential action to its jurisdiction, accountable organization, relevant requirement, evidence of assessment, and review trigger. A completed inventory is an administrative artifact. Its value depends on whether it actually changes design, deployment, and remedies when new evidence appears.</w:t>
      </w:r>
    </w:p>
    <w:p>
      <w:pPr>
        <w:pStyle w:val="Heading2"/>
      </w:pPr>
      <w:r>
        <w:t>Institutional opportunities for GRI</w:t>
      </w:r>
    </w:p>
    <w:p>
      <w:r>
        <w:t>The verified BazeletDave repositories provide a research foundation. ConsciousAI describes an independent program on AI governance, algorithmic management, and institutional accountability. GRI Institutional AI Governance preserves a prototype case and distinguishes technical feasibility from legitimate institutional authority. These records support the proposed case’s intellectual continuity without establishing that a golf curriculum engine already exists. [G1, G3]</w:t>
      </w:r>
    </w:p>
    <w:p>
      <w:r>
        <w:t>The module paths supplied in the Python specification are proposed architecture names. They are not presented as inspected repository files. A future implementation could maintain separate components for curriculum allocation, disturbance generation, bounded action authorization, domain specific simulation, and evidence recording. Each should expose its assumptions and version. Shared infrastructure could support evaluation while keeping domain policies distinct.</w:t>
      </w:r>
    </w:p>
    <w:p>
      <w:r>
        <w:t>GRI could develop institutional opportunities around three reviewable outputs: comparative research cases, reproducible evaluation protocols, and executive learning programs grounded in actual decision pipelines. Possible customers or collaborators include universities, employers, public agencies, and technical developers. These are prospective opportunities, not existing partnerships or demonstrated commercial demand.</w:t>
      </w:r>
    </w:p>
    <w:p>
      <w:r>
        <w:t>Assurance research offers another opportunity. GRI’s published Accelerating AI Governance Paradox framework separates the capability clock, the deployment clock, and the institutional assurance clock. Its proposed assurance lag measures the interval between material system change and completion of corresponding evaluation and governance review. The framework explicitly treats relationships between lag and harm as hypotheses. [G4]</w:t>
      </w:r>
    </w:p>
    <w:p>
      <w:r>
        <w:t>This creates a practical research agenda. Record a change to a model or decision role, identify when evaluation catches up, and observe whether errors, appeals, remedies, or repeated failures change. Compare institutions with different review arrangements. A longer lag alone does not prove harm, and a short approval cycle does not establish meaningful assurance. Researchers must assess the quality and independence of the review.</w:t>
      </w:r>
    </w:p>
    <w:p>
      <w:pPr>
        <w:pStyle w:val="Heading2"/>
      </w:pPr>
      <w:r>
        <w:t>The AI Paradox as the central management question</w:t>
      </w:r>
    </w:p>
    <w:p>
      <w:r>
        <w:t>The case proposes an integrated Algorithmic Management AI Paradox: increasing a system’s capacity to optimize and act can increase the importance of human and institutional capacities that the optimization process does not itself preserve. A successful curriculum can improve a policy while leaving its objectives, authority, and distributional effects inadequately examined. This formulation is an analytical extension of GRI’s research and is not a validated general law.</w:t>
      </w:r>
    </w:p>
    <w:p>
      <w:r>
        <w:t>Its mechanisms are testable. First, authority may expand faster than independent evidence. Second, metrics may omit consequences that affected groups consider material. Third, automation may alter the human expertise required for effective intervention. Fourth, institutional incentives may discourage reporting the evidence needed to correct the system. Each mechanism requires its own measures and competing explanations.</w:t>
      </w:r>
    </w:p>
    <w:p>
      <w:r>
        <w:t>The paradox is not resolved by assuming that every human decision is superior or that every automated decision is illegitimate. The relevant question is whether the combined arrangement can identify error, revise an objective, preserve appropriate competence, and deliver a remedy. Institutional learning becomes part of the system’s performance rather than an external statement of intent.</w:t>
      </w:r>
    </w:p>
    <w:p>
      <w:r>
        <w:t>For leadership education, this changes the learning objective. Executives need to explain why a metric is appropriate, what a model result establishes, how authority is granted, and what evidence would justify withdrawing it. GRI’s opportunity lies in connecting those decisions to reproducible inquiry across sectors while preserving the boundaries of each claim.</w:t>
      </w:r>
    </w:p>
    <w:p>
      <w:r>
        <w:t>The final institutional question is who can change the objective when the institution benefits from keeping it. A system that performs its assigned task effectively may expose a failure of management purpose. A mature research program must be capable of recording that outcome even when it weakens the case for deployment.</w:t>
      </w:r>
    </w:p>
    <w:p>
      <w:r>
        <w:br w:type="page"/>
      </w:r>
    </w:p>
    <w:p>
      <w:pPr>
        <w:pStyle w:val="Heading1"/>
      </w:pPr>
      <w:r>
        <w:t>Part Three Research Exhibits</w:t>
      </w:r>
    </w:p>
    <w:p>
      <w:pPr>
        <w:pStyle w:val="Heading2"/>
      </w:pPr>
      <w:r>
        <w:t>Exhibit One The integrated learning architecture</w:t>
      </w:r>
    </w:p>
    <w:p>
      <w:r>
        <w:t>The architecture below is proposed for GRI. Each transition requires a separate evidentiary claim. Success at an earlier layer does not establish readiness at a later one.</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Layer</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What changes</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Evidence for progression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Source interpretation</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Narrative becomes a proposed instructional rule</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Passage provenance and independent coding review</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Curriculum design</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Instruction becomes practice allocation and feedback</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Reproducible specification and comparison conditions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Machine learning</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Experience changes an action policy</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Repeated trials and independent task evaluation</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Physical execution</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Policy output becomes controlled movement</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Calibration, transfer tests, and verified operating limits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Algorithmic management</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Recommendations influence people and opportunities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Human validity, contestability, and impact assessment</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Institutional learning</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Evidence changes objectives and authority</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Recorded decisions, remedies, and reassessment</w:t>
            </w:r>
          </w:p>
        </w:tc>
      </w:tr>
    </w:tbl>
    <w:p>
      <w:pPr>
        <w:spacing w:after="40"/>
      </w:pPr>
    </w:p>
    <w:p>
      <w:r>
        <w:t>The architecture also contains a return path. Physical failure can require simulator revision. A contested human evaluation can require metric revision. Evidence of a distorted incentive can require leadership action. Learning is incomplete if information moves upward while governing assumptions remain inaccessible to review.</w:t>
      </w:r>
    </w:p>
    <w:p>
      <w:pPr>
        <w:pStyle w:val="Heading2"/>
      </w:pPr>
      <w:r>
        <w:t>Exhibit Two Distinguishing the research constructs</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Construct</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Meaning in this case</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What would be insufficient</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Curriculum learning</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Selection and order of training experiences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chatbot summarizing a coaching book</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Continual machine learning</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Updates across successive data or tasks, with retention checks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Assuming a deployed model learns from every interaction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Leadership learning</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Improved judgment and accountable action</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Fluency in AI terminology</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Academic learning</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Revisable claims grounded in methods and evidence</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persuasive anecdote presented as causal proof</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Algorithmic management</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Automated systems shaping direction, evaluation, or consequences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stand alone putting controller</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AI Compliance Paradox</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GRI proposition about formal optimization and contextual risk</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Relabeling any software defect as a paradox</w:t>
            </w:r>
          </w:p>
        </w:tc>
      </w:tr>
    </w:tbl>
    <w:p>
      <w:pPr>
        <w:spacing w:after="40"/>
      </w:pPr>
    </w:p>
    <w:p>
      <w:r>
        <w:t>Sources: case synthesis drawing on [2, 5, 7, 8] and GRI framing [G1]. The comparison criteria are proposed analytical distinctions.</w:t>
      </w:r>
    </w:p>
    <w:p>
      <w:pPr>
        <w:pStyle w:val="Heading2"/>
      </w:pPr>
      <w:r>
        <w:t>Exhibit Three Proposed experiment and hypotheses</w:t>
      </w:r>
    </w:p>
    <w:p>
      <w:r>
        <w:t>The initial GRI experiment would compare three conditions using the same agent architecture, observations, action limits, training budget, and task reward. Only the curriculum would differ. A separate factorial experiment below addresses the two bundled features in the fictional SKL scenario.</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Condition</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Practice allocation</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Analytical purpose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Random sampling from permitted tasks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Establish a baseline</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Conventional progression from simpler to harder tasks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Isolate the value of curriculum structure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documented curriculum derived from the reviewed book</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Test the additional value of the source interpretation</w:t>
            </w:r>
          </w:p>
        </w:tc>
      </w:tr>
    </w:tbl>
    <w:p>
      <w:pPr>
        <w:spacing w:after="40"/>
      </w:pPr>
    </w:p>
    <w:p>
      <w:r>
        <w:t>H1 proposes that Condition C reaches a predefined accuracy threshold with fewer training interactions than A and B. H2 proposes that C performs better on held out conditions. H3 proposes that C retains performance better after a specified change in surface conditions. Each hypothesis can fail independently. If C only exceeds A, GRI cannot infer that the book derived curriculum adds value beyond conventional progression.</w:t>
      </w:r>
    </w:p>
    <w:p>
      <w:r>
        <w:t>A pilot should estimate variability and support a sample size calculation. Independent training seeds are experimental replicates; thousands of shots from a single trained agent should not be treated as thousands of independent training experiments. Evaluation episodes should be paired across conditions where appropriate. Report variation across runs, effect sizes, uncertainty intervals, and the predefined practical difference that would justify the added curriculum cost.</w:t>
      </w:r>
    </w:p>
    <w:p>
      <w:r>
        <w:t>The primary outcome should be chosen before the confirmatory study. Suitable candidates are interactions required to reach a fixed accuracy threshold or held out putting error at a fixed training budget. Secondary outcomes can include successful putts, residual distance, invalid action requests, and performance after environmental change. Multiplicity should be addressed rather than searching among many measures for a favorable result.</w:t>
      </w:r>
    </w:p>
    <w:p>
      <w:r>
        <w:t>Training, validation, and final test conditions should be separated. The final test should include conditions within the intended operating envelope and clearly labeled stress tests beyond the training distribution. Stress test success does not authorize operation outside validated limits. Curriculum designers should not tune on the final test results.</w:t>
      </w:r>
    </w:p>
    <w:p>
      <w:r>
        <w:t>Further experiments should remove individual curriculum components to identify their contribution. A control with comparable difficulty exposure would help determine whether benefits arise from ordering, content, or additional attention by researchers. Record human review time and compute use so efficiency is assessed honestly.</w:t>
      </w:r>
    </w:p>
    <w:p>
      <w:r>
        <w:t>Continual learning would be a later experiment. Sequentially introduce new conditions, test retention of prior tasks, and compare against a frozen policy. Any update intended for physical use would require validation before deployment. Inference time adaptation, stored conversation history, and changes to model parameters should be reported separately.</w:t>
      </w:r>
    </w:p>
    <w:p>
      <w:r>
        <w:t>Sources: proposed GRI protocol informed by curriculum learning [2] and reinforcement learning foundations [13]. No observations or results are supplied.</w:t>
      </w:r>
    </w:p>
    <w:p>
      <w:pPr>
        <w:pStyle w:val="Heading2"/>
      </w:pPr>
      <w:r>
        <w:t>Exhibit Four Resolving the SKL comparison</w:t>
      </w:r>
    </w:p>
    <w:p>
      <w:r>
        <w:t>The supplied A versus B comparison changes at least two dimensions at once. A factorial study would vary practice sequence and disturbance exposure separately. Backward chaining should be defined explicitly, for example by learning a terminal task component before expanding the required action sequence toward earlier components. It is distinct from reasoning backward in a language model.</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Experimental condition</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Sequence</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Disturbance exposure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Forward without disruption</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Basic components toward full task</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Baseline conditions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Backward without disruption</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Terminal component toward earlier components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Baseline conditions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Forward with disruption</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Basic components toward full task</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Matched targeted disturbances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Backward with disruption</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Terminal component toward earlier components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Matched targeted disturbances</w:t>
            </w:r>
          </w:p>
        </w:tc>
      </w:tr>
    </w:tbl>
    <w:p>
      <w:pPr>
        <w:spacing w:after="40"/>
      </w:pPr>
    </w:p>
    <w:p>
      <w:r>
        <w:t>Architecture, reward, training interactions, compute accounting, and test conditions should be controlled or explicitly modeled. Equivalent exposure to relevant physical conditions is necessary to distinguish sequence effects from distributional coverage. If the combination wins, the analysis should estimate whether an interaction explains its advantage. A conventional curriculum with disturbance exposure is a serious alternative to the claim that human coaching is the active ingredient.</w:t>
      </w:r>
    </w:p>
    <w:p>
      <w:r>
        <w:t>The reported degradation should be defined as a relative change in a named outcome against a specified baseline. A success rate changing from 80 percent to 32 percent would be a 60 percent relative decline and a 48 percentage point decline. These numbers illustrate arithmetic only; they are not SKL observations. If the metric is error, force deviation, or task time, a different calculation may apply.</w:t>
      </w:r>
    </w:p>
    <w:p>
      <w:r>
        <w:t>Model B needs the same test conditions, numerical outcomes, and uncertainty estimates. Robust behavior on first exposure can demonstrate generalization without any model update. Zero shot adaptation should therefore be described operationally: disclose whether weights remain frozen, whether the controller uses state feedback or memory, and whether test conditions influenced development. Extreme conditions must also be specified rather than used as an evaluative adjective.</w:t>
      </w:r>
    </w:p>
    <w:p>
      <w:pPr>
        <w:pStyle w:val="Heading2"/>
      </w:pPr>
      <w:r>
        <w:t>Exhibit Five Source translation and evidence register</w:t>
      </w:r>
    </w:p>
    <w:tbl>
      <w:tblPr>
        <w:tblW w:type="auto" w:w="0"/>
        <w:jc w:val="center"/>
        <w:tblLayout w:type="fixed"/>
        <w:tblLook w:firstColumn="1" w:firstRow="1" w:lastColumn="0" w:lastRow="0" w:noHBand="0" w:noVBand="1" w:val="04A0"/>
      </w:tblPr>
      <w:tblGrid>
        <w:gridCol w:w="2736"/>
        <w:gridCol w:w="7056"/>
      </w:tblGrid>
      <w:tr>
        <w:trPr>
          <w:tblHeader/>
          <w:cantSplit/>
        </w:trPr>
        <w:tc>
          <w:tcPr>
            <w:tcW w:type="dxa" w:w="273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Record field</w:t>
            </w:r>
          </w:p>
        </w:tc>
        <w:tc>
          <w:tcPr>
            <w:tcW w:type="dxa" w:w="705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Required content</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Source identity</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Author, edition, year, page, and access basis</w:t>
            </w:r>
          </w:p>
        </w:tc>
      </w:tr>
      <w:tr>
        <w:trPr>
          <w:cantSplit/>
        </w:trPr>
        <w:tc>
          <w:tcPr>
            <w:tcW w:type="dxa" w:w="273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Textual claim</w:t>
            </w:r>
          </w:p>
        </w:tc>
        <w:tc>
          <w:tcPr>
            <w:tcW w:type="dxa" w:w="705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Brief supported description with quotation only when needed</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Interpretation</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Proposed instructional mechanism and alternative readings</w:t>
            </w:r>
          </w:p>
        </w:tc>
      </w:tr>
      <w:tr>
        <w:trPr>
          <w:cantSplit/>
        </w:trPr>
        <w:tc>
          <w:tcPr>
            <w:tcW w:type="dxa" w:w="273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Computational intervention</w:t>
            </w:r>
          </w:p>
        </w:tc>
        <w:tc>
          <w:tcPr>
            <w:tcW w:type="dxa" w:w="705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Task ordering, feedback, or scheduling rule</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Comparison</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Condition that can isolate the intervention</w:t>
            </w:r>
          </w:p>
        </w:tc>
      </w:tr>
      <w:tr>
        <w:trPr>
          <w:cantSplit/>
        </w:trPr>
        <w:tc>
          <w:tcPr>
            <w:tcW w:type="dxa" w:w="273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Review</w:t>
            </w:r>
          </w:p>
        </w:tc>
        <w:tc>
          <w:tcPr>
            <w:tcW w:type="dxa" w:w="705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Coder agreement, disagreement, and resolution record</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Outcome</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Predefined measure and decision consequence</w:t>
            </w:r>
          </w:p>
        </w:tc>
      </w:tr>
    </w:tbl>
    <w:p>
      <w:pPr>
        <w:spacing w:after="40"/>
      </w:pPr>
    </w:p>
    <w:p>
      <w:r>
        <w:t>This register creates a chain that a reviewer can challenge at any point. Agreement among coders improves transparency but does not establish the causal truth of the coaching account. A negative experiment may challenge the computational translation without disproving the source author’s experience.</w:t>
      </w:r>
    </w:p>
    <w:p>
      <w:pPr>
        <w:pStyle w:val="Heading2"/>
      </w:pPr>
      <w:r>
        <w:t>Exhibit Six Proposed authority and accountability matrix</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Decision</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Accountable role to appoint</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Required record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Select source interpretations</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Research lead</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Coding protocol and reviewer comments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Define acceptable outcomes</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Principal investigator</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Protocol and explicit exclusions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Authorize physical trials</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Qualified robotics safety lead</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Validated limits and stop procedures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Change a deployed model</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Designated release owner</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Evaluation, version, and rollback plan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Resolve contested human evaluations</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Human program director</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Reasons, review, and available remedy</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Expand institutional use</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GRI leadership</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Evidence assessment and unresolved risks</w:t>
            </w:r>
          </w:p>
        </w:tc>
      </w:tr>
    </w:tbl>
    <w:p>
      <w:pPr>
        <w:spacing w:after="40"/>
      </w:pPr>
    </w:p>
    <w:p>
      <w:r>
        <w:t>These are proposed responsibilities, not assertions about current GRI staffing. An institution can combine roles where appropriate, but the person approving deployment should have access to evaluation independent of the team’s promotional objectives.</w:t>
      </w:r>
    </w:p>
    <w:p>
      <w:pPr>
        <w:pStyle w:val="Heading2"/>
      </w:pPr>
      <w:r>
        <w:t>Exhibit Seven Evidence required for investment</w:t>
      </w:r>
    </w:p>
    <w:p>
      <w:r>
        <w:t>A software study requires verified source interpretations, a validated task environment, a reproducible protocol, and a justified analysis plan. A physical pilot additionally requires appropriate engineering expertise, measured control reliability, and a defined operating envelope. Human evaluation additionally requires evidence that the assessment measures the intended ability and that affected people can contest consequential errors.</w:t>
      </w:r>
    </w:p>
    <w:p>
      <w:r>
        <w:t>The decision rule should identify both progression and withdrawal criteria. Examples include stopping a source specific claim when C fails to improve on B, revising simulation when physical errors exceed the predefined tolerance, and suspending human scoring when a validity problem remains unresolved. Numerical tolerances must be set through the protocol and engineering review before trials.</w:t>
      </w:r>
    </w:p>
    <w:p>
      <w:r>
        <w:br w:type="page"/>
      </w:r>
    </w:p>
    <w:p>
      <w:pPr>
        <w:pStyle w:val="Heading1"/>
      </w:pPr>
      <w:r>
        <w:t>Part Four Teaching Note</w:t>
      </w:r>
    </w:p>
    <w:p>
      <w:pPr>
        <w:pStyle w:val="Heading2"/>
      </w:pPr>
      <w:r>
        <w:t>Audience and learning objectives</w:t>
      </w:r>
    </w:p>
    <w:p>
      <w:r>
        <w:t>The case is designed for graduate management courses, executive education, and continuing leadership development in AI governance, organizational learning, and technology strategy. Technical background is helpful but not required. The instructor should explain an action policy as a rule for selecting behavior from observations, a reward as a training signal, and a curriculum as the allocation and ordering of learning experiences.</w:t>
      </w:r>
    </w:p>
    <w:p>
      <w:r>
        <w:t>By the end of the case, participants should be able to distinguish task competence from managerial authority, identify the assumptions embedded in a training objective, and design evidence requirements for a staged AI investment. They should also be able to explain why human development and machine learning require different measures, construct a fair comparison among curricula, and identify when an organization must reconsider the objective itself.</w:t>
      </w:r>
    </w:p>
    <w:p>
      <w:r>
        <w:t>The case supports a global management perspective through questions of whose expertise is encoded, how context changes validity, and who has access to review. Applying the system across institutions or countries would require additional evidence about language, accessibility, local practice, and institutional responsibility. A curriculum successful in one setting should not be assumed to travel unchanged.</w:t>
      </w:r>
    </w:p>
    <w:p>
      <w:pPr>
        <w:pStyle w:val="Heading2"/>
      </w:pPr>
      <w:r>
        <w:t>Preparation assignments</w:t>
      </w:r>
    </w:p>
    <w:p>
      <w:r>
        <w:t>Participants should read the decision case and exhibits before seeing the instructor analysis. The preparation memorandum should take a position on Options A, B, and C and identify the strongest objection to its own recommendation. It should distinguish a scientific claim from an educational claim and specify what evidence would overturn each.</w:t>
      </w:r>
    </w:p>
    <w:p>
      <w:r>
        <w:t>Assign selected readings from the bibliography rather than requiring every source. A management emphasis can pair [5] and [6]. A learning emphasis can pair [7] and [8]. A technical emphasis can use [2] and the introductory concepts in [13]. Governance participants can examine [11] and [12], remembering that the IFC application is an analogy.</w:t>
      </w:r>
    </w:p>
    <w:p>
      <w:pPr>
        <w:pStyle w:val="Heading2"/>
      </w:pPr>
      <w:r>
        <w:t>A proposed 120 minute session</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Minutes</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Activity</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Participant output</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0 to 15</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Individual investment decision and initial vote</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stated claim and decision</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15 to 35</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Trace one curriculum choice into a management consequence</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causal explanation with assumptions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35 to 60</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Design the three condition experiment</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Primary outcome and comparison logic</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60 to 80</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Challenge the objective and its incentives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revised metric or decision boundary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80 to 105</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Role discussion on authority expansion</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Accountable owner and evidence requirement</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105 to 120</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Reconsider the initial vote</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revised memorandum and remaining uncertainty</w:t>
            </w:r>
          </w:p>
        </w:tc>
      </w:tr>
    </w:tbl>
    <w:p>
      <w:pPr>
        <w:spacing w:after="40"/>
      </w:pPr>
    </w:p>
    <w:p>
      <w:r>
        <w:t>A shorter session can omit role discussion. An extended workshop should add time for participants to apply the architecture to an existing AI initiative in their own organization. The educational objective is demonstrated reasoning, not agreement with the instructor’s preferred investment path.</w:t>
      </w:r>
    </w:p>
    <w:p>
      <w:pPr>
        <w:pStyle w:val="Heading2"/>
      </w:pPr>
      <w:r>
        <w:t>A proposed six week decision process</w:t>
      </w:r>
    </w:p>
    <w:p>
      <w:r>
        <w:t>During week one, Rostova’s team would define outcomes, recover training logs, verify source provenance, and determine whether the initial comparison is reproducible. In weeks two and three, it would run a scoped factorial pilot with matched evaluation and report the uncertainty that remains. Week four would test selected policies on a bounded physical task with the appropriate supervision. Week five would examine failure cases, resource requirements, and the strength of the proposed claims. Week six would produce a proposal separating demonstrated capability from work still needed.</w:t>
      </w:r>
    </w:p>
    <w:p>
      <w:r>
        <w:t>This schedule is a planning assumption. Feasibility depends on existing infrastructure and cannot be inferred from the deadline. If the necessary evidence is unavailable, the proposal can seek support for a defined validation program rather than claim a standardized architecture. A commercial deadline should determine the scope of the commitment, not the standard of evidence.</w:t>
      </w:r>
    </w:p>
    <w:p>
      <w:r>
        <w:t>A defensible interim decision is to retain both approaches, treat Model B as a promising candidate, and defer organization wide standardization until the components are isolated and physical performance is reproduced. Participants can recommend otherwise if they explain the evidence and costs that justify the greater commitment.</w:t>
      </w:r>
    </w:p>
    <w:p>
      <w:pPr>
        <w:pStyle w:val="Heading2"/>
      </w:pPr>
      <w:r>
        <w:t>Instructor analysis of the strategic choice</w:t>
      </w:r>
    </w:p>
    <w:p>
      <w:r>
        <w:t>Option A is a defensible starting recommendation because it isolates the principal research claim at a comparatively bounded level of complexity. Its strongest weakness is that a curriculum optimized for a simplified simulator may fail physically. The instructor should ask what simulator validation and later transfer test would address that weakness, rather than allowing it to become a reason to abandon controlled comparison.</w:t>
      </w:r>
    </w:p>
    <w:p>
      <w:r>
        <w:t>Option B can be defensible when GRI has qualified engineering partners and an affordable, limited physical platform. Its success requires separation of curriculum research from control engineering so the team can explain outcomes. Participants should specify whether the physical pilot primarily validates the simulator, the movement controller, or the curriculum. A single demonstration is unlikely to isolate all three.</w:t>
      </w:r>
    </w:p>
    <w:p>
      <w:r>
        <w:t>Option C can produce educational value before technical validation. It should be assessed through participant learning and subsequent application, with claims kept separate from the proposed golf model. A course can succeed while a technical hypothesis fails. This separation protects the academic purpose and avoids using classroom enthusiasm as evidence of model performance.</w:t>
      </w:r>
    </w:p>
    <w:p>
      <w:r>
        <w:t>A strong combined recommendation would begin with A, run a clearly labeled educational module alongside it, and defer substantial robotics investment until the software study and engineering scoping justify it. This is an instructor recommendation, not a reported GRI decision. Alternative recommendations deserve credit when their evidence requirements, resources, and claims are internally consistent.</w:t>
      </w:r>
    </w:p>
    <w:p>
      <w:pPr>
        <w:pStyle w:val="Heading2"/>
      </w:pPr>
      <w:r>
        <w:t>Using the paradoxes precisely</w:t>
      </w:r>
    </w:p>
    <w:p>
      <w:r>
        <w:t>Participants often interpret a paradox as any undesirable outcome. The instructor should require a mechanism. A poorly chosen reward is initially a specification problem. A broader organizational tension appears when pressures for measurable performance repeatedly undermine the attention, discretion, or feedback needed to sustain legitimate performance.</w:t>
      </w:r>
    </w:p>
    <w:p>
      <w:r>
        <w:t>The established automation and augmentation paradox addresses interdependent ways of organizing human and machine work. The GRI Compliance Paradox concerns formal compliance and contextual outcomes. A case analysis can connect the two by examining how delegation changes the information available to oversight. It should preserve their separate definitions and should not claim that one literature validates the other.</w:t>
      </w:r>
    </w:p>
    <w:p>
      <w:r>
        <w:t>A useful test is to ask what would falsify the proposed explanation. If a well specified objective, a better simulator, and independent evaluation resolve the problem, the evidence may favor ordinary engineering explanations. If recurring incentive and authority conflicts remain, institutional analysis becomes more persuasive. Both outcomes advance the research.</w:t>
      </w:r>
    </w:p>
    <w:p>
      <w:pPr>
        <w:pStyle w:val="Heading2"/>
      </w:pPr>
      <w:r>
        <w:t>Leadership implications</w:t>
      </w:r>
    </w:p>
    <w:p>
      <w:r>
        <w:t>The executive owns the decision to assign authority. A model’s confidence, fluent explanation, or high average score does not determine that authority. Leadership must specify acceptable use, resource meaningful oversight, preserve an escalation route, and revisit assumptions when evidence changes. These are proposed applications of the case rather than claims that one framework guarantees responsible AI.</w:t>
      </w:r>
    </w:p>
    <w:p>
      <w:pPr>
        <w:pStyle w:val="Heading2"/>
      </w:pPr>
      <w:r>
        <w:t>Connecting machine learning and executive learning</w:t>
      </w:r>
    </w:p>
    <w:p>
      <w:r>
        <w:t>The golfer creates a useful teaching setting because action and feedback are visible. An executive can observe a missed putt, inspect the objective, and distinguish a skill error from an evaluation error. The instructor can then transfer the reasoning to a hiring model, an automated work allocation system, or a customer service agent without claiming that the technical tasks are equivalent.</w:t>
      </w:r>
    </w:p>
    <w:p>
      <w:r>
        <w:t>The transfer exercise should preserve the structure of the question. What experiences shape behavior? Which outcomes are rewarded? Whose feedback is missing? What authority follows a score? Who can revise the governing assumptions? Participants should supply institution specific evidence rather than recycle the golf metaphor.</w:t>
      </w:r>
    </w:p>
    <w:p>
      <w:r>
        <w:t>Edmondson’s study associated team psychological safety with learning behavior in the teams examined. In this case, it motivates examining whether staff can report failures and challenge assumptions without interpersonal penalty. It does not show that encouraging discussion alone establishes safe AI. [14]</w:t>
      </w:r>
    </w:p>
    <w:p>
      <w:r>
        <w:t>The instructor can ask participants to identify a result their organization would find uncomfortable and describe how it would reach leadership. If the answer depends on an informal relationship or the discretion of the team being evaluated, the oversight arrangement needs further work.</w:t>
      </w:r>
    </w:p>
    <w:p>
      <w:pPr>
        <w:pStyle w:val="Heading2"/>
      </w:pPr>
      <w:r>
        <w:t>Continuing education over 90 days</w:t>
      </w:r>
    </w:p>
    <w:p>
      <w:r>
        <w:t>A continuing program should connect classroom reasoning to an organizational artifact and a later decision. The following sequence is proposed and should be adapted to participant responsibilities.</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Period</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Learning activity</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Evidence of application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First session</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Analyze the GRI case and decide the next investment</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Written reasoning against a defined rubric</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By day 30</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Map one actual AI system in the participant’s organization</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Objectives, data, decision rights, and affected groups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By day 60</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Challenge one metric or assumption with colleagues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 documented test or justified redesign</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By day 90</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Review the resulting decision and consequences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An observed change or a reasoned decision to retain practice</w:t>
            </w:r>
          </w:p>
        </w:tc>
      </w:tr>
    </w:tbl>
    <w:p>
      <w:pPr>
        <w:spacing w:after="40"/>
      </w:pPr>
    </w:p>
    <w:p>
      <w:r>
        <w:t>Continuing human learning does not require continuous model updates. A stable model may be preferable while an institution improves its evaluation and decision process. Conversely, new model versions can create new learning obligations for people. The program should keep these two forms of change visible.</w:t>
      </w:r>
    </w:p>
    <w:p>
      <w:r>
        <w:t>Assess learning through an initial memorandum, a new scenario after instruction, and the later organizational artifact. Where feasible, use assessors unaware of whether a response was produced before or after instruction. Self reported confidence and course satisfaction can supplement assessment but should not serve as primary evidence of improved judgment.</w:t>
      </w:r>
    </w:p>
    <w:p>
      <w:r>
        <w:t>A research claim that the program causes better workplace decisions would require a stronger design, such as a suitable comparison group or staggered introduction, attention to selection effects, and an appropriate follow up period. The proposed 90 day sequence is a curriculum, not evidence of effectiveness.</w:t>
      </w:r>
    </w:p>
    <w:p>
      <w:pPr>
        <w:pStyle w:val="Heading2"/>
      </w:pPr>
      <w:r>
        <w:t>Discussion questions and assessment</w:t>
      </w:r>
    </w:p>
    <w:p>
      <w:r>
        <w:t>1. What precise claim should GRI test first, and which comparison would allow it to make that claim?</w:t>
      </w:r>
    </w:p>
    <w:p>
      <w:r>
        <w:t>2. Where does the proposed system acquire managerial authority? Identify a decision about people that would require evidence beyond golf performance.</w:t>
      </w:r>
    </w:p>
    <w:p>
      <w:r>
        <w:t>3. If Condition C beats random practice but not conventional progression, what should GRI report and what should it do next?</w:t>
      </w:r>
    </w:p>
    <w:p>
      <w:r>
        <w:t>4. Which observation would distinguish a simulator failure from a curriculum failure? What remains unidentified if both are changed together?</w:t>
      </w:r>
    </w:p>
    <w:p>
      <w:r>
        <w:t>5. How could the institution reward performance in a way that suppresses useful evidence? Specify a practical change to the evaluation process.</w:t>
      </w:r>
    </w:p>
    <w:p>
      <w:r>
        <w:t>6. What would count as leadership learning after 90 days? What would remain uncertain about causality?</w:t>
      </w:r>
    </w:p>
    <w:p>
      <w:r>
        <w:t>7. What evidence would justify expanding from a physical putting mechanism to a humanoid golfer? Which investment could be postponed without weakening the first study?</w:t>
      </w:r>
    </w:p>
    <w:p>
      <w:r>
        <w:t>8. How should GRI respond if the model follows its specified rules but produces unacceptable outcomes? Identify which actions belong to engineering, management, and institutional governance.</w:t>
      </w:r>
    </w:p>
    <w:p>
      <w:pPr>
        <w:pStyle w:val="Heading2"/>
      </w:pPr>
      <w:r>
        <w:t>Proposed assessment rubric</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Criterion</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Weight</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Strong evidence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Evidence and attribution</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25 percent</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Distinguishes source claims, interpretations, and proposals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Experimental reasoning</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25 percent</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Uses valid comparisons and specifies disconfirming results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Management and governance</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25 percent</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Connects metrics to authority, incentives, and remedies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Learning and transfer</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15 percent</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Applies the framework to a fresh organizational problem</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Decision clarity</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10 percent</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States a feasible next commitment and its limits</w:t>
            </w:r>
          </w:p>
        </w:tc>
      </w:tr>
    </w:tbl>
    <w:p>
      <w:pPr>
        <w:spacing w:after="40"/>
      </w:pPr>
    </w:p>
    <w:p>
      <w:r>
        <w:t>The rubric evaluates reasoning, not the choice of a particular option. A polished answer that invents source lessons or treats unobserved benefits as facts should score poorly on evidence even if its recommendation is appealing.</w:t>
      </w:r>
    </w:p>
    <w:p>
      <w:pPr>
        <w:pStyle w:val="Heading2"/>
      </w:pPr>
      <w:r>
        <w:t>Research limitations and publication requirements</w:t>
      </w:r>
    </w:p>
    <w:p>
      <w:r>
        <w:t>This is a fictional decision case with a prospective research extension. The supplied SKL comparison is a scenario assumption, not a completed study. The case contains no independently verified experiments, field interviews, budget, or observed GRI golf model outcomes. The causal contribution of any book derived curriculum remains untested. The analogy between golf development, workplace control, and leadership education is analytical and requires domain specific validation.</w:t>
      </w:r>
    </w:p>
    <w:p>
      <w:r>
        <w:t>Before empirical publication, GRI should complete the source review, establish applicable content permissions, register the protocol, obtain relevant research review for any human participant work, and disclose affiliations, funding, conflicts, and analytic decisions. Human training data and evaluation records require their own access and consent arrangements. These are research design requirements to resolve for the actual study, not assertions of legal status or institutional approval.</w:t>
      </w:r>
    </w:p>
    <w:p>
      <w:r>
        <w:t>The next actionable deliverable is a protocol that links a verified source interpretation to a falsifiable intervention. That protocol would let GRI decide whether the proposed developmental approach deserves further technical and institutional investment.</w:t>
      </w:r>
    </w:p>
    <w:p>
      <w:r>
        <w:br w:type="page"/>
      </w:r>
    </w:p>
    <w:p>
      <w:pPr>
        <w:pStyle w:val="Heading1"/>
      </w:pPr>
      <w:r>
        <w:t>References and Source Notes</w:t>
      </w:r>
    </w:p>
    <w:p>
      <w:r>
        <w:t>Sources were checked on 28 October 2026. Numbered citations identify academic publications, author research materials, institutional standards, or bibliographic records. GRI constructs are identified separately. No claimed empirical finding rests on a news summary or an invented interview. The SKL opening is a clearly identified fictional teaching scenario.</w:t>
      </w:r>
    </w:p>
    <w:p>
      <w:pPr>
        <w:spacing w:after="180"/>
      </w:pPr>
      <w:r>
        <w:rPr>
          <w:sz w:val="20"/>
        </w:rPr>
        <w:t>[1] Woods, E., with McDaniel, P. (1997). Training a Tiger: A Father’s Guide to Raising a Winner in Both Golf and Life. HarperCollins. Bibliographic verification: https://search.worldcat.org/title/478269426 . The supplied cover corroborates authorship and the foreword credit. The full text was not used to attribute particular teaching practices.</w:t>
      </w:r>
    </w:p>
    <w:p>
      <w:pPr>
        <w:spacing w:after="180"/>
      </w:pPr>
      <w:r>
        <w:rPr>
          <w:sz w:val="20"/>
        </w:rPr>
        <w:t>[2] Bengio, Y., Louradour, J., Collobert, R., &amp; Weston, J. (2009). Curriculum learning. Proceedings of the 26th International Conference on Machine Learning, 41–48. https://doi.org/10.1145/1553374.1553380 . Primary conference paper: https://icml.cc/2009/papers/119.pdf . Supports the technical concept of ordering learning experiences, not the efficacy of the proposed GRI curriculum.</w:t>
      </w:r>
    </w:p>
    <w:p>
      <w:pPr>
        <w:spacing w:after="180"/>
      </w:pPr>
      <w:r>
        <w:rPr>
          <w:sz w:val="20"/>
        </w:rPr>
        <w:t>[3] Ericsson, K. A., Krampe, R. T., &amp; Tesch Römer, C. (1993). The role of deliberate practice in the acquisition of expert performance. Psychological Review, 100(3), 363–406. https://doi.org/10.1037/0033-295X.100.3.363 . Supports discussion of structured practice and expertise. Does not establish that a coaching book can reproduce an elite athlete.</w:t>
      </w:r>
    </w:p>
    <w:p>
      <w:pPr>
        <w:spacing w:after="180"/>
      </w:pPr>
      <w:r>
        <w:rPr>
          <w:sz w:val="20"/>
        </w:rPr>
        <w:t>[4] Macnamara, B. N., &amp; Maitra, M. (2019). The role of deliberate practice in expert performance: Revisiting Ericsson, Krampe &amp; Tesch Römer (1993). Royal Society Open Science, 6, 190327. https://doi.org/10.1098/rsos.190327 . Primary study: https://pmc.ncbi.nlm.nih.gov/articles/PMC6731745/ . Provides a replication based qualification of strong practice explanations.</w:t>
      </w:r>
    </w:p>
    <w:p>
      <w:pPr>
        <w:spacing w:after="180"/>
      </w:pPr>
      <w:r>
        <w:rPr>
          <w:sz w:val="20"/>
        </w:rPr>
        <w:t>[5] Kellogg, K. C., Valentine, M. A., &amp; Christin, A. (2020). Algorithms at work: The new contested terrain of control. Academy of Management Annals, 14(1), 366–410. https://doi.org/10.5465/annals.2018.0174 . Author manuscript: https://www.angelechristin.com/wp-content/uploads/2020/01/Algorithms-at-Work_Annals.pdf . Grounds the organizational control perspective.</w:t>
      </w:r>
    </w:p>
    <w:p>
      <w:pPr>
        <w:spacing w:after="180"/>
      </w:pPr>
      <w:r>
        <w:rPr>
          <w:sz w:val="20"/>
        </w:rPr>
        <w:t>[6] Raisch, S., &amp; Krakowski, S. (2021). Artificial intelligence and management: The automation augmentation paradox. Academy of Management Review, 46(1), 192–210. https://doi.org/10.5465/amr.2018.0072 . Grounds the relationship between automation and augmentation. The title is rendered with spaces in place of its original dash.</w:t>
      </w:r>
    </w:p>
    <w:p>
      <w:pPr>
        <w:spacing w:after="180"/>
      </w:pPr>
      <w:r>
        <w:rPr>
          <w:sz w:val="20"/>
        </w:rPr>
        <w:t>[7] Argyris, C. (1977). Double loop learning in organizations. Harvard Business Review, 55(5), 115–125. Publisher description: https://store.hbr.org/product/double-loop-learning-in-organizations/77502 . Grounds the distinction between correcting actions and examining governing objectives. The article title is rendered without its original hyphen.</w:t>
      </w:r>
    </w:p>
    <w:p>
      <w:pPr>
        <w:pStyle w:val="Heading2"/>
      </w:pPr>
      <w:r>
        <w:t>Additional references and provenance</w:t>
      </w:r>
    </w:p>
    <w:p>
      <w:pPr>
        <w:spacing w:after="180"/>
      </w:pPr>
      <w:r>
        <w:rPr>
          <w:sz w:val="20"/>
        </w:rPr>
        <w:t>[8] March, J. G. (1991). Exploration and exploitation in organizational learning. Organization Science, 2(1), 71–87. https://doi.org/10.1287/orsc.2.1.71 . Grounds the tension between refining established knowledge and investigating alternatives.</w:t>
      </w:r>
    </w:p>
    <w:p>
      <w:pPr>
        <w:spacing w:after="180"/>
      </w:pPr>
      <w:r>
        <w:rPr>
          <w:sz w:val="20"/>
        </w:rPr>
        <w:t>[9] Zitkovich, B., et al. (2023). RT 2: Vision Language Action Models Transfer Web Knowledge to Robotic Control. Proceedings of the 7th Conference on Robot Learning, Proceedings of Machine Learning Research, 229, 2165–2183. https://proceedings.mlr.press/v229/zitkovich23a.html . Author project: https://robotics-transformer2.github.io/ . Conference bibliographic ordering is used here; the project page lists authors alphabetically. The title is rendered without hyphens.</w:t>
      </w:r>
    </w:p>
    <w:p>
      <w:pPr>
        <w:spacing w:after="180"/>
      </w:pPr>
      <w:r>
        <w:rPr>
          <w:sz w:val="20"/>
        </w:rPr>
        <w:t>[10] Haarnoja, T., et al. (2024). Learning agile soccer skills for a bipedal robot with deep reinforcement learning. Science Robotics, 9(89), eadi8022. https://doi.org/10.1126/scirobotics.adi8022 . Author research summary: https://deepmind.google/research/publications/31284/ . Supports feasibility of selected skills transferring from simulation to physical robots, not golf capability.</w:t>
      </w:r>
    </w:p>
    <w:p>
      <w:pPr>
        <w:spacing w:after="180"/>
      </w:pPr>
      <w:r>
        <w:rPr>
          <w:sz w:val="20"/>
        </w:rPr>
        <w:t>[11] National Institute of Standards and Technology. (2023). Artificial Intelligence Risk Management Framework AI RMF 1.0. NIST AI 100 1. https://doi.org/10.6028/NIST.AI.100-1 . Core functions: https://airc.nist.gov/airmf-resources/airmf/5-sec-core/ . The version is specified; this case does not assert it is the latest version.</w:t>
      </w:r>
    </w:p>
    <w:p>
      <w:pPr>
        <w:spacing w:after="180"/>
      </w:pPr>
      <w:r>
        <w:rPr>
          <w:sz w:val="20"/>
        </w:rPr>
        <w:t>[12] International Finance Corporation. (2012). Performance Standard 1 Assessment and Management of Environmental and Social Risks and Impacts. https://www.ifc.org/content/dam/ifc/doc/2010/2012-ifc-performance-standard-1-en.pdf . Supports an institutional analogy concerning ongoing management, stakeholder engagement, and grievance processes. The AI application is GRI analysis.</w:t>
      </w:r>
    </w:p>
    <w:p>
      <w:pPr>
        <w:spacing w:after="180"/>
      </w:pPr>
      <w:r>
        <w:rPr>
          <w:sz w:val="20"/>
        </w:rPr>
        <w:t>[13] Sutton, R. S., &amp; Barto, A. G. (2018). Reinforcement Learning An Introduction. Second edition. MIT Press. https://mitpress.mit.edu/9780262039246/reinforcement-learning/ . Foundational reference for agents learning through interaction and reward. It does not validate the proposed protocol or sample size.</w:t>
      </w:r>
    </w:p>
    <w:p>
      <w:pPr>
        <w:spacing w:after="180"/>
      </w:pPr>
      <w:r>
        <w:rPr>
          <w:sz w:val="20"/>
        </w:rPr>
        <w:t>[14] Edmondson, A. (1999). Psychological safety and learning behavior in work teams. Administrative Science Quarterly, 44(2), 350–383. https://doi.org/10.2307/2666999 . Harvard repository: https://dash.harvard.edu/entities/publication/13a7b031-0fdd-45ec-a7e0-2b80e2bc679f . Supports the association discussed in the teaching note, not a causal claim about this project.</w:t>
      </w:r>
    </w:p>
    <w:p>
      <w:pPr>
        <w:spacing w:after="180"/>
      </w:pPr>
      <w:r>
        <w:rPr>
          <w:sz w:val="20"/>
        </w:rPr>
        <w:t>[15] Uber. What’s happening when prices surge. Official marketplace explanation. https://www.uber.com/us/en/marketplace/pricing/surge-pricing/ . Retrieved 28 October 2026. Describes the company’s stated mechanism, not independently measured social outcomes.</w:t>
      </w:r>
    </w:p>
    <w:p>
      <w:pPr>
        <w:spacing w:after="180"/>
      </w:pPr>
      <w:r>
        <w:rPr>
          <w:sz w:val="20"/>
        </w:rPr>
        <w:t>[16] Walmart. (2026, October 5). Correcting the Record We Price Products Not People. https://corporate.walmart.com/news/2026/10/correcting-the-record . Primary corporate statement disputing claims of dynamic or individualized pricing through shelf labels.</w:t>
      </w:r>
    </w:p>
    <w:p>
      <w:pPr>
        <w:spacing w:after="180"/>
      </w:pPr>
      <w:r>
        <w:rPr>
          <w:sz w:val="20"/>
        </w:rPr>
        <w:t>[17] Promise Robotics. (2026, October 13). Promise Robotics Expands Physical AI Production Infrastructure for U.S. Homebuilding Through Multi Year Commercial Agreement with D.R. Horton. https://news.promiserobotics.com/promise-robotics-expands-physical-ai-production-infrastructure-for-u-s-homebuilding-through-multi-year-commercial-agreement-with-d-r-horton/ . Corporate announcement of intended production support, not independent outcome evaluation.</w:t>
      </w:r>
    </w:p>
    <w:p>
      <w:pPr>
        <w:spacing w:after="180"/>
      </w:pPr>
      <w:r>
        <w:rPr>
          <w:sz w:val="20"/>
        </w:rPr>
        <w:t>[18] European Commission. Navigating the AI Act. https://digital-strategy.ec.europa.eu/en/faqs/navigating-ai-act . Retrieved 28 October 2026. Official overview of risk categories and prohibited practices. Deployment specific interpretation and application timing require separate assessment.</w:t>
      </w:r>
    </w:p>
    <w:p>
      <w:pPr>
        <w:spacing w:after="180"/>
      </w:pPr>
      <w:r>
        <w:rPr>
          <w:sz w:val="20"/>
        </w:rPr>
        <w:t>[19] Federal Trade Commission. (2025, January 17). FTC Surveillance Pricing Study Indicates Wide Range of Personal Data Used to Set Individualized Consumer Prices. https://www.ftc.gov/news-events/news/press-releases/2025/01/ftc-surveillance-pricing-study-indicates-wide-range-personal-data-used-set-individualized-consumer . Initial staff findings about intermediaries; not a finding that every company uses the described practices.</w:t>
      </w:r>
    </w:p>
    <w:p>
      <w:pPr>
        <w:spacing w:after="180"/>
      </w:pPr>
      <w:r>
        <w:rPr>
          <w:sz w:val="20"/>
        </w:rPr>
        <w:t>[20] Federal Trade Commission. (2024, March 28). FTC and DOJ File Statement of Interest in Hotel Room Algorithmic Price Fixing Case. https://www.ftc.gov/news-events/news/press-releases/2024/03/ftc-doj-file-statement-interest-hotel-room-algorithmic-price-fixing-case . Agency litigation position, not a final adjudication of the companies discussed in this case.</w:t>
      </w:r>
    </w:p>
    <w:p>
      <w:pPr>
        <w:spacing w:after="180"/>
      </w:pPr>
      <w:r>
        <w:rPr>
          <w:sz w:val="20"/>
        </w:rPr>
        <w:t>[21] Walmart. (2026, September 25). A Letter from Our CEO. https://corporate.walmart.com/about/everyday-affordability/letter-from-our-ceo . Primary executive statement about affordability, technology, pricing commitments, and oversight. This is not an independently verified October 28 speech.</w:t>
      </w:r>
    </w:p>
    <w:p>
      <w:pPr>
        <w:spacing w:after="180"/>
      </w:pPr>
      <w:r>
        <w:rPr>
          <w:sz w:val="20"/>
        </w:rPr>
        <w:t>[22] Walmart. (2026, October 1). Can’t Find It Walmart Can Light the Way. https://corporate.walmart.com/news/2026/10/cant-find-it-walmart-can-light-the-way . Primary description of LED guidance functions, distinct from AI model architecture or customer sensing.</w:t>
      </w:r>
    </w:p>
    <w:p>
      <w:pPr>
        <w:spacing w:after="180"/>
      </w:pPr>
      <w:r>
        <w:rPr>
          <w:sz w:val="20"/>
        </w:rPr>
        <w:t>[G1] Grand Research Institute. ConsciousAI research program README. https://github.com/BazeletDave/ConsciousAI/blob/main/README.md . Retrieved 28 October 2026. Repository blob 09a4fc6003b00b463e109627e6e586bdf103646d. Independent research program statement and intellectual lineage.</w:t>
      </w:r>
    </w:p>
    <w:p>
      <w:pPr>
        <w:spacing w:after="180"/>
      </w:pPr>
      <w:r>
        <w:rPr>
          <w:sz w:val="20"/>
        </w:rPr>
        <w:t>[G2] Grand Research Institute. Algorithmic Management Uber and Lyft Research. https://github.com/BazeletDave/ConsciousAI/blob/main/GRI-Research-Journey/Algorithmic-Management/Uber-Lyft-Research/README.md . Retrieved 28 October 2026. Blob ed9f7da615800c2d525394d1886e347bf2ab3e39. Exploratory research record; observations do not establish platform intent or causality.</w:t>
      </w:r>
    </w:p>
    <w:p>
      <w:pPr>
        <w:spacing w:after="180"/>
      </w:pPr>
      <w:r>
        <w:rPr>
          <w:sz w:val="20"/>
        </w:rPr>
        <w:t>[G3] Grand Research Institute. GRI Institutional AI Governance and Assurance README. https://github.com/BazeletDave/GRI-Institutional-AI-Governance/blob/main/README.md . Retrieved 28 October 2026. Blob bc332c0e1c406f4a29b7feac5bda442038f37f8a. Documents prototype provenance and the distinction between capability and authority.</w:t>
      </w:r>
    </w:p>
    <w:p>
      <w:pPr>
        <w:spacing w:after="180"/>
      </w:pPr>
      <w:r>
        <w:rPr>
          <w:sz w:val="20"/>
        </w:rPr>
        <w:t>[G4] Grand Research Institute. (2026, October 25). The Accelerating AI Governance Paradox A Living Institutional Research Framework for Consequential AI Decisions. https://github.com/BazeletDave/ConsciousAI/blob/main/GRI-Research-Journey/institutional-ai-governance-assurance/accelerating-ai-governance-paradox-living-research-framework.md . Retrieved 28 October 2026. Blob 4755e35ed742f6d0f06080460de6ff915c44c536. Proposed clocks and assurance lag, explicitly unvalidated as a general causal theory.</w:t>
      </w:r>
    </w:p>
    <w:p>
      <w:r>
        <w:t>Provenance note. The SKL protagonist, setting, model comparison, reported degradation, and deadline were supplied by the user as the opening scenario and are treated as fictional assumptions. The golfing AI ambition and GRI research connection originate with David A. Grand. The experimental architecture, hypotheses, investment alternatives, exhibits, classroom scenarios, and teaching plan are proposed analytical developments for this case. No statements or endorsements are attributed to Earl Woods or Tiger Woods beyond the verified book credits. No findings are attributed to an unidentified researcher.</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GRI Research Case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Algorithmic Management AI Paradox</dc:title>
  <dc:subject>Algorithmic management and leadership learning decision case</dc:subject>
  <dc:creator>Grand Research Institute</dc:creator>
  <cp:keywords>AI Paradox, algorithmic management, curriculum learning, executive education</cp:keywords>
  <dc:description>generated by python-docx</dc:description>
  <cp:lastModifiedBy/>
  <cp:revision>1</cp:revision>
  <dcterms:created xsi:type="dcterms:W3CDTF">2013-12-23T23:15:00Z</dcterms:created>
  <dcterms:modified xsi:type="dcterms:W3CDTF">2013-12-23T23:15:00Z</dcterms:modified>
  <cp:category/>
</cp:coreProperties>
</file>