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Arial" w:cs="Arial" w:eastAsia="Arial" w:hAnsi="Arial"/>
          <w:b/>
          <w:bCs/>
          <w:color w:val="6B5EA8"/>
          <w:sz w:val="52"/>
          <w:szCs w:val="52"/>
        </w:rPr>
        <w:t xml:space="preserve">SATZE</w:t>
      </w:r>
    </w:p>
    <w:p>
      <w:pPr>
        <w:spacing w:before="0" w:after="1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Strategia di Business e Piano di Lancio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di design — Marzo 2026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1. Analisi di Mercato (TAM/SAM/SOM)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~€750M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CCG globale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~€150M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Giochi di carte digitali su PC/Steam (~20% del TAM)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Anno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€8–20k netti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Stima realistica senza budget marketing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Il mercato fisico dei TCG (€8+ miliardi) e irrilevante per SATZE. Il segmento digitale PC e il territorio reale.</w:t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LoR di Riot Games — 17M giocatori, brand League of Legends, team dedicato — ha generato $24M lifetime con F2P generoso. SATZE parte senza IP riconoscibile e senza budget marketing: il confronto e impietoso ma onesto.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2. Modello di Business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Profilo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 to Play con monetizzazione interna. Priorita: raggiungere il massimo numero di giocatori abbassando al minimo la barriera d'ingresso. Tutto il contenuto funzionale e sbloccabile giocando — pagare accelera, non esclude.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Pubblico target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Appassionati di giochi di carte digitali (Hearthstone, MTG Arena). Profilo: 18-35 anni, abituati al deck building, alta tolleranza alla profondita meccanica, sensibili alla qualita del meta e alla varieta dei contenuti.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Il hook differenziante verso questo pubblico e il sistema FC con investimento segreto simultaneo — non esiste in Hearthstone o MTG Arena. La comunicazione deve mettere questo meccanismo al centro, non descrivere SATZE come 'un altro gioco di carte'.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3. Sistema di Pagamento — Architettura Ibrida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Raccomandazione: modello ibrido che combina Steam Microtransaction API per acquisti impulsivi e DLC per contenuto strutturato.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Usato per</w:t>
            </w:r>
          </w:p>
        </w:tc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Microtransaction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Pacchetti casuali, valuta in-game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attrito, massima conversione impulsiva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DLC Steam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Armate nuove, bundle stagionali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dedicata = marketing gratuito, approvazione semplice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Prezzi raccomandati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  <w:tc>
          <w:tcPr>
            <w:tcW w:type="dxa" w:w="1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  <w:tc>
          <w:tcPr>
            <w:tcW w:type="dxa" w:w="4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Pacchetto generico (4 carte)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€1.99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Soglia minima profittevole su Steam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Pacchetto tematico armata/lega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€2.49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giustificato da probabilita mirata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5 pacchetti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€7.99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Sconto percepito, scontrino medio piu 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Armata nuova (DLC)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€4.99–6.99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Contenuto completo, prezzo da prodotto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Pack lancio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€4.99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Valuta in-game bonus, cattura entusiasmo iniziale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993C1D"/>
          <w:sz w:val="20"/>
          <w:szCs w:val="20"/>
        </w:rPr>
        <w:t xml:space="preserve">! Steam trattiene il 30% su ogni transazione. I prezzi sopra sono lordi — il netto e il 70%.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4. Proiezione Ricavi — Ciclo di Vita 5 Anni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7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Pessimistico</w:t>
            </w:r>
          </w:p>
        </w:tc>
        <w:tc>
          <w:tcPr>
            <w:tcW w:type="dxa" w:w="17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Realistico</w:t>
            </w:r>
          </w:p>
        </w:tc>
        <w:tc>
          <w:tcPr>
            <w:tcW w:type="dxa" w:w="26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Ottimistico (virale)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 1 (lancio)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€8–20k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€14–28k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€20–38k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€130k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€15k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€25–45k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€170k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€18k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€28–50k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Cumulativo 5 anni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~€50k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~€95–181k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~€620k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Lo scenario ottimistico richiede un evento di visibilita improvvisa — un creator, una feature virale, copertura mediatica. Non e pianificabile ma va tenuto presente come upside reale.</w:t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993C1D"/>
          <w:sz w:val="20"/>
          <w:szCs w:val="20"/>
        </w:rPr>
        <w:t xml:space="preserve">! Il rischio principale non sono i ricavi bassi ma il silenzio. Un F2P senza aggiornamenti per 3-4 mesi viene percepito come abbandonato su Steam. La cadenza di aggiornamento e l'impegno reale post-lancio.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5. Cadenza Contenuti Post-Lancio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struttura raccomandata per massimizzare i ricavi nel tempo mantenendo il carico sostenibile per uno sviluppatore solo: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aggiornamento</w:t>
            </w:r>
          </w:p>
        </w:tc>
        <w:tc>
          <w:tcPr>
            <w:tcW w:type="dxa" w:w="16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28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4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ricavi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Espansione carte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3 mesi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carte nuove per armate esistenti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Picco 2-3x mese piatto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Armata nuova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volte l'anno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carte + lore + contenuto roguelike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Picco 4-6x, riattiva giocatori dormienti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bilanciamento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6-8 settimane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Aggiustamenti valori, fix 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Segnale di gioco vivo, migliora recensioni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stagionale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volte l'anno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Torneo, missioni speciali, cosmetic limitati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Riattivazione giocatori inattivi</w:t>
            </w:r>
          </w:p>
        </w:tc>
      </w:tr>
    </w:tbl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6. Leve di Crescita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1. Creator outreach (priorita massima)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Identificare 20-30 creator piccoli e medi (10k-100k iscritti) nel settore TCG e roguelike indie. Contattarli con chiave di prova e pitch in inglese. Costo: zero euro. Impatto potenziale: 5-10x download organici rispetto a un mese senza visibilita.</w:t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 creator grandi ignorano i pitch indie. I creator medi accettano spesso perche hanno bisogno di contenuto. Puntare sulla fascia 10k-100k iscritti.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2. Cadenza aggiornamenti aggressiva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Ogni espansione genera un picco di ricavi. Passare da aggiornamenti semestrali a trimestrali quasi raddoppia i ricavi annui a parita di base giocatori.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3. Bundle stagionali Steam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Starter Pack a €4.99 con valuta in-game bonus. Cattura il giocatore nel momento di massimo entusiasmo post-download senza bloccare nulla per chi non vuole spendere.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4. Versione mobile (anno 2-3)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mercato mobile dei giochi di carte e 3-4x il mercato PC per volume. Non e un lavoro banale da Electron, ma e l'obiettivo a medio termine se il gioco prende piede su PC. Da non affrontare prima di aver validato il prodotto.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5. Tornei e eventi community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Tornei Discord con premi simbolici (valuta in-game, pacchetti esclusivi) riattivano giocatori dormienti e generano contenuto organico sui social. Costo quasi zero, impatto sulla retention misurabile.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7. Pagina Steam e Acquisizione Giocatori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pagina Steam in modalita coming soon va aperta mesi prima del lancio. La wishlist accumulata pre-lancio e il fattore numero uno che determina il posizionamento algoritmico di Steam nei primi giorni.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Materiale necessario per aprire la pagina: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Trailer di 60-90 secondi — mostrare il meccanismo FC in 30 secondi, poi varieta di armate e campi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5-6 screenshot rappresentativi del gameplay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Descrizione in inglese con il meccanismo FC al centro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Capsule art 460x215px — primo filtro visivo nei risultati di ricerca Steam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L'art pixel AI e valutata positivamente — coerenza tra armate confermata, leggibilita a formato carta confermata. Non nascondere ne enfatizzare l'uso dell'AI nella comunicazione. Descrivere lo stile come pixel art senza ulteriori specifiche.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8. Matchmaking e PvP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 come fallback automatico quando non ci sono avversari umani disponibili. Elimina il problema chicken-and-egg tipico dei giochi PvP al lancio — il giocatore trova sempre un match, anche con base utenti piccola.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Architettura raccomandata per il PvP: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Client-server con WebSockets — stato autoritativo sul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Socket.io per la gestione dei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Colyseus come framework per room, matchmaking e sincronizzazione stato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per il server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993C1D"/>
          <w:sz w:val="20"/>
          <w:szCs w:val="20"/>
        </w:rPr>
        <w:t xml:space="preserve">! Il PvP richiede un refactor architetturale preliminare: estrarre la logica di gioco in un modulo puro JavaScript separato dall'interfaccia React. Da affrontare portando il codice reale in sessione.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9. Nodi Tecnici Aperti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seguenti territori tecnici sono identificati ma non ancora affrontati, in ordine di priorita: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2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affrontare</w:t>
            </w:r>
          </w:p>
        </w:tc>
        <w:tc>
          <w:tcPr>
            <w:tcW w:type="dxa" w:w="3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logica di gioco (estrazione modulo puro)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di iniziare il PvP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Portare il codice reale in sessione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Netcode PvP — Node.js + Socket.io + Colyseus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il refactor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architettura client-server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Microtransaction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del lancio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Gioco completo e approvazione Valve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 2-3 post-lancio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Validazione del prodotto su PC</w:t>
            </w:r>
          </w:p>
        </w:tc>
      </w:tr>
    </w:tbl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10. Decisioni Ancora Aperte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Struttura della campaign mode — prerequisito per stimare la finestra di lancio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di lancio — dipende dal completamento di roguelike e campaign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Quantita di valuta in-game per missione — da calibrare sul ritmo di progressione desiderato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 rate per tier nei pacchetti — da definire dopo aver finalizzato le distribuzioni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Nomenclatura tier di rarita in-game — nomi da contestualizzare nel mondo di SATZE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Frequenza esatta degli aggiornamenti — da decidere in base al ritmo di produzione sostenibile</w:t>
      </w:r>
    </w:p>
    <w:p>
      <w:pPr>
        <w:spacing w:before="60" w:after="60"/>
      </w:pPr>
      <w:r>
        <w:t xml:space="preserve"/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SATZE — Strategia di Business —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B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2026-03-25T09:07:46.738Z</dcterms:created>
  <dcterms:modified xsi:type="dcterms:W3CDTF">2026-03-25T09:07:46.739Z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