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6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numPr>
          <w:ilvl w:val="0"/>
          <w:numId w:val="1001"/>
        </w:numPr>
      </w:pPr>
      <w:r>
        <w:t xml:space="preserve">Схема проекта в Cisco Packet Tracer была дополнена новыми сегментами сети.</w:t>
      </w:r>
      <w:r>
        <w:br/>
      </w:r>
      <w:r>
        <w:t xml:space="preserve">В проект добавлена подсеть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, а также подсеть</w:t>
      </w:r>
      <w:r>
        <w:t xml:space="preserve"> </w:t>
      </w:r>
      <w:r>
        <w:rPr>
          <w:bCs/>
          <w:b/>
        </w:rPr>
        <w:t xml:space="preserve">филиала в г. Сочи</w:t>
      </w:r>
      <w:r>
        <w:t xml:space="preserve">.</w:t>
      </w:r>
      <w:r>
        <w:br/>
      </w:r>
      <w:r>
        <w:t xml:space="preserve">В результате общая топология была расширена: в состав сети включены новые маршрутизаторы, коммутаторы, пользовательские устройства и серверы, а также организованы соединения новых участков с уже существующей сетевой инфраструктурой.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607983"/>
            <wp:effectExtent b="0" l="0" r="0" t="0"/>
            <wp:docPr descr="Рис. 1: Общая схема проекта после добавления новых подсете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проекта после добавления новых подсетей</w:t>
      </w:r>
    </w:p>
    <w:p>
      <w:pPr>
        <w:numPr>
          <w:ilvl w:val="0"/>
          <w:numId w:val="1001"/>
        </w:numPr>
      </w:pPr>
      <w:r>
        <w:t xml:space="preserve">Для отображения территориального расположения добавленных участков была сформирована схема соединения площадок</w:t>
      </w:r>
      <w:r>
        <w:t xml:space="preserve"> </w:t>
      </w:r>
      <w:r>
        <w:rPr>
          <w:bCs/>
          <w:b/>
        </w:rPr>
        <w:t xml:space="preserve">Москвы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Сочи</w:t>
      </w:r>
      <w:r>
        <w:t xml:space="preserve">.</w:t>
      </w:r>
      <w:r>
        <w:br/>
      </w:r>
      <w:r>
        <w:t xml:space="preserve">На карте показан канал связи между основной территорией организации и удалённым филиалом.</w:t>
      </w:r>
      <w:r>
        <w:br/>
      </w:r>
      <w:r>
        <w:t xml:space="preserve">Это подтверждает включение филиала в общую структуру проекта и наличие магистрального соединения между двумя площадками.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143075"/>
            <wp:effectExtent b="0" l="0" r="0" t="0"/>
            <wp:docPr descr="Рис. 2: Соединение между площадками Москвы и Соч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Соединение между площадками Москвы и Сочи</w:t>
      </w:r>
    </w:p>
    <w:p>
      <w:pPr>
        <w:numPr>
          <w:ilvl w:val="0"/>
          <w:numId w:val="1001"/>
        </w:numPr>
      </w:pPr>
      <w:r>
        <w:t xml:space="preserve">Далее была детализирована схема размещения отдельных узлов и направлений связи внутри проекта.</w:t>
      </w:r>
      <w:r>
        <w:br/>
      </w:r>
      <w:r>
        <w:t xml:space="preserve">На схеме отображены основные точки подключения, включая провайдера, сегмент доступа в Интернет, подсеть 42-го квартала, подсеть филиала в Сочи и связанные с ними участки сети.</w:t>
      </w:r>
      <w:r>
        <w:br/>
      </w:r>
      <w:r>
        <w:t xml:space="preserve">Такое представление позволяет определить положение добавленных подсетей относительно остальных элементов проекта.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95836"/>
            <wp:effectExtent b="0" l="0" r="0" t="0"/>
            <wp:docPr descr="Рис. 3: Схема размещения узлов и линий связ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Схема размещения узлов и линий связи</w:t>
      </w:r>
    </w:p>
    <w:p>
      <w:pPr>
        <w:numPr>
          <w:ilvl w:val="0"/>
          <w:numId w:val="1001"/>
        </w:numPr>
      </w:pPr>
      <w:r>
        <w:t xml:space="preserve">Отдельно был рассмотрен фрагмент схемы, относящийся к подсети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.</w:t>
      </w:r>
      <w:r>
        <w:br/>
      </w:r>
      <w:r>
        <w:t xml:space="preserve">На данном участке отображено размещение новой подсети и её подключение к остальной инфраструктуре проекта.</w:t>
      </w:r>
      <w:r>
        <w:br/>
      </w:r>
      <w:r>
        <w:t xml:space="preserve">После добавления оборудования была проверена корректность соединений между объектами схемы.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153775"/>
            <wp:effectExtent b="0" l="0" r="0" t="0"/>
            <wp:docPr descr="Рис. 4: Фрагмент схемы с подсетью 42-го квартал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Фрагмент схемы с подсетью 42-го квартала</w:t>
      </w:r>
    </w:p>
    <w:p>
      <w:pPr>
        <w:numPr>
          <w:ilvl w:val="0"/>
          <w:numId w:val="1001"/>
        </w:numPr>
      </w:pPr>
      <w:r>
        <w:t xml:space="preserve">После дополнения схемы была выполнена первоначальная настройка маршрутизатора подсети 42-го квартала.</w:t>
      </w:r>
      <w:r>
        <w:br/>
      </w:r>
      <w:r>
        <w:t xml:space="preserve">Настройка выполнялась через интерфейс</w:t>
      </w:r>
      <w:r>
        <w:t xml:space="preserve"> </w:t>
      </w:r>
      <w:r>
        <w:rPr>
          <w:bCs/>
          <w:b/>
        </w:rPr>
        <w:t xml:space="preserve">CLI</w:t>
      </w:r>
      <w:r>
        <w:t xml:space="preserve">.</w:t>
      </w:r>
      <w:r>
        <w:br/>
      </w:r>
      <w:r>
        <w:t xml:space="preserve">Для устройства было задано имя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, а также выполнена базовая конфигурация параметров доступа и безопасности.</w:t>
      </w:r>
    </w:p>
    <w:p>
      <w:pPr>
        <w:numPr>
          <w:ilvl w:val="0"/>
          <w:numId w:val="1000"/>
        </w:numPr>
      </w:pPr>
      <w:r>
        <w:t xml:space="preserve">В ходе настройки маршрутизатора были выполнены следующие действия:</w:t>
      </w:r>
    </w:p>
    <w:p>
      <w:pPr>
        <w:numPr>
          <w:ilvl w:val="1"/>
          <w:numId w:val="1002"/>
        </w:numPr>
        <w:pStyle w:val="Compact"/>
      </w:pPr>
      <w:r>
        <w:t xml:space="preserve">выполнен переход в режим глобальной конфигурации;</w:t>
      </w:r>
    </w:p>
    <w:p>
      <w:pPr>
        <w:numPr>
          <w:ilvl w:val="1"/>
          <w:numId w:val="1002"/>
        </w:numPr>
        <w:pStyle w:val="Compact"/>
      </w:pPr>
      <w:r>
        <w:t xml:space="preserve">задано имя устройства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настроен пароль для удалённого доступа по линиям</w:t>
      </w:r>
      <w:r>
        <w:t xml:space="preserve"> </w:t>
      </w:r>
      <w:r>
        <w:rPr>
          <w:bCs/>
          <w:b/>
        </w:rPr>
        <w:t xml:space="preserve">VTY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настроен пароль для консольного подключения;</w:t>
      </w:r>
    </w:p>
    <w:p>
      <w:pPr>
        <w:numPr>
          <w:ilvl w:val="1"/>
          <w:numId w:val="1002"/>
        </w:numPr>
        <w:pStyle w:val="Compact"/>
      </w:pPr>
      <w:r>
        <w:t xml:space="preserve">включена авторизация командой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задан пароль привилегированного режима;</w:t>
      </w:r>
    </w:p>
    <w:p>
      <w:pPr>
        <w:numPr>
          <w:ilvl w:val="1"/>
          <w:numId w:val="1002"/>
        </w:numPr>
        <w:pStyle w:val="Compact"/>
      </w:pPr>
      <w:r>
        <w:t xml:space="preserve">включено шифрование паролей;</w:t>
      </w:r>
    </w:p>
    <w:p>
      <w:pPr>
        <w:numPr>
          <w:ilvl w:val="1"/>
          <w:numId w:val="1002"/>
        </w:numPr>
        <w:pStyle w:val="Compact"/>
      </w:pPr>
      <w:r>
        <w:t xml:space="preserve">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указано доменное имя</w:t>
      </w:r>
      <w:r>
        <w:t xml:space="preserve"> </w:t>
      </w:r>
      <w:r>
        <w:rPr>
          <w:bCs/>
          <w:b/>
        </w:rPr>
        <w:t xml:space="preserve">q42.rudn.edu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сгенерированы RSA-ключи;</w:t>
      </w:r>
    </w:p>
    <w:p>
      <w:pPr>
        <w:numPr>
          <w:ilvl w:val="1"/>
          <w:numId w:val="1002"/>
        </w:numPr>
        <w:pStyle w:val="Compact"/>
      </w:pPr>
      <w:r>
        <w:t xml:space="preserve">разрешён удалённый доступ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конфигурация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744182"/>
            <wp:effectExtent b="0" l="0" r="0" t="0"/>
            <wp:docPr descr="Рис. 5: Первоначальная настройка маршрутизатора msk-q42-vabazlov-g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4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Первоначальная настройка маршрутизатора msk-q42-vabazlov-gw-1</w:t>
      </w:r>
    </w:p>
    <w:p>
      <w:pPr>
        <w:numPr>
          <w:ilvl w:val="0"/>
          <w:numId w:val="1001"/>
        </w:numPr>
      </w:pPr>
      <w:r>
        <w:t xml:space="preserve">Затем была выполнена первоначальная настройка коммутатора подсети 42-го квартала.</w:t>
      </w:r>
      <w:r>
        <w:br/>
      </w:r>
      <w:r>
        <w:t xml:space="preserve">Для коммутатора было назначено имя</w:t>
      </w:r>
      <w:r>
        <w:t xml:space="preserve"> </w:t>
      </w:r>
      <w:r>
        <w:rPr>
          <w:bCs/>
          <w:b/>
        </w:rPr>
        <w:t xml:space="preserve">msk-q42-vabazlov-sw-1</w:t>
      </w:r>
      <w:r>
        <w:t xml:space="preserve">.</w:t>
      </w:r>
      <w:r>
        <w:br/>
      </w:r>
      <w:r>
        <w:t xml:space="preserve">Настройка выполнялась по той же схеме, что и для маршрутизатора: были заданы параметры консольного и удалённого доступа, включено шифрование паролей, создан локальный пользователь и настроен доступ по SSH.</w:t>
      </w:r>
    </w:p>
    <w:p>
      <w:pPr>
        <w:numPr>
          <w:ilvl w:val="0"/>
          <w:numId w:val="1000"/>
        </w:numPr>
      </w:pPr>
      <w:r>
        <w:t xml:space="preserve">Для коммутатора использовались следующие основные параметры:</w:t>
      </w:r>
    </w:p>
    <w:p>
      <w:pPr>
        <w:numPr>
          <w:ilvl w:val="1"/>
          <w:numId w:val="1003"/>
        </w:numPr>
        <w:pStyle w:val="Compact"/>
      </w:pPr>
      <w:r>
        <w:t xml:space="preserve">имя устройства —</w:t>
      </w:r>
      <w:r>
        <w:t xml:space="preserve"> </w:t>
      </w:r>
      <w:r>
        <w:rPr>
          <w:bCs/>
          <w:b/>
        </w:rPr>
        <w:t xml:space="preserve">msk-q42-vabazlov-sw-1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пароль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пароль для консольного подключения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пароль привилегированного режима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локальный пользователь —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доменное имя —</w:t>
      </w:r>
      <w:r>
        <w:t xml:space="preserve"> </w:t>
      </w:r>
      <w:r>
        <w:rPr>
          <w:bCs/>
          <w:b/>
        </w:rPr>
        <w:t xml:space="preserve">q42.rudn.edu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удалённый доступ —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завершения настройки конфигурация была сохранена в память устройства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255017"/>
            <wp:effectExtent b="0" l="0" r="0" t="0"/>
            <wp:docPr descr="Рис. 6: Первоначальная настройка коммутатора msk-q42-vabazlov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Первоначальная настройка коммутатора msk-q42-vabazlov-sw-1</w:t>
      </w:r>
    </w:p>
    <w:p>
      <w:pPr>
        <w:numPr>
          <w:ilvl w:val="0"/>
          <w:numId w:val="1001"/>
        </w:numPr>
      </w:pPr>
      <w:r>
        <w:t xml:space="preserve">Дополнительно была выполнена первоначальная настройка оборудования московского сегмента</w:t>
      </w:r>
      <w:r>
        <w:t xml:space="preserve"> </w:t>
      </w:r>
      <w:r>
        <w:rPr>
          <w:bCs/>
          <w:b/>
        </w:rPr>
        <w:t xml:space="preserve">Хостел</w:t>
      </w:r>
      <w:r>
        <w:t xml:space="preserve">.</w:t>
      </w:r>
      <w:r>
        <w:br/>
      </w:r>
      <w:r>
        <w:t xml:space="preserve">Для маршрутизируемого устройства было задано имя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.</w:t>
      </w:r>
      <w:r>
        <w:br/>
      </w:r>
      <w:r>
        <w:t xml:space="preserve">В процессе настройки были заданы пароли доступа,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включено шифрование паролей и настроен удалённый доступ по SSH.</w:t>
      </w:r>
    </w:p>
    <w:p>
      <w:pPr>
        <w:numPr>
          <w:ilvl w:val="0"/>
          <w:numId w:val="1000"/>
        </w:numPr>
      </w:pPr>
      <w:r>
        <w:t xml:space="preserve">В качестве доменного имени для данного сегмента использовано</w:t>
      </w:r>
      <w:r>
        <w:t xml:space="preserve"> </w:t>
      </w:r>
      <w:r>
        <w:rPr>
          <w:bCs/>
          <w:b/>
        </w:rPr>
        <w:t xml:space="preserve">hostel.rudn.edu</w:t>
      </w:r>
      <w:r>
        <w:t xml:space="preserve">.</w:t>
      </w:r>
      <w:r>
        <w:br/>
      </w:r>
      <w:r>
        <w:t xml:space="preserve">После генерации RSA-ключей и настройки линий VTY устройство было подготовлено к удалённому администрированию.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096320"/>
            <wp:effectExtent b="0" l="0" r="0" t="0"/>
            <wp:docPr descr="Рис. 7: Первоначальная настройка устройства msk-hostel-vabazlov-gw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Первоначальная настройка устройства msk-hostel-vabazlov-gw-1</w:t>
      </w:r>
    </w:p>
    <w:p>
      <w:pPr>
        <w:numPr>
          <w:ilvl w:val="0"/>
          <w:numId w:val="1001"/>
        </w:numPr>
      </w:pPr>
      <w:r>
        <w:t xml:space="preserve">После этого была выполнена настройка коммутатора московского сегмента</w:t>
      </w:r>
      <w:r>
        <w:t xml:space="preserve"> </w:t>
      </w:r>
      <w:r>
        <w:rPr>
          <w:bCs/>
          <w:b/>
        </w:rPr>
        <w:t xml:space="preserve">Хостел</w:t>
      </w:r>
      <w:r>
        <w:t xml:space="preserve">.</w:t>
      </w:r>
      <w:r>
        <w:br/>
      </w:r>
      <w:r>
        <w:t xml:space="preserve">Устройству назначено имя</w:t>
      </w:r>
      <w:r>
        <w:t xml:space="preserve"> </w:t>
      </w:r>
      <w:r>
        <w:rPr>
          <w:bCs/>
          <w:b/>
        </w:rPr>
        <w:t xml:space="preserve">msk-hostel-vabazlov-sw-1</w:t>
      </w:r>
      <w:r>
        <w:t xml:space="preserve">.</w:t>
      </w:r>
      <w:r>
        <w:br/>
      </w:r>
      <w:r>
        <w:t xml:space="preserve">Были настроены консольный доступ, удалённый доступ по линиям VTY, пароль привилегированного режима, локальный пользователь и доменное имя</w:t>
      </w:r>
      <w:r>
        <w:t xml:space="preserve"> </w:t>
      </w:r>
      <w:r>
        <w:rPr>
          <w:bCs/>
          <w:b/>
        </w:rPr>
        <w:t xml:space="preserve">hostel.rudn.edu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Настройка SSH была выполнена после генерации RSA-ключей.</w:t>
      </w:r>
      <w:r>
        <w:br/>
      </w:r>
      <w:r>
        <w:t xml:space="preserve">После завершения конфигурации параметры устройства были сохранены в память.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973870"/>
            <wp:effectExtent b="0" l="0" r="0" t="0"/>
            <wp:docPr descr="Рис. 8: Первоначальная настройка коммутатора msk-hostel-vabazlov-sw-1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Первоначальная настройка коммутатора msk-hostel-vabazlov-sw-1</w:t>
      </w:r>
    </w:p>
    <w:p>
      <w:pPr>
        <w:numPr>
          <w:ilvl w:val="0"/>
          <w:numId w:val="1001"/>
        </w:numPr>
      </w:pPr>
      <w:r>
        <w:t xml:space="preserve">Далее была выполнена первоначальная настройка оборудования филиала в г.</w:t>
      </w:r>
      <w:r>
        <w:t xml:space="preserve"> </w:t>
      </w:r>
      <w:r>
        <w:rPr>
          <w:bCs/>
          <w:b/>
        </w:rPr>
        <w:t xml:space="preserve">Сочи</w:t>
      </w:r>
      <w:r>
        <w:t xml:space="preserve">.</w:t>
      </w:r>
      <w:r>
        <w:br/>
      </w:r>
      <w:r>
        <w:t xml:space="preserve">Сначала был настроен коммутатор филиала.</w:t>
      </w:r>
      <w:r>
        <w:br/>
      </w:r>
      <w:r>
        <w:t xml:space="preserve">Устройству присвоено имя</w:t>
      </w:r>
      <w:r>
        <w:t xml:space="preserve"> </w:t>
      </w:r>
      <w:r>
        <w:rPr>
          <w:bCs/>
          <w:b/>
        </w:rPr>
        <w:t xml:space="preserve">sch-sochi-vabazlov-sw-1</w:t>
      </w:r>
      <w:r>
        <w:t xml:space="preserve">.</w:t>
      </w:r>
      <w:r>
        <w:br/>
      </w:r>
      <w:r>
        <w:t xml:space="preserve">Для устройства были заданы параметры локального и удалённого доступа, включено шифрование паролей и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филиала в Сочи использовано доменное имя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.</w:t>
      </w:r>
      <w:r>
        <w:br/>
      </w:r>
      <w:r>
        <w:t xml:space="preserve">После генерации RSA-ключей был включён удалённый доступ по SSH.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950493"/>
            <wp:effectExtent b="0" l="0" r="0" t="0"/>
            <wp:docPr descr="Рис. 9: Первоначальная настройка коммутатора sch-sochi-vabazlov-sw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Первоначальная настройка коммутатора sch-sochi-vabazlov-sw-1</w:t>
      </w:r>
    </w:p>
    <w:p>
      <w:pPr>
        <w:numPr>
          <w:ilvl w:val="0"/>
          <w:numId w:val="1001"/>
        </w:numPr>
      </w:pPr>
      <w:r>
        <w:t xml:space="preserve">Затем была выполнена первоначальная настройка маршрутизатора филиала в г.</w:t>
      </w:r>
      <w:r>
        <w:t xml:space="preserve"> </w:t>
      </w:r>
      <w:r>
        <w:rPr>
          <w:bCs/>
          <w:b/>
        </w:rPr>
        <w:t xml:space="preserve">Сочи</w:t>
      </w:r>
      <w:r>
        <w:t xml:space="preserve">.</w:t>
      </w:r>
      <w:r>
        <w:br/>
      </w:r>
      <w:r>
        <w:t xml:space="preserve">Устройству было назначено имя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.</w:t>
      </w:r>
      <w:r>
        <w:br/>
      </w:r>
      <w:r>
        <w:t xml:space="preserve">Настройка включала задание паролей, создание локального пользователя, настройку доменного имени, генерацию RSA-ключей и включение SSH-доступа.</w:t>
      </w:r>
    </w:p>
    <w:p>
      <w:pPr>
        <w:numPr>
          <w:ilvl w:val="0"/>
          <w:numId w:val="1000"/>
        </w:numPr>
      </w:pPr>
      <w:r>
        <w:t xml:space="preserve">Для маршрутизатора были использованы следующие основные параметры:</w:t>
      </w:r>
    </w:p>
    <w:p>
      <w:pPr>
        <w:numPr>
          <w:ilvl w:val="1"/>
          <w:numId w:val="1004"/>
        </w:numPr>
        <w:pStyle w:val="Compact"/>
      </w:pPr>
      <w:r>
        <w:t xml:space="preserve">имя устройства —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пароль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пароль для консольного подключения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пароль привилегированного режима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локальный пользователь —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доменное имя —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удалённый доступ —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завершения настройки конфигурация маршрутизатора была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4312775"/>
            <wp:effectExtent b="0" l="0" r="0" t="0"/>
            <wp:docPr descr="Рис. 10: Первоначальная настройка маршрутизатора sch-sochi-vabazlov-gw-1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Первоначальная настройка маршрутизатора sch-sochi-vabazlov-gw-1</w:t>
      </w:r>
    </w:p>
    <w:bookmarkStart w:id="61" w:name="схемы-l1-l2-и-l3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Схемы L1, L2 и L3 сети</w:t>
      </w:r>
    </w:p>
    <w:p>
      <w:pPr>
        <w:pStyle w:val="FirstParagraph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представлена физическая структура сети с указанием устройств, соединений и используемых интерфейсов.</w:t>
      </w:r>
      <w:r>
        <w:br/>
      </w:r>
      <w:r>
        <w:t xml:space="preserve">На этой схеме отображены маршрутизаторы, коммутаторы, серверы и оконечные устройства, а также подписаны порты подключения.</w:t>
      </w:r>
    </w:p>
    <w:p>
      <w:pPr>
        <w:pStyle w:val="SourceCode"/>
      </w:pPr>
      <w:r>
        <w:rPr>
          <w:rStyle w:val="VerbatimChar"/>
        </w:rPr>
        <w:t xml:space="preserve">![Схема сети уровня L1](Screenshot_11.png){ #fig:011 width=80% }</w:t>
      </w:r>
    </w:p>
    <w:p>
      <w:pPr>
        <w:pStyle w:val="FirstParagraph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представлена логическая структура сети на канальном уровне с указанием VLAN, назначенных различным сегментам.</w:t>
      </w:r>
      <w:r>
        <w:br/>
      </w:r>
      <w:r>
        <w:t xml:space="preserve">Данная схема показывает распределение широковещательных доменов и прохождение VLAN между коммутаторами и маршрутизаторами.</w:t>
      </w:r>
    </w:p>
    <w:p>
      <w:pPr>
        <w:pStyle w:val="SourceCode"/>
      </w:pPr>
      <w:r>
        <w:rPr>
          <w:rStyle w:val="VerbatimChar"/>
        </w:rPr>
        <w:t xml:space="preserve">![Схема сети уровня L2](Screenshot_12.png){ #fig:012 width=80% }</w:t>
      </w:r>
    </w:p>
    <w:p>
      <w:pPr>
        <w:pStyle w:val="FirstParagraph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представлена адресная структура сети на сетевом уровне.</w:t>
      </w:r>
      <w:r>
        <w:br/>
      </w:r>
      <w:r>
        <w:t xml:space="preserve">На ней показаны IP-подсети, закреплённые за отдельными сегментами, а также сети межмаршрутизаторных соединений.</w:t>
      </w:r>
      <w:r>
        <w:br/>
      </w:r>
      <w:r>
        <w:t xml:space="preserve">В схему были добавлены данные о подсетях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филиала в г. Сочи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![Схема сети уровня L3](Screenshot_13.png){ #fig:013 width=80% }</w:t>
      </w:r>
    </w:p>
    <w:bookmarkEnd w:id="61"/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каких случаях следует использовать статическую маршрутизацию? Приведите примеры.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Статическая маршрутизация</w:t>
      </w:r>
      <w:r>
        <w:t xml:space="preserve"> </w:t>
      </w:r>
      <w:r>
        <w:t xml:space="preserve">— это способ маршрутизации, при котором маршруты до удалённых сетей вручную задаются администратором на маршрутизаторах. В отличие от динамической маршрутизации, статические маршруты не изменяются автоматически при изменении топологии сети.</w:t>
      </w:r>
    </w:p>
    <w:p>
      <w:pPr>
        <w:numPr>
          <w:ilvl w:val="0"/>
          <w:numId w:val="1000"/>
        </w:numPr>
      </w:pPr>
      <w:r>
        <w:t xml:space="preserve">Статическую маршрутизацию следует использовать в тех случаях, когда структура сети достаточно простая, стабильная и редко изменяется. Такой подход удобен для небольших сетей, где количество маршрутизаторов и подсетей ограничено, а администратор может вручную контролировать все маршруты.</w:t>
      </w:r>
    </w:p>
    <w:p>
      <w:pPr>
        <w:numPr>
          <w:ilvl w:val="0"/>
          <w:numId w:val="1000"/>
        </w:numPr>
      </w:pPr>
      <w:r>
        <w:t xml:space="preserve">Статическая маршрутизация применяется в следующих случаях:</w:t>
      </w:r>
    </w:p>
    <w:p>
      <w:pPr>
        <w:numPr>
          <w:ilvl w:val="1"/>
          <w:numId w:val="1006"/>
        </w:numPr>
        <w:pStyle w:val="Compact"/>
      </w:pPr>
      <w:r>
        <w:t xml:space="preserve">в небольших локальных сетях с несколькими маршрутизаторами;</w:t>
      </w:r>
    </w:p>
    <w:p>
      <w:pPr>
        <w:numPr>
          <w:ilvl w:val="1"/>
          <w:numId w:val="1006"/>
        </w:numPr>
        <w:pStyle w:val="Compact"/>
      </w:pPr>
      <w:r>
        <w:t xml:space="preserve">при подключении удалённого филиала к центральной сети;</w:t>
      </w:r>
    </w:p>
    <w:p>
      <w:pPr>
        <w:numPr>
          <w:ilvl w:val="1"/>
          <w:numId w:val="1006"/>
        </w:numPr>
        <w:pStyle w:val="Compact"/>
      </w:pPr>
      <w:r>
        <w:t xml:space="preserve">для настройки маршрута по умолчанию в сторону провайдера или центрального маршрутизатора;</w:t>
      </w:r>
    </w:p>
    <w:p>
      <w:pPr>
        <w:numPr>
          <w:ilvl w:val="1"/>
          <w:numId w:val="1006"/>
        </w:numPr>
        <w:pStyle w:val="Compact"/>
      </w:pPr>
      <w:r>
        <w:t xml:space="preserve">для организации резервного маршрута с увеличенной административной дистанцией;</w:t>
      </w:r>
    </w:p>
    <w:p>
      <w:pPr>
        <w:numPr>
          <w:ilvl w:val="1"/>
          <w:numId w:val="1006"/>
        </w:numPr>
        <w:pStyle w:val="Compact"/>
      </w:pPr>
      <w:r>
        <w:t xml:space="preserve">в учебных и лабораторных сетях, где важно вручную отработать принципы маршрутизации;</w:t>
      </w:r>
    </w:p>
    <w:p>
      <w:pPr>
        <w:numPr>
          <w:ilvl w:val="1"/>
          <w:numId w:val="1006"/>
        </w:numPr>
        <w:pStyle w:val="Compact"/>
      </w:pPr>
      <w:r>
        <w:t xml:space="preserve">в сетях, где требуется полный контроль над путём прохождения трафика.</w:t>
      </w:r>
    </w:p>
    <w:p>
      <w:pPr>
        <w:numPr>
          <w:ilvl w:val="0"/>
          <w:numId w:val="1000"/>
        </w:numPr>
      </w:pPr>
      <w:r>
        <w:t xml:space="preserve">Например, если сеть филиала в г. Сочи подключена к основной сети организации через один маршрутизатор, то на маршрутизаторе филиала можно задать статический маршрут в сторону центральной площадки. В этом случае весь трафик к внутренним сетям организации будет отправляться через указанный next-hop-адрес.</w:t>
      </w:r>
    </w:p>
    <w:p>
      <w:pPr>
        <w:numPr>
          <w:ilvl w:val="0"/>
          <w:numId w:val="1000"/>
        </w:numPr>
      </w:pPr>
      <w:r>
        <w:t xml:space="preserve">Пример статического маршрута: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10.128.0.0 255.255.0.0 10.128.255.5</w:t>
      </w:r>
    </w:p>
    <w:p>
      <w:pPr>
        <w:numPr>
          <w:ilvl w:val="0"/>
          <w:numId w:val="1000"/>
        </w:numPr>
      </w:pPr>
      <w:r>
        <w:t xml:space="preserve">В данном случае маршрутизатор будет отправлять трафик к сети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Другой распространённый пример — настройка маршрута по умолчанию для выхода во внешнюю сеть: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0.0.0.0 0.0.0.0 198.51.100.1</w:t>
      </w:r>
    </w:p>
    <w:p>
      <w:pPr>
        <w:numPr>
          <w:ilvl w:val="0"/>
          <w:numId w:val="1000"/>
        </w:numPr>
      </w:pPr>
      <w:r>
        <w:t xml:space="preserve">Основными преимуществами статической маршрутизации являются простота настройки, предсказуемость работы и отсутствие служебного трафика, который создают динамические протоколы маршрутизации. Однако у неё есть и недостатки: при изменении топологии сети маршруты необходимо изменять вручную, поэтому в крупных и часто изменяемых сетях статическая маршрутизация становится неудобной.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Укажите основные принципы статической маршрутизации между VLANs.</w:t>
      </w:r>
    </w:p>
    <w:p>
      <w:pPr>
        <w:numPr>
          <w:ilvl w:val="0"/>
          <w:numId w:val="1000"/>
        </w:numPr>
      </w:pPr>
      <w:r>
        <w:t xml:space="preserve">VLAN используется для логического разделения сети на отдельные широковещательные домены. Устройства, находящиеся в разных VLAN, не могут обмениваться данными напрямую на канальном уровне, даже если они подключены к одному коммутатору. Для передачи трафика между VLAN требуется маршрутизация на сетевом уровне.</w:t>
      </w:r>
    </w:p>
    <w:p>
      <w:pPr>
        <w:numPr>
          <w:ilvl w:val="0"/>
          <w:numId w:val="1000"/>
        </w:numPr>
      </w:pPr>
      <w:r>
        <w:t xml:space="preserve">Статическая маршрутизация между VLANs строится на том, что для каждой VLAN создаётся отдельная IP-подсеть, а маршрутизатор или L3-коммутатор выполняет передачу пакетов между этими подсетями.</w:t>
      </w:r>
    </w:p>
    <w:p>
      <w:pPr>
        <w:numPr>
          <w:ilvl w:val="0"/>
          <w:numId w:val="1000"/>
        </w:numPr>
      </w:pPr>
      <w:r>
        <w:t xml:space="preserve">Основные принципы статической маршрутизации между VLANs:</w:t>
      </w:r>
    </w:p>
    <w:p>
      <w:pPr>
        <w:numPr>
          <w:ilvl w:val="1"/>
          <w:numId w:val="1007"/>
        </w:numPr>
        <w:pStyle w:val="Compact"/>
      </w:pPr>
      <w:r>
        <w:t xml:space="preserve">каждая VLAN должна иметь собственную IP-подсеть;</w:t>
      </w:r>
    </w:p>
    <w:p>
      <w:pPr>
        <w:numPr>
          <w:ilvl w:val="1"/>
          <w:numId w:val="1007"/>
        </w:numPr>
        <w:pStyle w:val="Compact"/>
      </w:pPr>
      <w:r>
        <w:t xml:space="preserve">для каждой VLAN должен быть настроен шлюз по умолчанию;</w:t>
      </w:r>
    </w:p>
    <w:p>
      <w:pPr>
        <w:numPr>
          <w:ilvl w:val="1"/>
          <w:numId w:val="1007"/>
        </w:numPr>
        <w:pStyle w:val="Compact"/>
      </w:pPr>
      <w:r>
        <w:t xml:space="preserve">шлюзом для устройств VLAN обычно выступает интерфейс маршрутизатора или SVI-интерфейс L3-коммутатора;</w:t>
      </w:r>
    </w:p>
    <w:p>
      <w:pPr>
        <w:numPr>
          <w:ilvl w:val="1"/>
          <w:numId w:val="1007"/>
        </w:numPr>
        <w:pStyle w:val="Compact"/>
      </w:pPr>
      <w:r>
        <w:t xml:space="preserve">если используется схема Router-on-a-Stick, то на маршрутизаторе создаются подынтерфейсы для каждой VLAN;</w:t>
      </w:r>
    </w:p>
    <w:p>
      <w:pPr>
        <w:numPr>
          <w:ilvl w:val="1"/>
          <w:numId w:val="1007"/>
        </w:numPr>
        <w:pStyle w:val="Compact"/>
      </w:pPr>
      <w:r>
        <w:t xml:space="preserve">между коммутатором и маршрутизатором настраивается trunk-соединение;</w:t>
      </w:r>
    </w:p>
    <w:p>
      <w:pPr>
        <w:numPr>
          <w:ilvl w:val="1"/>
          <w:numId w:val="1007"/>
        </w:numPr>
        <w:pStyle w:val="Compact"/>
      </w:pPr>
      <w:r>
        <w:t xml:space="preserve">на подынтерфейсах маршрутизатора указывается номер VLAN через инкапсуляцию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на маршрутизаторах вручную задаются статические маршруты до удалённых VLAN-сетей;</w:t>
      </w:r>
    </w:p>
    <w:p>
      <w:pPr>
        <w:numPr>
          <w:ilvl w:val="1"/>
          <w:numId w:val="1007"/>
        </w:numPr>
        <w:pStyle w:val="Compact"/>
      </w:pPr>
      <w:r>
        <w:t xml:space="preserve">на конечных устройствах должен быть указан корректный IP-адрес шлюза своей VLAN.</w:t>
      </w:r>
    </w:p>
    <w:p>
      <w:pPr>
        <w:numPr>
          <w:ilvl w:val="0"/>
          <w:numId w:val="1000"/>
        </w:numPr>
      </w:pPr>
      <w:r>
        <w:t xml:space="preserve">Например, если в сети используются VLAN 201 и VLAN 301, то для них могут быть выделены разные подсети:</w:t>
      </w:r>
    </w:p>
    <w:p>
      <w:pPr>
        <w:numPr>
          <w:ilvl w:val="1"/>
          <w:numId w:val="1008"/>
        </w:numPr>
        <w:pStyle w:val="Compact"/>
      </w:pPr>
      <w:r>
        <w:t xml:space="preserve">VLAN 201 —</w:t>
      </w:r>
      <w:r>
        <w:t xml:space="preserve"> </w:t>
      </w:r>
      <w:r>
        <w:rPr>
          <w:rStyle w:val="VerbatimChar"/>
        </w:rPr>
        <w:t xml:space="preserve">10.129.0.0/24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VLAN 301 —</w:t>
      </w:r>
      <w:r>
        <w:t xml:space="preserve"> </w:t>
      </w:r>
      <w:r>
        <w:rPr>
          <w:rStyle w:val="VerbatimChar"/>
        </w:rPr>
        <w:t xml:space="preserve">10.129.1.0/24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маршрутизации между ними на маршрутизаторе могут быть созданы подынтерфейсы: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interface FastEthernet0/0.201</w:t>
      </w:r>
      <w:r>
        <w:br/>
      </w:r>
      <w:r>
        <w:rPr>
          <w:rStyle w:val="VerbatimChar"/>
        </w:rPr>
        <w:t xml:space="preserve">encapsulation dot1Q 201</w:t>
      </w:r>
      <w:r>
        <w:br/>
      </w:r>
      <w:r>
        <w:rPr>
          <w:rStyle w:val="VerbatimChar"/>
        </w:rPr>
        <w:t xml:space="preserve">ip address 10.129.0.1 255.255.255.0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interface FastEthernet0/0.301</w:t>
      </w:r>
      <w:r>
        <w:br/>
      </w:r>
      <w:r>
        <w:rPr>
          <w:rStyle w:val="VerbatimChar"/>
        </w:rPr>
        <w:t xml:space="preserve">encapsulation dot1Q 301</w:t>
      </w:r>
      <w:r>
        <w:br/>
      </w:r>
      <w:r>
        <w:rPr>
          <w:rStyle w:val="VerbatimChar"/>
        </w:rPr>
        <w:t xml:space="preserve">ip address 10.129.1.1 255.255.255.0</w:t>
      </w:r>
    </w:p>
    <w:p>
      <w:pPr>
        <w:numPr>
          <w:ilvl w:val="0"/>
          <w:numId w:val="1000"/>
        </w:numPr>
      </w:pPr>
      <w:r>
        <w:t xml:space="preserve">В этом случае адрес</w:t>
      </w:r>
      <w:r>
        <w:t xml:space="preserve"> </w:t>
      </w:r>
      <w:r>
        <w:rPr>
          <w:rStyle w:val="VerbatimChar"/>
        </w:rPr>
        <w:t xml:space="preserve">10.129.0.1</w:t>
      </w:r>
      <w:r>
        <w:t xml:space="preserve"> </w:t>
      </w:r>
      <w:r>
        <w:t xml:space="preserve">будет шлюзом для устройств VLAN 201, а адрес</w:t>
      </w:r>
      <w:r>
        <w:t xml:space="preserve"> </w:t>
      </w:r>
      <w:r>
        <w:rPr>
          <w:rStyle w:val="VerbatimChar"/>
        </w:rPr>
        <w:t xml:space="preserve">10.129.1.1</w:t>
      </w:r>
      <w:r>
        <w:t xml:space="preserve"> </w:t>
      </w:r>
      <w:r>
        <w:t xml:space="preserve">— шлюзом для устройств VLAN 301.</w:t>
      </w:r>
    </w:p>
    <w:p>
      <w:pPr>
        <w:numPr>
          <w:ilvl w:val="0"/>
          <w:numId w:val="1000"/>
        </w:numPr>
      </w:pPr>
      <w:r>
        <w:t xml:space="preserve">Если VLAN находятся за разными маршрутизаторами, то на каждом маршрутизаторе дополнительно необходимо прописать статические маршруты до удалённых сетей. Например, маршрутизатор основной территории должен знать маршрут до сети филиала, а маршрутизатор филиала — маршрут до сетей основной территории.</w:t>
      </w:r>
    </w:p>
    <w:p>
      <w:pPr>
        <w:numPr>
          <w:ilvl w:val="0"/>
          <w:numId w:val="1000"/>
        </w:numPr>
      </w:pPr>
      <w:r>
        <w:t xml:space="preserve">Пример маршрута с основной территории в сторону филиала: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10.130.0.0 255.255.255.0 10.128.255.6</w:t>
      </w:r>
    </w:p>
    <w:p>
      <w:pPr>
        <w:numPr>
          <w:ilvl w:val="0"/>
          <w:numId w:val="1000"/>
        </w:numPr>
      </w:pPr>
      <w:r>
        <w:t xml:space="preserve">Пример обратного маршрута из филиала в сторону основной территории: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10.129.0.0 255.255.255.0 10.128.255.5</w:t>
      </w:r>
    </w:p>
    <w:bookmarkEnd w:id="63"/>
    <w:bookmarkStart w:id="6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дополнены схемы сети уровней L1, L2 и L3 с учётом добавления сети основной территории организации — 42-го квартала в Москве — и сети филиала в г. Сочи. На схеме L1 были отражены физические подключения устройств и используемые интерфейсы, на схеме L2 — распределение VLAN между сетевыми сегментами, а на схеме L3 — IP-подсети и межсетевые соединения.</w:t>
      </w:r>
    </w:p>
    <w:p>
      <w:pPr>
        <w:pStyle w:val="BodyText"/>
      </w:pPr>
      <w:r>
        <w:t xml:space="preserve">Также была выполнена первоначальная настройка добавленного оборудования. Для маршрутизаторов и коммутаторов были заданы имена устройств, настроены пароли доступа, включено шифрование паролей, созданы локальные пользователи, указаны доменные имена, сгенерированы RSA-ключи и разрешён удалённый доступ по протоколу SSH.</w:t>
      </w:r>
    </w:p>
    <w:p>
      <w:pPr>
        <w:pStyle w:val="BodyText"/>
      </w:pPr>
      <w:r>
        <w:t xml:space="preserve">В результате была подготовлена основа для дальнейшей настройки маршрутизации между подсетями и VLAN. Полученные результаты позволяют понять, как физическая структура сети связана с логической организацией VLAN и IP-адресацией, а также каким образом статическая маршрутизация может использоваться для обмена данными между территориально разделёнными сегментами сети.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Владимир Базлов</dc:creator>
  <dc:language>ru-RU</dc:language>
  <cp:keywords/>
  <dcterms:created xsi:type="dcterms:W3CDTF">2026-05-02T10:12:51Z</dcterms:created>
  <dcterms:modified xsi:type="dcterms:W3CDTF">2026-05-02T10:12:51Z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