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2.png" ContentType="image/png"/>
  <Override PartName="/word/media/rId60.png" ContentType="image/png"/>
  <Override PartName="/word/media/rId33.png" ContentType="image/png"/>
  <Override PartName="/word/media/rId25.png" ContentType="image/png"/>
  <Override PartName="/word/media/rId29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Учёт</w:t>
      </w:r>
      <w:r>
        <w:t xml:space="preserve"> </w:t>
      </w:r>
      <w:r>
        <w:t xml:space="preserve">физических</w:t>
      </w:r>
      <w:r>
        <w:t xml:space="preserve"> </w:t>
      </w:r>
      <w:r>
        <w:t xml:space="preserve">параметров</w:t>
      </w:r>
      <w:r>
        <w:t xml:space="preserve"> </w:t>
      </w:r>
      <w:r>
        <w:t xml:space="preserve">сети</w:t>
      </w:r>
    </w:p>
    <w:p>
      <w:pPr>
        <w:pStyle w:val="Author"/>
      </w:pPr>
      <w:r>
        <w:t xml:space="preserve">Владимир</w:t>
      </w:r>
      <w:r>
        <w:t xml:space="preserve"> </w:t>
      </w:r>
      <w:r>
        <w:t xml:space="preserve">Базлов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физической рабочей областью Packet Tracer, а также учесть физические параметры сети.</w:t>
      </w:r>
    </w:p>
    <w:bookmarkEnd w:id="20"/>
    <w:bookmarkStart w:id="65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37" w:name="X1bf4ce2aa9b093a8d05b8d858a994f760003285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Работа в физической рабочей области Cisco Packet Tracer</w:t>
      </w:r>
    </w:p>
    <w:p>
      <w:pPr>
        <w:numPr>
          <w:ilvl w:val="0"/>
          <w:numId w:val="1001"/>
        </w:numPr>
      </w:pPr>
      <w:r>
        <w:t xml:space="preserve">Выполнен переход в физическую рабочую область Cisco Packet Tracer.</w:t>
      </w:r>
      <w:r>
        <w:br/>
      </w:r>
      <w:r>
        <w:t xml:space="preserve">Для создаваемой сети задано имя города — Moscow.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631815"/>
            <wp:effectExtent b="0" l="0" r="0" t="0"/>
            <wp:docPr descr="Рис. 1: Название города Moscow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1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Название города Moscow</w:t>
      </w:r>
    </w:p>
    <w:p>
      <w:pPr>
        <w:numPr>
          <w:ilvl w:val="0"/>
          <w:numId w:val="1001"/>
        </w:numPr>
      </w:pPr>
      <w:r>
        <w:t xml:space="preserve">При переходе внутрь города отображена структура здания.</w:t>
      </w:r>
      <w:r>
        <w:br/>
      </w:r>
      <w:r>
        <w:t xml:space="preserve">Первому зданию присвоено имя Donskaya, после чего добавлено второе здание с именем Pavlovskaya.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2328746"/>
            <wp:effectExtent b="0" l="0" r="0" t="0"/>
            <wp:docPr descr="Рис. 2: Создание и именование зданий" title="" id="26" name="Picture"/>
            <a:graphic>
              <a:graphicData uri="http://schemas.openxmlformats.org/drawingml/2006/picture">
                <pic:pic>
                  <pic:nvPicPr>
                    <pic:cNvPr descr="Screenshot_3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8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Создание и именование зданий</w:t>
      </w:r>
    </w:p>
    <w:p>
      <w:pPr>
        <w:numPr>
          <w:ilvl w:val="0"/>
          <w:numId w:val="1001"/>
        </w:numPr>
      </w:pPr>
      <w:r>
        <w:t xml:space="preserve">Внутри здания Donskaya размещено серверное помещение.</w:t>
      </w:r>
      <w:r>
        <w:br/>
      </w:r>
      <w:r>
        <w:t xml:space="preserve">Для этого соответствующий элемент был перемещён внутрь здания.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3117272"/>
            <wp:effectExtent b="0" l="0" r="0" t="0"/>
            <wp:docPr descr="Рис. 3: Размещение серверной в здании Donskaya" title="" id="30" name="Picture"/>
            <a:graphic>
              <a:graphicData uri="http://schemas.openxmlformats.org/drawingml/2006/picture">
                <pic:pic>
                  <pic:nvPicPr>
                    <pic:cNvPr descr="Screenshot_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7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Размещение серверной в здании Donskaya</w:t>
      </w:r>
    </w:p>
    <w:p>
      <w:pPr>
        <w:numPr>
          <w:ilvl w:val="0"/>
          <w:numId w:val="1001"/>
        </w:numPr>
      </w:pPr>
      <w:r>
        <w:t xml:space="preserve">В физической рабочей области выполнено перемещение сетевых устройств.</w:t>
      </w:r>
      <w:r>
        <w:br/>
      </w:r>
      <w:r>
        <w:t xml:space="preserve">Коммутатор msk-pavlovskaya-sw-1 и два оконечных устройства dk-pavlovskaya-1 и other-pavlovskaya-1 перенесены на территорию Pavlovskaya с использованием инструмента Move.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4530869"/>
            <wp:effectExtent b="0" l="0" r="0" t="0"/>
            <wp:docPr descr="Рис. 4: Перемещение устройств в Pavlovskaya" title="" id="34" name="Picture"/>
            <a:graphic>
              <a:graphicData uri="http://schemas.openxmlformats.org/drawingml/2006/picture">
                <pic:pic>
                  <pic:nvPicPr>
                    <pic:cNvPr descr="Screenshot_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0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Перемещение устройств в Pavlovskaya</w:t>
      </w:r>
    </w:p>
    <w:bookmarkEnd w:id="37"/>
    <w:bookmarkStart w:id="42" w:name="проверка-сетевого-соединения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Проверка сетевого соединения</w:t>
      </w:r>
    </w:p>
    <w:p>
      <w:pPr>
        <w:numPr>
          <w:ilvl w:val="0"/>
          <w:numId w:val="1002"/>
        </w:numPr>
      </w:pPr>
      <w:r>
        <w:t xml:space="preserve">Выполнен возврат в логическую рабочую область.</w:t>
      </w:r>
      <w:r>
        <w:br/>
      </w:r>
      <w:r>
        <w:t xml:space="preserve">С коммутатора msk-donskaya-sw-1 отправлен ICMP-запрос (ping) на коммутатор msk-pavlovskaya-sw-1.</w:t>
      </w:r>
    </w:p>
    <w:p>
      <w:pPr>
        <w:numPr>
          <w:ilvl w:val="0"/>
          <w:numId w:val="1000"/>
        </w:numPr>
      </w:pPr>
      <w:r>
        <w:t xml:space="preserve">В результате получены ответы, что подтверждает корректную работу соединения между устройствами.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2237722"/>
            <wp:effectExtent b="0" l="0" r="0" t="0"/>
            <wp:docPr descr="Рис. 5: Успешный ping между коммутаторами" title="" id="39" name="Picture"/>
            <a:graphic>
              <a:graphicData uri="http://schemas.openxmlformats.org/drawingml/2006/picture">
                <pic:pic>
                  <pic:nvPicPr>
                    <pic:cNvPr descr="Screenshot_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7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Успешный ping между коммутаторами</w:t>
      </w:r>
    </w:p>
    <w:bookmarkEnd w:id="42"/>
    <w:bookmarkStart w:id="51" w:name="X0d84380bfc4bb875f8d5f1313396ee0a5495a3a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Учет физических характеристик среды передачи</w:t>
      </w:r>
    </w:p>
    <w:p>
      <w:pPr>
        <w:numPr>
          <w:ilvl w:val="0"/>
          <w:numId w:val="1003"/>
        </w:numPr>
      </w:pPr>
      <w:r>
        <w:t xml:space="preserve">В настройках программы активирована опция учёта физических параметров среды передачи:</w:t>
      </w:r>
      <w:r>
        <w:br/>
      </w:r>
      <w:r>
        <w:t xml:space="preserve">Options → Preferences → Interface → Enable Cable Length Effects.</w:t>
      </w:r>
    </w:p>
    <w:p>
      <w:pPr>
        <w:numPr>
          <w:ilvl w:val="0"/>
          <w:numId w:val="1003"/>
        </w:numPr>
      </w:pPr>
      <w:r>
        <w:t xml:space="preserve">В физической рабочей области здания Donskaya и Pavlovskaya размещены на значительном расстоянии друг от друга (порядка 780–1000 метров), что превышает допустимую длину медного кабеля.</w:t>
      </w:r>
    </w:p>
    <w:p>
      <w:pPr>
        <w:numPr>
          <w:ilvl w:val="0"/>
          <w:numId w:val="1000"/>
        </w:numPr>
        <w:pStyle w:val="CaptionedFigure"/>
      </w:pPr>
      <w:bookmarkStart w:id="46" w:name="fig:006"/>
      <w:r>
        <w:drawing>
          <wp:inline>
            <wp:extent cx="5334000" cy="1841105"/>
            <wp:effectExtent b="0" l="0" r="0" t="0"/>
            <wp:docPr descr="Рис. 6: Большое расстояние между зданиями" title="" id="44" name="Picture"/>
            <a:graphic>
              <a:graphicData uri="http://schemas.openxmlformats.org/drawingml/2006/picture">
                <pic:pic>
                  <pic:nvPicPr>
                    <pic:cNvPr descr="Screenshot_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1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numPr>
          <w:ilvl w:val="0"/>
          <w:numId w:val="1000"/>
        </w:numPr>
        <w:pStyle w:val="ImageCaption"/>
      </w:pPr>
      <w:r>
        <w:t xml:space="preserve">Рис. 6: Большое расстояние между зданиями</w:t>
      </w:r>
    </w:p>
    <w:p>
      <w:pPr>
        <w:numPr>
          <w:ilvl w:val="0"/>
          <w:numId w:val="1003"/>
        </w:numPr>
      </w:pPr>
      <w:r>
        <w:t xml:space="preserve">После увеличения расстояния между устройствами выполнена повторная проверка соединения (ping).</w:t>
      </w:r>
      <w:r>
        <w:br/>
      </w:r>
      <w:r>
        <w:t xml:space="preserve">В результате ответы от удалённого коммутатора отсутствуют, что свидетельствует о нарушении связи.</w:t>
      </w:r>
    </w:p>
    <w:p>
      <w:pPr>
        <w:numPr>
          <w:ilvl w:val="0"/>
          <w:numId w:val="1000"/>
        </w:numPr>
        <w:pStyle w:val="CaptionedFigure"/>
      </w:pPr>
      <w:bookmarkStart w:id="50" w:name="fig:007"/>
      <w:r>
        <w:drawing>
          <wp:inline>
            <wp:extent cx="5334000" cy="1671850"/>
            <wp:effectExtent b="0" l="0" r="0" t="0"/>
            <wp:docPr descr="Рис. 7: Неуспешный ping из-за длины кабеля" title="" id="48" name="Picture"/>
            <a:graphic>
              <a:graphicData uri="http://schemas.openxmlformats.org/drawingml/2006/picture">
                <pic:pic>
                  <pic:nvPicPr>
                    <pic:cNvPr descr="Screenshot_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1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0"/>
        </w:numPr>
        <w:pStyle w:val="ImageCaption"/>
      </w:pPr>
      <w:r>
        <w:t xml:space="preserve">Рис. 7: Неуспешный ping из-за длины кабеля</w:t>
      </w:r>
    </w:p>
    <w:bookmarkEnd w:id="51"/>
    <w:bookmarkStart w:id="64" w:name="Xab66fdcedad254aee861646b076eb30b60c67a3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Использование повторителей для увеличения расстояния сети</w:t>
      </w:r>
    </w:p>
    <w:p>
      <w:pPr>
        <w:numPr>
          <w:ilvl w:val="0"/>
          <w:numId w:val="1004"/>
        </w:numPr>
      </w:pPr>
      <w:r>
        <w:t xml:space="preserve">В логической рабочей области удалено прямое соединение между коммутаторами msk-donskaya-sw-1 и msk-pavlovskaya-sw-1.</w:t>
      </w:r>
      <w:r>
        <w:br/>
      </w:r>
      <w:r>
        <w:t xml:space="preserve">Для обеспечения связи на большом расстоянии добавлены два повторителя Repeater-PT с именами msk-donskaya-mc-1 и msk-pavlovskaya-mc-1.</w:t>
      </w:r>
    </w:p>
    <w:p>
      <w:pPr>
        <w:numPr>
          <w:ilvl w:val="0"/>
          <w:numId w:val="1000"/>
        </w:numPr>
        <w:pStyle w:val="CaptionedFigure"/>
      </w:pPr>
      <w:bookmarkStart w:id="55" w:name="fig:009"/>
      <w:r>
        <w:drawing>
          <wp:inline>
            <wp:extent cx="5334000" cy="3350145"/>
            <wp:effectExtent b="0" l="0" r="0" t="0"/>
            <wp:docPr descr="Рис. 8: Добавление повторителей в сеть" title="" id="53" name="Picture"/>
            <a:graphic>
              <a:graphicData uri="http://schemas.openxmlformats.org/drawingml/2006/picture">
                <pic:pic>
                  <pic:nvPicPr>
                    <pic:cNvPr descr="Screenshot_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0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numPr>
          <w:ilvl w:val="0"/>
          <w:numId w:val="1000"/>
        </w:numPr>
        <w:pStyle w:val="ImageCaption"/>
      </w:pPr>
      <w:r>
        <w:t xml:space="preserve">Рис. 8: Добавление повторителей в сеть</w:t>
      </w:r>
    </w:p>
    <w:p>
      <w:pPr>
        <w:numPr>
          <w:ilvl w:val="0"/>
          <w:numId w:val="1004"/>
        </w:numPr>
      </w:pPr>
      <w:r>
        <w:t xml:space="preserve">Для корректной работы повторителей выполнена замена модулей.</w:t>
      </w:r>
      <w:r>
        <w:br/>
      </w:r>
      <w:r>
        <w:t xml:space="preserve">Установлены модули:</w:t>
      </w:r>
    </w:p>
    <w:p>
      <w:pPr>
        <w:numPr>
          <w:ilvl w:val="1"/>
          <w:numId w:val="1005"/>
        </w:numPr>
        <w:pStyle w:val="Compact"/>
      </w:pPr>
      <w:r>
        <w:t xml:space="preserve">PT-REPEATER-NM-1FFE — для подключения по оптоволокну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PT-REPEATER-NM-1CFE — для подключения по витой паре</w:t>
      </w:r>
    </w:p>
    <w:p>
      <w:pPr>
        <w:numPr>
          <w:ilvl w:val="0"/>
          <w:numId w:val="1000"/>
        </w:numPr>
      </w:pPr>
      <w:r>
        <w:t xml:space="preserve">Это обеспечивает возможность комбинированного использования различных типов среды передачи.</w:t>
      </w:r>
    </w:p>
    <w:p>
      <w:pPr>
        <w:numPr>
          <w:ilvl w:val="0"/>
          <w:numId w:val="1000"/>
        </w:numPr>
        <w:pStyle w:val="CaptionedFigure"/>
      </w:pPr>
      <w:bookmarkStart w:id="59" w:name="fig:010"/>
      <w:r>
        <w:drawing>
          <wp:inline>
            <wp:extent cx="5334000" cy="4196489"/>
            <wp:effectExtent b="0" l="0" r="0" t="0"/>
            <wp:docPr descr="Рис. 9: Настройка модулей повторителя" title="" id="57" name="Picture"/>
            <a:graphic>
              <a:graphicData uri="http://schemas.openxmlformats.org/drawingml/2006/picture">
                <pic:pic>
                  <pic:nvPicPr>
                    <pic:cNvPr descr="Screenshot_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6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numPr>
          <w:ilvl w:val="0"/>
          <w:numId w:val="1000"/>
        </w:numPr>
        <w:pStyle w:val="ImageCaption"/>
      </w:pPr>
      <w:r>
        <w:t xml:space="preserve">Рис. 9: Настройка модулей повторителя</w:t>
      </w:r>
    </w:p>
    <w:p>
      <w:pPr>
        <w:numPr>
          <w:ilvl w:val="0"/>
          <w:numId w:val="1004"/>
        </w:numPr>
      </w:pPr>
      <w:r>
        <w:t xml:space="preserve">В физической рабочей области повторитель msk-pavlovskaya-mc-1 перемещён на территорию Pavlovskaya.</w:t>
      </w:r>
    </w:p>
    <w:p>
      <w:pPr>
        <w:numPr>
          <w:ilvl w:val="0"/>
          <w:numId w:val="1004"/>
        </w:numPr>
      </w:pPr>
      <w:r>
        <w:t xml:space="preserve">Выполнено подключение устройств:</w:t>
      </w:r>
    </w:p>
    <w:p>
      <w:pPr>
        <w:numPr>
          <w:ilvl w:val="1"/>
          <w:numId w:val="1006"/>
        </w:numPr>
        <w:pStyle w:val="Compact"/>
      </w:pPr>
      <w:r>
        <w:t xml:space="preserve">msk-donskaya-sw-1 → msk-donskaya-mc-1 — витая пара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msk-donskaya-mc-1 → msk-pavlovskaya-mc-1 — оптоволоконный кабель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msk-pavlovskaya-sw-1 → msk-pavlovskaya-mc-1 — витая пара</w:t>
      </w:r>
    </w:p>
    <w:p>
      <w:pPr>
        <w:numPr>
          <w:ilvl w:val="0"/>
          <w:numId w:val="1004"/>
        </w:numPr>
      </w:pPr>
      <w:r>
        <w:t xml:space="preserve">После выполнения подключения произведена проверка соединения.</w:t>
      </w:r>
      <w:r>
        <w:br/>
      </w:r>
      <w:r>
        <w:t xml:space="preserve">С коммутатора msk-donskaya-sw-1 выполнен ping до msk-pavlovskaya-sw-1.</w:t>
      </w:r>
    </w:p>
    <w:p>
      <w:pPr>
        <w:numPr>
          <w:ilvl w:val="0"/>
          <w:numId w:val="1000"/>
        </w:numPr>
      </w:pPr>
      <w:r>
        <w:t xml:space="preserve">В результате получены ответы без потерь пакетов, что подтверждает восстановление работоспособности сети при использовании повторителей.</w:t>
      </w:r>
    </w:p>
    <w:p>
      <w:pPr>
        <w:numPr>
          <w:ilvl w:val="0"/>
          <w:numId w:val="1000"/>
        </w:numPr>
        <w:pStyle w:val="CaptionedFigure"/>
      </w:pPr>
      <w:bookmarkStart w:id="63" w:name="fig:011"/>
      <w:r>
        <w:drawing>
          <wp:inline>
            <wp:extent cx="5334000" cy="3268968"/>
            <wp:effectExtent b="0" l="0" r="0" t="0"/>
            <wp:docPr descr="Рис. 10: Успешный ping после добавления повторителей" title="" id="61" name="Picture"/>
            <a:graphic>
              <a:graphicData uri="http://schemas.openxmlformats.org/drawingml/2006/picture">
                <pic:pic>
                  <pic:nvPicPr>
                    <pic:cNvPr descr="Screenshot_1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8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numPr>
          <w:ilvl w:val="0"/>
          <w:numId w:val="1000"/>
        </w:numPr>
        <w:pStyle w:val="ImageCaption"/>
      </w:pPr>
      <w:r>
        <w:t xml:space="preserve">Рис. 10: Успешный ping после добавления повторителей</w:t>
      </w:r>
    </w:p>
    <w:bookmarkEnd w:id="64"/>
    <w:bookmarkEnd w:id="65"/>
    <w:bookmarkStart w:id="66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Перечислите возможные среды передачи данных. На какие характеристики среды передачи данных следует обращать внимание при планировании сети?</w:t>
      </w:r>
    </w:p>
    <w:p>
      <w:pPr>
        <w:numPr>
          <w:ilvl w:val="0"/>
          <w:numId w:val="1000"/>
        </w:numPr>
      </w:pPr>
      <w:r>
        <w:t xml:space="preserve">К основным средам передачи данных относятся:</w:t>
      </w:r>
    </w:p>
    <w:p>
      <w:pPr>
        <w:numPr>
          <w:ilvl w:val="1"/>
          <w:numId w:val="1008"/>
        </w:numPr>
        <w:pStyle w:val="Compact"/>
      </w:pPr>
      <w:r>
        <w:t xml:space="preserve">витая пара (медный кабель);</w:t>
      </w:r>
      <w:r>
        <w:br/>
      </w:r>
    </w:p>
    <w:p>
      <w:pPr>
        <w:numPr>
          <w:ilvl w:val="1"/>
          <w:numId w:val="1008"/>
        </w:numPr>
        <w:pStyle w:val="Compact"/>
      </w:pPr>
      <w:r>
        <w:t xml:space="preserve">коаксиальный кабель;</w:t>
      </w:r>
      <w:r>
        <w:br/>
      </w:r>
    </w:p>
    <w:p>
      <w:pPr>
        <w:numPr>
          <w:ilvl w:val="1"/>
          <w:numId w:val="1008"/>
        </w:numPr>
        <w:pStyle w:val="Compact"/>
      </w:pPr>
      <w:r>
        <w:t xml:space="preserve">оптоволоконный кабель;</w:t>
      </w:r>
      <w:r>
        <w:br/>
      </w:r>
    </w:p>
    <w:p>
      <w:pPr>
        <w:numPr>
          <w:ilvl w:val="1"/>
          <w:numId w:val="1008"/>
        </w:numPr>
        <w:pStyle w:val="Compact"/>
      </w:pPr>
      <w:r>
        <w:t xml:space="preserve">беспроводные среды (радиоканалы, Wi-Fi, спутниковая связь).</w:t>
      </w:r>
    </w:p>
    <w:p>
      <w:pPr>
        <w:numPr>
          <w:ilvl w:val="0"/>
          <w:numId w:val="1000"/>
        </w:numPr>
      </w:pPr>
      <w:r>
        <w:t xml:space="preserve">При планировании сети необходимо учитывать следующие характеристики:</w:t>
      </w:r>
    </w:p>
    <w:p>
      <w:pPr>
        <w:numPr>
          <w:ilvl w:val="1"/>
          <w:numId w:val="1009"/>
        </w:numPr>
        <w:pStyle w:val="Compact"/>
      </w:pPr>
      <w:r>
        <w:t xml:space="preserve">пропускная способность (максимальная скорость передачи данных);</w:t>
      </w:r>
      <w:r>
        <w:br/>
      </w:r>
    </w:p>
    <w:p>
      <w:pPr>
        <w:numPr>
          <w:ilvl w:val="1"/>
          <w:numId w:val="1009"/>
        </w:numPr>
        <w:pStyle w:val="Compact"/>
      </w:pPr>
      <w:r>
        <w:t xml:space="preserve">максимальная длина сегмента без усиления сигнала;</w:t>
      </w:r>
      <w:r>
        <w:br/>
      </w:r>
    </w:p>
    <w:p>
      <w:pPr>
        <w:numPr>
          <w:ilvl w:val="1"/>
          <w:numId w:val="1009"/>
        </w:numPr>
        <w:pStyle w:val="Compact"/>
      </w:pPr>
      <w:r>
        <w:t xml:space="preserve">уровень затухания и помехоустойчивость;</w:t>
      </w:r>
      <w:r>
        <w:br/>
      </w:r>
    </w:p>
    <w:p>
      <w:pPr>
        <w:numPr>
          <w:ilvl w:val="1"/>
          <w:numId w:val="1009"/>
        </w:numPr>
        <w:pStyle w:val="Compact"/>
      </w:pPr>
      <w:r>
        <w:t xml:space="preserve">стоимость прокладки и оборудования;</w:t>
      </w:r>
      <w:r>
        <w:br/>
      </w:r>
    </w:p>
    <w:p>
      <w:pPr>
        <w:numPr>
          <w:ilvl w:val="1"/>
          <w:numId w:val="1009"/>
        </w:numPr>
        <w:pStyle w:val="Compact"/>
      </w:pPr>
      <w:r>
        <w:t xml:space="preserve">условия эксплуатации (помещения, улица, наличие электромагнитных помех);</w:t>
      </w:r>
      <w:r>
        <w:br/>
      </w:r>
    </w:p>
    <w:p>
      <w:pPr>
        <w:numPr>
          <w:ilvl w:val="1"/>
          <w:numId w:val="1009"/>
        </w:numPr>
        <w:pStyle w:val="Compact"/>
      </w:pPr>
      <w:r>
        <w:t xml:space="preserve">надёжность и безопасность передачи данных.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Перечислите категории витой пары. Чем они отличаются? Какая категория в каких условиях может применяться?</w:t>
      </w:r>
    </w:p>
    <w:p>
      <w:pPr>
        <w:numPr>
          <w:ilvl w:val="0"/>
          <w:numId w:val="1000"/>
        </w:numPr>
      </w:pPr>
      <w:r>
        <w:t xml:space="preserve">Существуют категории витой пары: Cat5, Cat5e, Cat6, Cat6a, Cat7 и выше.</w:t>
      </w:r>
    </w:p>
    <w:p>
      <w:pPr>
        <w:numPr>
          <w:ilvl w:val="0"/>
          <w:numId w:val="1000"/>
        </w:numPr>
      </w:pPr>
      <w:r>
        <w:t xml:space="preserve">Они отличаются:</w:t>
      </w:r>
    </w:p>
    <w:p>
      <w:pPr>
        <w:numPr>
          <w:ilvl w:val="1"/>
          <w:numId w:val="1010"/>
        </w:numPr>
        <w:pStyle w:val="Compact"/>
      </w:pPr>
      <w:r>
        <w:t xml:space="preserve">поддерживаемой скоростью передачи данных;</w:t>
      </w:r>
      <w:r>
        <w:br/>
      </w:r>
    </w:p>
    <w:p>
      <w:pPr>
        <w:numPr>
          <w:ilvl w:val="1"/>
          <w:numId w:val="1010"/>
        </w:numPr>
        <w:pStyle w:val="Compact"/>
      </w:pPr>
      <w:r>
        <w:t xml:space="preserve">рабочей частотой сигнала;</w:t>
      </w:r>
      <w:r>
        <w:br/>
      </w:r>
    </w:p>
    <w:p>
      <w:pPr>
        <w:numPr>
          <w:ilvl w:val="1"/>
          <w:numId w:val="1010"/>
        </w:numPr>
        <w:pStyle w:val="Compact"/>
      </w:pPr>
      <w:r>
        <w:t xml:space="preserve">уровнем экранирования и защиты от помех.</w:t>
      </w:r>
    </w:p>
    <w:p>
      <w:pPr>
        <w:numPr>
          <w:ilvl w:val="0"/>
          <w:numId w:val="1000"/>
        </w:numPr>
      </w:pPr>
      <w:r>
        <w:t xml:space="preserve">Применение: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Cat5 / Cat5e</w:t>
      </w:r>
      <w:r>
        <w:t xml:space="preserve"> </w:t>
      </w:r>
      <w:r>
        <w:t xml:space="preserve">— используются в стандартных локальных сетях со скоростью до 1 Гбит/с;</w:t>
      </w:r>
      <w:r>
        <w:br/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Cat6 / Cat6a</w:t>
      </w:r>
      <w:r>
        <w:t xml:space="preserve"> </w:t>
      </w:r>
      <w:r>
        <w:t xml:space="preserve">— применяются в более современных сетях, поддерживают скорости до 10 Гбит/с на ограниченных расстояниях;</w:t>
      </w:r>
      <w:r>
        <w:br/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Cat7 и выше</w:t>
      </w:r>
      <w:r>
        <w:t xml:space="preserve"> </w:t>
      </w:r>
      <w:r>
        <w:t xml:space="preserve">— используются в высокоскоростных и защищённых сетях, часто в дата-центрах и серверных.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В чем отличие одномодового и многомодового оптоволокна? Какой тип кабеля в каких условиях может применяться?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Одномодовое оптоволокно (Single Mode)</w:t>
      </w:r>
      <w:r>
        <w:t xml:space="preserve"> </w:t>
      </w:r>
      <w:r>
        <w:t xml:space="preserve">— имеет малый диаметр сердцевины и передаёт свет по одному лучу.</w:t>
      </w:r>
      <w:r>
        <w:br/>
      </w:r>
      <w:r>
        <w:t xml:space="preserve">Обеспечивает передачу сигнала на большие расстояния (десятки километров) с минимальными потерями.</w:t>
      </w:r>
      <w:r>
        <w:br/>
      </w:r>
      <w:r>
        <w:t xml:space="preserve">Используется в магистральных линиях связи и между зданиями.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Многомодовое оптоволокно (Multi Mode)</w:t>
      </w:r>
      <w:r>
        <w:t xml:space="preserve"> </w:t>
      </w:r>
      <w:r>
        <w:t xml:space="preserve">— имеет больший диаметр сердцевины, по которому распространяется несколько лучей света.</w:t>
      </w:r>
      <w:r>
        <w:br/>
      </w:r>
      <w:r>
        <w:t xml:space="preserve">Имеет большее затухание и меньшую дальность передачи (до нескольких сотен метров).</w:t>
      </w:r>
      <w:r>
        <w:br/>
      </w:r>
      <w:r>
        <w:t xml:space="preserve">Применяется внутри зданий, в локальных сетях и дата-центрах.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Какие разъёмы встречаются на патчах оптоволокна? Чем они отличаются?</w:t>
      </w:r>
    </w:p>
    <w:p>
      <w:pPr>
        <w:numPr>
          <w:ilvl w:val="0"/>
          <w:numId w:val="1000"/>
        </w:numPr>
      </w:pPr>
      <w:r>
        <w:t xml:space="preserve">Наиболее распространённые разъёмы оптоволоконных кабелей: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SC (Subscriber Connector)</w:t>
      </w:r>
      <w:r>
        <w:t xml:space="preserve"> </w:t>
      </w:r>
      <w:r>
        <w:t xml:space="preserve">— прямоугольный разъём с защёлкой, удобен в использовании и широко распространён;</w:t>
      </w:r>
      <w:r>
        <w:br/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LC (Lucent Connector)</w:t>
      </w:r>
      <w:r>
        <w:t xml:space="preserve"> </w:t>
      </w:r>
      <w:r>
        <w:t xml:space="preserve">— компактный разъём меньшего размера, используется в плотных коммутационных панелях;</w:t>
      </w:r>
      <w:r>
        <w:br/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ST (Straight Tip)</w:t>
      </w:r>
      <w:r>
        <w:t xml:space="preserve"> </w:t>
      </w:r>
      <w:r>
        <w:t xml:space="preserve">— разъём с байонетным креплением, применяется в старых сетях;</w:t>
      </w:r>
      <w:r>
        <w:br/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FC (Ferrule Connector)</w:t>
      </w:r>
      <w:r>
        <w:t xml:space="preserve"> </w:t>
      </w:r>
      <w:r>
        <w:t xml:space="preserve">— разъём с резьбовым соединением, используется в оборудовании с повышенными требованиями к надёжности.</w:t>
      </w:r>
    </w:p>
    <w:p>
      <w:pPr>
        <w:numPr>
          <w:ilvl w:val="0"/>
          <w:numId w:val="1000"/>
        </w:numPr>
      </w:pPr>
      <w:r>
        <w:t xml:space="preserve">Основные отличия заключаются в:</w:t>
      </w:r>
    </w:p>
    <w:p>
      <w:pPr>
        <w:numPr>
          <w:ilvl w:val="1"/>
          <w:numId w:val="1013"/>
        </w:numPr>
        <w:pStyle w:val="Compact"/>
      </w:pPr>
      <w:r>
        <w:t xml:space="preserve">способе фиксации (защёлка, резьба, байонет);</w:t>
      </w:r>
      <w:r>
        <w:br/>
      </w:r>
    </w:p>
    <w:p>
      <w:pPr>
        <w:numPr>
          <w:ilvl w:val="1"/>
          <w:numId w:val="1013"/>
        </w:numPr>
        <w:pStyle w:val="Compact"/>
      </w:pPr>
      <w:r>
        <w:t xml:space="preserve">размере разъёма;</w:t>
      </w:r>
      <w:r>
        <w:br/>
      </w:r>
    </w:p>
    <w:p>
      <w:pPr>
        <w:numPr>
          <w:ilvl w:val="1"/>
          <w:numId w:val="1013"/>
        </w:numPr>
        <w:pStyle w:val="Compact"/>
      </w:pPr>
      <w:r>
        <w:t xml:space="preserve">области применения (домашние сети, дата-центры, телекоммуникации).</w:t>
      </w:r>
    </w:p>
    <w:bookmarkEnd w:id="66"/>
    <w:bookmarkStart w:id="67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была изучена организация сети в физической и логической рабочей области Cisco Packet Tracer. Выполнено моделирование сети с территориальным разделением на здания и размещением оборудования в серверных помещениях.</w:t>
      </w:r>
    </w:p>
    <w:p>
      <w:pPr>
        <w:pStyle w:val="BodyText"/>
      </w:pPr>
      <w:r>
        <w:t xml:space="preserve">Проведена настройка и проверка соединения между коммутаторами, а также исследовано влияние физических характеристик среды передачи данных на работоспособность сети. Установлено, что при превышении допустимой длины медного кабеля связь между устройствами нарушается.</w:t>
      </w:r>
    </w:p>
    <w:p>
      <w:pPr>
        <w:pStyle w:val="BodyText"/>
      </w:pPr>
      <w:r>
        <w:t xml:space="preserve">Для решения данной проблемы в сеть были добавлены повторители и использовано оптоволоконное соединение, что позволило обеспечить передачу данных на большие расстояния и восстановить работоспособность сети. Выполненная проверка с помощью команды ping подтвердила корректное функционирование соединения.</w:t>
      </w:r>
    </w:p>
    <w:p>
      <w:pPr>
        <w:pStyle w:val="BodyText"/>
      </w:pPr>
      <w:r>
        <w:t xml:space="preserve">Полученные результаты позволили на практике изучить влияние типа среды передачи и расстояния на работу сети, а также освоить методы расширения сети с использованием повторителей и оптоволоконных линий связи. Приобретённые навыки могут быть использованы при проектировании и настройке реальных компьютерных сетей.</w:t>
      </w:r>
    </w:p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2" Target="media/rId52.png" /><Relationship Type="http://schemas.openxmlformats.org/officeDocument/2006/relationships/image" Id="rId60" Target="media/rId60.png" /><Relationship Type="http://schemas.openxmlformats.org/officeDocument/2006/relationships/image" Id="rId33" Target="media/rId33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Владимир Базлов</dc:creator>
  <dc:language>ru-RU</dc:language>
  <cp:keywords/>
  <dcterms:created xsi:type="dcterms:W3CDTF">2026-03-21T08:39:01Z</dcterms:created>
  <dcterms:modified xsi:type="dcterms:W3CDTF">2026-03-21T08:39:01Z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Учёт физических параметров сети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