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9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d654a49ccac9d0a6acf5308ddb917caf0b34b7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в Dovecot и интеграция с Postfix</w:t>
      </w:r>
    </w:p>
    <w:p>
      <w:pPr>
        <w:pStyle w:val="FirstParagraph"/>
      </w:pPr>
      <w:r>
        <w:t xml:space="preserve">На виртуальной машине server выполнен вход под пользователем и выполнено получение прав суперпользователя.</w:t>
      </w:r>
    </w:p>
    <w:p>
      <w:pPr>
        <w:pStyle w:val="BodyText"/>
      </w:pPr>
      <w:r>
        <w:t xml:space="preserve">В дополнительном терминале был запущен мониторинг журнала maillog для отслеживания работы почтовых сервисов.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добавлен протокол LMTP:</w:t>
      </w:r>
    </w:p>
    <w:p>
      <w:pPr>
        <w:pStyle w:val="BodyText"/>
      </w:pPr>
      <w:r>
        <w:t xml:space="preserve">protocols = imap pop3 lmtp</w:t>
      </w:r>
    </w:p>
    <w:p>
      <w:pPr>
        <w:pStyle w:val="CaptionedFigure"/>
      </w:pPr>
      <w:bookmarkStart w:id="24" w:name="fig:001"/>
      <w:r>
        <w:drawing>
          <wp:inline>
            <wp:extent cx="5334000" cy="2785533"/>
            <wp:effectExtent b="0" l="0" r="0" t="0"/>
            <wp:docPr descr="Рис. 1: Добавление LMTP в список протокол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Добавление LMTP в список протоколов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выполнено определение сервиса LMTP:</w:t>
      </w:r>
    </w:p>
    <w:p>
      <w:pPr>
        <w:pStyle w:val="BodyText"/>
      </w:pPr>
      <w:r>
        <w:t xml:space="preserve">service lmtp {</w:t>
      </w:r>
      <w:r>
        <w:br/>
      </w:r>
      <w:r>
        <w:t xml:space="preserve">  unix_listener /var/spool/postfix/private/dovecot-lmtp {</w:t>
      </w:r>
      <w:r>
        <w:br/>
      </w:r>
      <w:r>
        <w:t xml:space="preserve">    group = postfix</w:t>
      </w:r>
      <w:r>
        <w:br/>
      </w:r>
      <w:r>
        <w:t xml:space="preserve">    user = postfix</w:t>
      </w:r>
      <w:r>
        <w:br/>
      </w:r>
      <w:r>
        <w:t xml:space="preserve">    mode = 0600</w:t>
      </w:r>
      <w:r>
        <w:br/>
      </w:r>
      <w:r>
        <w:t xml:space="preserve">  }</w:t>
      </w:r>
      <w:r>
        <w:br/>
      </w:r>
      <w:r>
        <w:t xml:space="preserve">}</w:t>
      </w:r>
    </w:p>
    <w:p>
      <w:pPr>
        <w:pStyle w:val="BodyText"/>
      </w:pPr>
      <w:r>
        <w:t xml:space="preserve">Эта конфигурация создаёт unix-сокет, через который Postfix будет передавать сообщения в Dovecot.</w:t>
      </w:r>
    </w:p>
    <w:p>
      <w:pPr>
        <w:pStyle w:val="CaptionedFigure"/>
      </w:pPr>
      <w:bookmarkStart w:id="28" w:name="fig:002"/>
      <w:r>
        <w:drawing>
          <wp:inline>
            <wp:extent cx="5334000" cy="1497105"/>
            <wp:effectExtent b="0" l="0" r="0" t="0"/>
            <wp:docPr descr="Рис. 2: Настройка unix_listener для LMTP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7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unix_listener для LMTP</w:t>
      </w:r>
    </w:p>
    <w:p>
      <w:pPr>
        <w:pStyle w:val="BodyText"/>
      </w:pPr>
      <w:r>
        <w:t xml:space="preserve">Postfix настроен на передачу писем через LMTP-сокет</w:t>
      </w:r>
      <w:r>
        <w:t xml:space="preserve"> </w:t>
      </w:r>
      <w:r>
        <w:rPr>
          <w:rStyle w:val="VerbatimChar"/>
        </w:rPr>
        <w:t xml:space="preserve">private/dovecot-lmtp</w:t>
      </w:r>
      <w:r>
        <w:t xml:space="preserve">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указан формат:</w:t>
      </w:r>
    </w:p>
    <w:p>
      <w:pPr>
        <w:pStyle w:val="BodyText"/>
      </w:pPr>
      <w:r>
        <w:t xml:space="preserve">auth_username_format = %Ln</w:t>
      </w:r>
    </w:p>
    <w:p>
      <w:pPr>
        <w:pStyle w:val="BodyText"/>
      </w:pPr>
      <w:r>
        <w:t xml:space="preserve">Это позволяет использовать логин без доменной части.</w:t>
      </w:r>
    </w:p>
    <w:p>
      <w:pPr>
        <w:pStyle w:val="CaptionedFigure"/>
      </w:pPr>
      <w:bookmarkStart w:id="32" w:name="fig:003"/>
      <w:r>
        <w:drawing>
          <wp:inline>
            <wp:extent cx="5334000" cy="1101020"/>
            <wp:effectExtent b="0" l="0" r="0" t="0"/>
            <wp:docPr descr="Рис. 3: auth_username_format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auth_username_format</w:t>
      </w:r>
    </w:p>
    <w:p>
      <w:pPr>
        <w:pStyle w:val="BodyText"/>
      </w:pPr>
      <w:r>
        <w:t xml:space="preserve">Postfix и Dovecot были перезапущены для применения конфигурации.</w:t>
      </w:r>
    </w:p>
    <w:p>
      <w:pPr>
        <w:pStyle w:val="BodyText"/>
      </w:pPr>
      <w:r>
        <w:t xml:space="preserve">С клиента было отправлено тестовое письмо.</w:t>
      </w:r>
      <w:r>
        <w:br/>
      </w:r>
      <w:r>
        <w:t xml:space="preserve">При мониторинге maillog наблюдалась следующая последовательность:</w:t>
      </w:r>
    </w:p>
    <w:p>
      <w:pPr>
        <w:numPr>
          <w:ilvl w:val="0"/>
          <w:numId w:val="1001"/>
        </w:numPr>
        <w:pStyle w:val="Compact"/>
      </w:pPr>
      <w:r>
        <w:t xml:space="preserve">получение письма Postfix;</w:t>
      </w:r>
    </w:p>
    <w:p>
      <w:pPr>
        <w:numPr>
          <w:ilvl w:val="0"/>
          <w:numId w:val="1001"/>
        </w:numPr>
        <w:pStyle w:val="Compact"/>
      </w:pPr>
      <w:r>
        <w:t xml:space="preserve">помещение сообщения в очередь;</w:t>
      </w:r>
    </w:p>
    <w:p>
      <w:pPr>
        <w:numPr>
          <w:ilvl w:val="0"/>
          <w:numId w:val="1001"/>
        </w:numPr>
        <w:pStyle w:val="Compact"/>
      </w:pPr>
      <w:r>
        <w:t xml:space="preserve">передача его по LMTP в Dovecot;</w:t>
      </w:r>
    </w:p>
    <w:p>
      <w:pPr>
        <w:numPr>
          <w:ilvl w:val="0"/>
          <w:numId w:val="1001"/>
        </w:numPr>
        <w:pStyle w:val="Compact"/>
      </w:pPr>
      <w:r>
        <w:t xml:space="preserve">успешная доставка в INBOX.</w:t>
      </w:r>
    </w:p>
    <w:p>
      <w:pPr>
        <w:pStyle w:val="CaptionedFigure"/>
      </w:pPr>
      <w:bookmarkStart w:id="36" w:name="fig:004"/>
      <w:r>
        <w:drawing>
          <wp:inline>
            <wp:extent cx="5334000" cy="1345962"/>
            <wp:effectExtent b="0" l="0" r="0" t="0"/>
            <wp:docPr descr="Рис. 4: Логи прохождения письм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Логи прохождения письма</w:t>
      </w:r>
    </w:p>
    <w:p>
      <w:pPr>
        <w:pStyle w:val="BodyText"/>
      </w:pPr>
      <w:r>
        <w:t xml:space="preserve">Почтовый ящик пользователя был просмотрен. Отправленное письмо корректно доставлено в INBOX.</w:t>
      </w:r>
    </w:p>
    <w:p>
      <w:pPr>
        <w:pStyle w:val="CaptionedFigure"/>
      </w:pPr>
      <w:bookmarkStart w:id="40" w:name="fig:005"/>
      <w:r>
        <w:drawing>
          <wp:inline>
            <wp:extent cx="5334000" cy="3166505"/>
            <wp:effectExtent b="0" l="0" r="0" t="0"/>
            <wp:docPr descr="Рис. 5: Просмотр полученных сообщений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Просмотр полученных сообщений</w:t>
      </w:r>
    </w:p>
    <w:bookmarkEnd w:id="41"/>
    <w:bookmarkStart w:id="58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добавлена конфигурация:</w:t>
      </w:r>
    </w:p>
    <w:p>
      <w:pPr>
        <w:pStyle w:val="BodyText"/>
      </w:pPr>
      <w:r>
        <w:t xml:space="preserve">service auth {</w:t>
      </w:r>
      <w:r>
        <w:br/>
      </w:r>
      <w:r>
        <w:t xml:space="preserve">  unix_listener /var/spool/postfix/private/auth {</w:t>
      </w:r>
      <w:r>
        <w:br/>
      </w:r>
      <w:r>
        <w:t xml:space="preserve">    group = postfix</w:t>
      </w:r>
      <w:r>
        <w:br/>
      </w:r>
      <w:r>
        <w:t xml:space="preserve">    user = postfix</w:t>
      </w:r>
      <w:r>
        <w:br/>
      </w:r>
      <w:r>
        <w:t xml:space="preserve">    mode = 0660</w:t>
      </w:r>
      <w:r>
        <w:br/>
      </w:r>
      <w:r>
        <w:t xml:space="preserve">  }</w:t>
      </w:r>
      <w:r>
        <w:br/>
      </w:r>
      <w:r>
        <w:t xml:space="preserve">  unix_listener auth-userdb {</w:t>
      </w:r>
      <w:r>
        <w:br/>
      </w:r>
      <w:r>
        <w:t xml:space="preserve">    mode = 0600</w:t>
      </w:r>
      <w:r>
        <w:br/>
      </w:r>
      <w:r>
        <w:t xml:space="preserve">    user = dovecot</w:t>
      </w:r>
      <w:r>
        <w:br/>
      </w:r>
      <w:r>
        <w:t xml:space="preserve">  }</w:t>
      </w:r>
      <w:r>
        <w:br/>
      </w:r>
      <w:r>
        <w:t xml:space="preserve">}</w:t>
      </w:r>
    </w:p>
    <w:p>
      <w:pPr>
        <w:pStyle w:val="BodyText"/>
      </w:pPr>
      <w:r>
        <w:t xml:space="preserve">Пояснение:</w:t>
      </w:r>
    </w:p>
    <w:p>
      <w:pPr>
        <w:numPr>
          <w:ilvl w:val="0"/>
          <w:numId w:val="1002"/>
        </w:numPr>
        <w:pStyle w:val="Compact"/>
      </w:pPr>
      <w:r>
        <w:t xml:space="preserve">service auth — определение службы аутентификации;</w:t>
      </w:r>
    </w:p>
    <w:p>
      <w:pPr>
        <w:numPr>
          <w:ilvl w:val="0"/>
          <w:numId w:val="1002"/>
        </w:numPr>
        <w:pStyle w:val="Compact"/>
      </w:pPr>
      <w:r>
        <w:t xml:space="preserve">unix_listener /var/spool/postfix/private/auth — сокет для взаимодействия с Postfix;</w:t>
      </w:r>
    </w:p>
    <w:p>
      <w:pPr>
        <w:numPr>
          <w:ilvl w:val="0"/>
          <w:numId w:val="1002"/>
        </w:numPr>
        <w:pStyle w:val="Compact"/>
      </w:pPr>
      <w:r>
        <w:t xml:space="preserve">group/user postfix — Postfix получает доступ к сокету;</w:t>
      </w:r>
    </w:p>
    <w:p>
      <w:pPr>
        <w:numPr>
          <w:ilvl w:val="0"/>
          <w:numId w:val="1002"/>
        </w:numPr>
        <w:pStyle w:val="Compact"/>
      </w:pPr>
      <w:r>
        <w:t xml:space="preserve">mode 0660 — разрешения для пользователя и группы;</w:t>
      </w:r>
    </w:p>
    <w:p>
      <w:pPr>
        <w:numPr>
          <w:ilvl w:val="0"/>
          <w:numId w:val="1002"/>
        </w:numPr>
        <w:pStyle w:val="Compact"/>
      </w:pPr>
      <w:r>
        <w:t xml:space="preserve">auth-userdb — внутренний сокет Dovecot, доступный только самому Dovecot.</w:t>
      </w:r>
    </w:p>
    <w:p>
      <w:pPr>
        <w:pStyle w:val="CaptionedFigure"/>
      </w:pPr>
      <w:bookmarkStart w:id="45" w:name="fig:006"/>
      <w:r>
        <w:drawing>
          <wp:inline>
            <wp:extent cx="4985886" cy="2983831"/>
            <wp:effectExtent b="0" l="0" r="0" t="0"/>
            <wp:docPr descr="Рис. 6: service auth конфигурация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298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service auth конфигурация</w:t>
      </w:r>
    </w:p>
    <w:p>
      <w:pPr>
        <w:pStyle w:val="BodyText"/>
      </w:pPr>
      <w:r>
        <w:t xml:space="preserve">Postfix настроен на использование SASL-аутентификации через Dovecot.</w:t>
      </w:r>
    </w:p>
    <w:p>
      <w:pPr>
        <w:pStyle w:val="BodyText"/>
      </w:pPr>
      <w:r>
        <w:t xml:space="preserve">В Postfix добавлен набор ограничений:</w:t>
      </w:r>
    </w:p>
    <w:p>
      <w:pPr>
        <w:pStyle w:val="BodyText"/>
      </w:pPr>
      <w:r>
        <w:t xml:space="preserve">reject_unknown_recipient_domain</w:t>
      </w:r>
      <w:r>
        <w:br/>
      </w:r>
      <w:r>
        <w:t xml:space="preserve">permit_mynetworks</w:t>
      </w:r>
      <w:r>
        <w:br/>
      </w:r>
      <w:r>
        <w:t xml:space="preserve">reject_non_fqdn_recipient</w:t>
      </w:r>
      <w:r>
        <w:br/>
      </w:r>
      <w:r>
        <w:t xml:space="preserve">reject_unauth_destination</w:t>
      </w:r>
      <w:r>
        <w:br/>
      </w:r>
      <w:r>
        <w:t xml:space="preserve">reject_unverified_recipient</w:t>
      </w:r>
      <w:r>
        <w:br/>
      </w:r>
      <w:r>
        <w:t xml:space="preserve">permit</w:t>
      </w:r>
    </w:p>
    <w:p>
      <w:pPr>
        <w:pStyle w:val="BodyText"/>
      </w:pPr>
      <w:r>
        <w:t xml:space="preserve">Пояснение:</w:t>
      </w:r>
    </w:p>
    <w:p>
      <w:pPr>
        <w:numPr>
          <w:ilvl w:val="0"/>
          <w:numId w:val="1003"/>
        </w:numPr>
        <w:pStyle w:val="Compact"/>
      </w:pPr>
      <w:r>
        <w:t xml:space="preserve">отклонение доменов, которых не существует;</w:t>
      </w:r>
    </w:p>
    <w:p>
      <w:pPr>
        <w:numPr>
          <w:ilvl w:val="0"/>
          <w:numId w:val="1003"/>
        </w:numPr>
        <w:pStyle w:val="Compact"/>
      </w:pPr>
      <w:r>
        <w:t xml:space="preserve">разрешение для клиентов из mynetworks;</w:t>
      </w:r>
    </w:p>
    <w:p>
      <w:pPr>
        <w:numPr>
          <w:ilvl w:val="0"/>
          <w:numId w:val="1003"/>
        </w:numPr>
        <w:pStyle w:val="Compact"/>
      </w:pPr>
      <w:r>
        <w:t xml:space="preserve">защита от неполных адресов;</w:t>
      </w:r>
    </w:p>
    <w:p>
      <w:pPr>
        <w:numPr>
          <w:ilvl w:val="0"/>
          <w:numId w:val="1003"/>
        </w:numPr>
        <w:pStyle w:val="Compact"/>
      </w:pPr>
      <w:r>
        <w:t xml:space="preserve">запрет использования сервера как почтового релея;</w:t>
      </w:r>
    </w:p>
    <w:p>
      <w:pPr>
        <w:numPr>
          <w:ilvl w:val="0"/>
          <w:numId w:val="1003"/>
        </w:numPr>
        <w:pStyle w:val="Compact"/>
      </w:pPr>
      <w:r>
        <w:t xml:space="preserve">проверка существования получателя;</w:t>
      </w:r>
    </w:p>
    <w:p>
      <w:pPr>
        <w:numPr>
          <w:ilvl w:val="0"/>
          <w:numId w:val="1003"/>
        </w:numPr>
        <w:pStyle w:val="Compact"/>
      </w:pPr>
      <w:r>
        <w:t xml:space="preserve">разрешение дальнейшей обработки.</w:t>
      </w:r>
    </w:p>
    <w:p>
      <w:pPr>
        <w:pStyle w:val="CaptionedFigure"/>
      </w:pPr>
      <w:bookmarkStart w:id="49" w:name="fig:007"/>
      <w:r>
        <w:drawing>
          <wp:inline>
            <wp:extent cx="5334000" cy="740580"/>
            <wp:effectExtent b="0" l="0" r="0" t="0"/>
            <wp:docPr descr="Рис. 7: postconf ограничения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postconf ограничения</w:t>
      </w:r>
    </w:p>
    <w:p>
      <w:pPr>
        <w:pStyle w:val="BodyText"/>
      </w:pPr>
      <w:r>
        <w:t xml:space="preserve">В Postfix указано, что доверенная сеть — только 127.0.0.0/8.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добавлены параметры:</w:t>
      </w:r>
    </w:p>
    <w:p>
      <w:pPr>
        <w:pStyle w:val="BodyText"/>
      </w:pPr>
      <w:r>
        <w:t xml:space="preserve">smtp inet n - n - - smtpd</w:t>
      </w:r>
      <w:r>
        <w:br/>
      </w:r>
      <w:r>
        <w:t xml:space="preserve">  -o smtpd_sasl_auth_enable=yes</w:t>
      </w:r>
      <w:r>
        <w:br/>
      </w:r>
      <w:r>
        <w:t xml:space="preserve">  -o smtpd_recipient_restrictions=reject_non_fqdn_recipient,reject_unknown_recipient_domain,permit_sasl_authenticated,reject</w:t>
      </w:r>
    </w:p>
    <w:p>
      <w:pPr>
        <w:pStyle w:val="CaptionedFigure"/>
      </w:pPr>
      <w:bookmarkStart w:id="53" w:name="fig:008"/>
      <w:r>
        <w:drawing>
          <wp:inline>
            <wp:extent cx="5334000" cy="4029461"/>
            <wp:effectExtent b="0" l="0" r="0" t="0"/>
            <wp:docPr descr="Рис. 8: master.cf настройки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master.cf настройки</w:t>
      </w:r>
    </w:p>
    <w:p>
      <w:pPr>
        <w:pStyle w:val="BodyText"/>
      </w:pPr>
      <w:r>
        <w:t xml:space="preserve">Postfix и Dovecot были перезапущены.</w:t>
      </w:r>
    </w:p>
    <w:p>
      <w:pPr>
        <w:pStyle w:val="BodyText"/>
      </w:pPr>
      <w:r>
        <w:t xml:space="preserve">На клиенте была получена строка аутентификации в формате Base64.</w:t>
      </w:r>
      <w:r>
        <w:br/>
      </w:r>
      <w:r>
        <w:t xml:space="preserve">После подключения к SMTP-серверу введены команды EHLO и AUTH PLAIN.</w:t>
      </w:r>
      <w:r>
        <w:br/>
      </w:r>
      <w:r>
        <w:t xml:space="preserve">Аутентификация прошла успешно.</w:t>
      </w:r>
    </w:p>
    <w:p>
      <w:pPr>
        <w:pStyle w:val="CaptionedFigure"/>
      </w:pPr>
      <w:bookmarkStart w:id="57" w:name="fig:009"/>
      <w:r>
        <w:drawing>
          <wp:inline>
            <wp:extent cx="5334000" cy="4156595"/>
            <wp:effectExtent b="0" l="0" r="0" t="0"/>
            <wp:docPr descr="Рис. 9: Проверка через telnet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Проверка через telnet</w:t>
      </w:r>
    </w:p>
    <w:bookmarkEnd w:id="58"/>
    <w:bookmarkStart w:id="79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p>
      <w:pPr>
        <w:pStyle w:val="FirstParagraph"/>
      </w:pPr>
      <w:r>
        <w:t xml:space="preserve">Для активации TLS использованы временные сертификаты Dovecot.</w:t>
      </w:r>
      <w:r>
        <w:br/>
      </w:r>
      <w:r>
        <w:t xml:space="preserve">Файлы сертификата и приватного ключа были скопированы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соответствующие директории</w:t>
      </w:r>
      <w:r>
        <w:t xml:space="preserve"> </w:t>
      </w:r>
      <w:r>
        <w:rPr>
          <w:rStyle w:val="VerbatimChar"/>
        </w:rPr>
        <w:t xml:space="preserve">/etc/pki/tls/</w:t>
      </w:r>
      <w:r>
        <w:t xml:space="preserve"> </w:t>
      </w:r>
      <w:r>
        <w:t xml:space="preserve">с целью корректной работы SELinux.</w:t>
      </w:r>
    </w:p>
    <w:p>
      <w:pPr>
        <w:pStyle w:val="CaptionedFigure"/>
      </w:pPr>
      <w:bookmarkStart w:id="62" w:name="fig:010"/>
      <w:r>
        <w:drawing>
          <wp:inline>
            <wp:extent cx="5334000" cy="1101705"/>
            <wp:effectExtent b="0" l="0" r="0" t="0"/>
            <wp:docPr descr="Рис. 10: Копирование TLS-файлов и настройка Postfix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Копирование TLS-файлов и настройка Postfix</w:t>
      </w:r>
    </w:p>
    <w:p>
      <w:pPr>
        <w:pStyle w:val="BodyText"/>
      </w:pPr>
      <w:r>
        <w:t xml:space="preserve">После копирования были выполнены настройки Postfix:</w:t>
      </w:r>
    </w:p>
    <w:p>
      <w:pPr>
        <w:numPr>
          <w:ilvl w:val="0"/>
          <w:numId w:val="1004"/>
        </w:numPr>
        <w:pStyle w:val="Compact"/>
      </w:pPr>
      <w:r>
        <w:t xml:space="preserve">указаны пути к сертификату и ключу;</w:t>
      </w:r>
    </w:p>
    <w:p>
      <w:pPr>
        <w:numPr>
          <w:ilvl w:val="0"/>
          <w:numId w:val="1004"/>
        </w:numPr>
        <w:pStyle w:val="Compact"/>
      </w:pPr>
      <w:r>
        <w:t xml:space="preserve">активирована база TLS-сессий;</w:t>
      </w:r>
    </w:p>
    <w:p>
      <w:pPr>
        <w:numPr>
          <w:ilvl w:val="0"/>
          <w:numId w:val="1004"/>
        </w:numPr>
        <w:pStyle w:val="Compact"/>
      </w:pPr>
      <w:r>
        <w:t xml:space="preserve">установлен уровень безопасности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для принимающей и исходящей почты.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внесены изменения:</w:t>
      </w:r>
    </w:p>
    <w:p>
      <w:pPr>
        <w:numPr>
          <w:ilvl w:val="0"/>
          <w:numId w:val="1005"/>
        </w:numPr>
        <w:pStyle w:val="Compact"/>
      </w:pPr>
      <w:r>
        <w:t xml:space="preserve">Стандартная секция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оставлена в упрощённом виде — только вызов демона</w:t>
      </w:r>
      <w:r>
        <w:t xml:space="preserve"> </w:t>
      </w:r>
      <w:r>
        <w:rPr>
          <w:rStyle w:val="VerbatimChar"/>
        </w:rPr>
        <w:t xml:space="preserve">smtpd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Добавлена новая секция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, предназначенная для работы по порту 587.</w:t>
      </w:r>
    </w:p>
    <w:p>
      <w:pPr>
        <w:pStyle w:val="FirstParagraph"/>
      </w:pPr>
      <w:r>
        <w:t xml:space="preserve">Она включает:</w:t>
      </w:r>
    </w:p>
    <w:p>
      <w:pPr>
        <w:numPr>
          <w:ilvl w:val="0"/>
          <w:numId w:val="1006"/>
        </w:numPr>
        <w:pStyle w:val="Compact"/>
      </w:pPr>
      <w:r>
        <w:t xml:space="preserve">обязательное шифрование (</w:t>
      </w:r>
      <w:r>
        <w:rPr>
          <w:rStyle w:val="VerbatimChar"/>
        </w:rPr>
        <w:t xml:space="preserve">smtpd_tls_security_level=encrypt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поддержку SASL-аутентификации;</w:t>
      </w:r>
    </w:p>
    <w:p>
      <w:pPr>
        <w:numPr>
          <w:ilvl w:val="0"/>
          <w:numId w:val="1006"/>
        </w:numPr>
        <w:pStyle w:val="Compact"/>
      </w:pPr>
      <w:r>
        <w:t xml:space="preserve">ограничения на приём писем, аналогичные ранее настроенным.</w:t>
      </w:r>
    </w:p>
    <w:p>
      <w:pPr>
        <w:pStyle w:val="CaptionedFigure"/>
      </w:pPr>
      <w:bookmarkStart w:id="66" w:name="fig:011"/>
      <w:r>
        <w:drawing>
          <wp:inline>
            <wp:extent cx="5334000" cy="3427588"/>
            <wp:effectExtent b="0" l="0" r="0" t="0"/>
            <wp:docPr descr="Рис. 11: Конфигурация master.cf для 587-го порта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Конфигурация master.cf для 587-го порта</w:t>
      </w:r>
    </w:p>
    <w:p>
      <w:pPr>
        <w:pStyle w:val="BodyText"/>
      </w:pPr>
      <w:r>
        <w:t xml:space="preserve">Для разрешения работы службы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 </w:t>
      </w:r>
      <w:r>
        <w:t xml:space="preserve">выполнены следующие действия:</w:t>
      </w:r>
    </w:p>
    <w:p>
      <w:pPr>
        <w:numPr>
          <w:ilvl w:val="0"/>
          <w:numId w:val="1007"/>
        </w:numPr>
        <w:pStyle w:val="Compact"/>
      </w:pPr>
      <w:r>
        <w:t xml:space="preserve">просмотр доступных служб;</w:t>
      </w:r>
    </w:p>
    <w:p>
      <w:pPr>
        <w:numPr>
          <w:ilvl w:val="0"/>
          <w:numId w:val="1007"/>
        </w:numPr>
        <w:pStyle w:val="Compact"/>
      </w:pPr>
      <w:r>
        <w:t xml:space="preserve">включение службы в текущей и постоянной конфигурации;</w:t>
      </w:r>
    </w:p>
    <w:p>
      <w:pPr>
        <w:numPr>
          <w:ilvl w:val="0"/>
          <w:numId w:val="1007"/>
        </w:numPr>
        <w:pStyle w:val="Compact"/>
      </w:pPr>
      <w:r>
        <w:t xml:space="preserve">перезагрузка параметров firewall.</w:t>
      </w:r>
    </w:p>
    <w:p>
      <w:pPr>
        <w:pStyle w:val="FirstParagraph"/>
      </w:pPr>
      <w:r>
        <w:t xml:space="preserve">Это разрешило входящие соединения на порт 587.</w:t>
      </w:r>
    </w:p>
    <w:p>
      <w:pPr>
        <w:pStyle w:val="BodyText"/>
      </w:pPr>
      <w:r>
        <w:t xml:space="preserve">Postfix был перезапущен для применения TLS-настроек и параметров порта 587.</w:t>
      </w:r>
    </w:p>
    <w:p>
      <w:pPr>
        <w:pStyle w:val="BodyText"/>
      </w:pPr>
      <w:r>
        <w:t xml:space="preserve">На клиенте выполнено подключение к серверу на порту 587 с использованием команды:</w:t>
      </w:r>
    </w:p>
    <w:p>
      <w:pPr>
        <w:numPr>
          <w:ilvl w:val="0"/>
          <w:numId w:val="1008"/>
        </w:numPr>
        <w:pStyle w:val="Compact"/>
      </w:pPr>
      <w:r>
        <w:t xml:space="preserve">запуск TLS-сессии;</w:t>
      </w:r>
    </w:p>
    <w:p>
      <w:pPr>
        <w:numPr>
          <w:ilvl w:val="0"/>
          <w:numId w:val="1008"/>
        </w:numPr>
        <w:pStyle w:val="Compact"/>
      </w:pPr>
      <w:r>
        <w:t xml:space="preserve">получение сертификата сервера;</w:t>
      </w:r>
    </w:p>
    <w:p>
      <w:pPr>
        <w:numPr>
          <w:ilvl w:val="0"/>
          <w:numId w:val="1008"/>
        </w:numPr>
        <w:pStyle w:val="Compact"/>
      </w:pPr>
      <w:r>
        <w:t xml:space="preserve">выполнение команд EHLO и AUTH PLAIN.</w:t>
      </w:r>
    </w:p>
    <w:p>
      <w:pPr>
        <w:pStyle w:val="FirstParagraph"/>
      </w:pPr>
      <w:r>
        <w:t xml:space="preserve">Проверка подтвердила успешную аутентификацию.</w:t>
      </w:r>
    </w:p>
    <w:p>
      <w:pPr>
        <w:pStyle w:val="CaptionedFigure"/>
      </w:pPr>
      <w:bookmarkStart w:id="70" w:name="fig:012"/>
      <w:r>
        <w:drawing>
          <wp:inline>
            <wp:extent cx="5334000" cy="3989933"/>
            <wp:effectExtent b="0" l="0" r="0" t="0"/>
            <wp:docPr descr="Рис. 12: Проверка TLS-подключения через openssl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Проверка TLS-подключения через openssl</w:t>
      </w:r>
    </w:p>
    <w:p>
      <w:pPr>
        <w:pStyle w:val="BodyText"/>
      </w:pPr>
      <w:r>
        <w:t xml:space="preserve">На клиентской машине в почтовой программе Evolution были скорректированы параметры SMTP:</w:t>
      </w:r>
    </w:p>
    <w:p>
      <w:pPr>
        <w:numPr>
          <w:ilvl w:val="0"/>
          <w:numId w:val="1009"/>
        </w:numPr>
        <w:pStyle w:val="Compact"/>
      </w:pPr>
      <w:r>
        <w:t xml:space="preserve">порт:</w:t>
      </w:r>
      <w:r>
        <w:t xml:space="preserve"> </w:t>
      </w:r>
      <w:r>
        <w:rPr>
          <w:bCs/>
          <w:b/>
        </w:rPr>
        <w:t xml:space="preserve">587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метод защиты:</w:t>
      </w:r>
      <w:r>
        <w:t xml:space="preserve"> </w:t>
      </w:r>
      <w:r>
        <w:rPr>
          <w:bCs/>
          <w:b/>
        </w:rPr>
        <w:t xml:space="preserve">STARTTLS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тип аутентификации:</w:t>
      </w:r>
      <w:r>
        <w:t xml:space="preserve"> </w:t>
      </w:r>
      <w:r>
        <w:rPr>
          <w:bCs/>
          <w:b/>
        </w:rPr>
        <w:t xml:space="preserve">обычный пароль</w:t>
      </w:r>
      <w:r>
        <w:t xml:space="preserve">.</w:t>
      </w:r>
    </w:p>
    <w:p>
      <w:pPr>
        <w:pStyle w:val="FirstParagraph"/>
      </w:pPr>
      <w:r>
        <w:t xml:space="preserve">После изменения настроек выполнена отправка тестового письма, которое успешно доставлено на сервер.</w:t>
      </w:r>
    </w:p>
    <w:p>
      <w:pPr>
        <w:pStyle w:val="CaptionedFigure"/>
      </w:pPr>
      <w:bookmarkStart w:id="74" w:name="fig:013"/>
      <w:r>
        <w:drawing>
          <wp:inline>
            <wp:extent cx="5334000" cy="3976379"/>
            <wp:effectExtent b="0" l="0" r="0" t="0"/>
            <wp:docPr descr="Рис. 13: Проверка отправки через Evolution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Проверка отправки через Evolution</w:t>
      </w:r>
    </w:p>
    <w:p>
      <w:pPr>
        <w:pStyle w:val="BodyText"/>
      </w:pPr>
      <w:r>
        <w:t xml:space="preserve">При активном мониторинге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зафиксированы следующие действия:</w:t>
      </w:r>
    </w:p>
    <w:p>
      <w:pPr>
        <w:numPr>
          <w:ilvl w:val="0"/>
          <w:numId w:val="1010"/>
        </w:numPr>
        <w:pStyle w:val="Compact"/>
      </w:pPr>
      <w:r>
        <w:t xml:space="preserve">успешная TLS-аутентификация пользователя;</w:t>
      </w:r>
    </w:p>
    <w:p>
      <w:pPr>
        <w:numPr>
          <w:ilvl w:val="0"/>
          <w:numId w:val="1010"/>
        </w:numPr>
        <w:pStyle w:val="Compact"/>
      </w:pPr>
      <w:r>
        <w:t xml:space="preserve">получение письма через SMTP-submission;</w:t>
      </w:r>
    </w:p>
    <w:p>
      <w:pPr>
        <w:numPr>
          <w:ilvl w:val="0"/>
          <w:numId w:val="1010"/>
        </w:numPr>
        <w:pStyle w:val="Compact"/>
      </w:pPr>
      <w:r>
        <w:t xml:space="preserve">передача сообщения Postfix-ом в Dovecot по LMTP;</w:t>
      </w:r>
    </w:p>
    <w:p>
      <w:pPr>
        <w:numPr>
          <w:ilvl w:val="0"/>
          <w:numId w:val="1010"/>
        </w:numPr>
        <w:pStyle w:val="Compact"/>
      </w:pPr>
      <w:r>
        <w:t xml:space="preserve">успешная доставка сообщения в INBOX.</w:t>
      </w:r>
    </w:p>
    <w:p>
      <w:pPr>
        <w:pStyle w:val="FirstParagraph"/>
      </w:pPr>
      <w:r>
        <w:t xml:space="preserve">Логи подтверждают корректность TLS-шифрования и работы SASL.</w:t>
      </w:r>
    </w:p>
    <w:p>
      <w:pPr>
        <w:pStyle w:val="CaptionedFigure"/>
      </w:pPr>
      <w:bookmarkStart w:id="78" w:name="fig:014"/>
      <w:r>
        <w:drawing>
          <wp:inline>
            <wp:extent cx="5334000" cy="1702915"/>
            <wp:effectExtent b="0" l="0" r="0" t="0"/>
            <wp:docPr descr="Рис. 14: Фрагмент логов доставки письм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Фрагмент логов доставки письма</w:t>
      </w:r>
    </w:p>
    <w:bookmarkEnd w:id="79"/>
    <w:bookmarkStart w:id="92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сервере выполнен переход в каталог конфигурации и копирование всех настроек Dovecot и Postfix в структуру директорий provisioning-среды.</w:t>
      </w:r>
    </w:p>
    <w:p>
      <w:pPr>
        <w:numPr>
          <w:ilvl w:val="0"/>
          <w:numId w:val="1011"/>
        </w:numPr>
        <w:pStyle w:val="Compact"/>
      </w:pPr>
      <w:r>
        <w:t xml:space="preserve">скопирован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скоплены файлы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создан каталог для файлов Postfix и перенесён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.</w:t>
      </w:r>
    </w:p>
    <w:p>
      <w:pPr>
        <w:pStyle w:val="CaptionedFigure"/>
      </w:pPr>
      <w:bookmarkStart w:id="83" w:name="fig:015"/>
      <w:r>
        <w:drawing>
          <wp:inline>
            <wp:extent cx="5334000" cy="1019432"/>
            <wp:effectExtent b="0" l="0" r="0" t="0"/>
            <wp:docPr descr="Рис. 15: Копирование конфигурационных файлов в окружение Vagrant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Копирование конфигурационных файлов в окружение Vagrant</w:t>
      </w:r>
    </w:p>
    <w:p>
      <w:pPr>
        <w:numPr>
          <w:ilvl w:val="0"/>
          <w:numId w:val="1012"/>
        </w:numPr>
        <w:pStyle w:val="Compact"/>
      </w:pPr>
      <w:r>
        <w:t xml:space="preserve">установка необходимых пакетов;</w:t>
      </w:r>
    </w:p>
    <w:p>
      <w:pPr>
        <w:numPr>
          <w:ilvl w:val="0"/>
          <w:numId w:val="1012"/>
        </w:numPr>
        <w:pStyle w:val="Compact"/>
      </w:pPr>
      <w:r>
        <w:t xml:space="preserve">копирование конфигураций;</w:t>
      </w:r>
    </w:p>
    <w:p>
      <w:pPr>
        <w:numPr>
          <w:ilvl w:val="0"/>
          <w:numId w:val="1012"/>
        </w:numPr>
        <w:pStyle w:val="Compact"/>
      </w:pPr>
      <w:r>
        <w:t xml:space="preserve">настройка SELinux-контекстов;</w:t>
      </w:r>
    </w:p>
    <w:p>
      <w:pPr>
        <w:numPr>
          <w:ilvl w:val="0"/>
          <w:numId w:val="1012"/>
        </w:numPr>
        <w:pStyle w:val="Compact"/>
      </w:pPr>
      <w:r>
        <w:t xml:space="preserve">добавление правил firewalld;</w:t>
      </w:r>
    </w:p>
    <w:p>
      <w:pPr>
        <w:numPr>
          <w:ilvl w:val="0"/>
          <w:numId w:val="1012"/>
        </w:numPr>
        <w:pStyle w:val="Compact"/>
      </w:pPr>
      <w:r>
        <w:t xml:space="preserve">обновлённая конфигурация Postfix (включая mydomain, myorigin, TLS, SASL и др.).</w:t>
      </w:r>
    </w:p>
    <w:p>
      <w:pPr>
        <w:pStyle w:val="CaptionedFigure"/>
      </w:pPr>
      <w:bookmarkStart w:id="87" w:name="fig:016"/>
      <w:r>
        <w:drawing>
          <wp:inline>
            <wp:extent cx="5334000" cy="3741358"/>
            <wp:effectExtent b="0" l="0" r="0" t="0"/>
            <wp:docPr descr="Рис. 16: Расширенная версия mail.sh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Расширенная версия mail.sh</w:t>
      </w:r>
    </w:p>
    <w:p>
      <w:pPr>
        <w:pStyle w:val="BodyText"/>
      </w:pPr>
      <w:r>
        <w:t xml:space="preserve">Также обновлён provisioning-скрипт клиента — туда добавлена установка Evolution и telnet.</w:t>
      </w:r>
    </w:p>
    <w:p>
      <w:pPr>
        <w:pStyle w:val="CaptionedFigure"/>
      </w:pPr>
      <w:bookmarkStart w:id="91" w:name="fig:017"/>
      <w:r>
        <w:drawing>
          <wp:inline>
            <wp:extent cx="5334000" cy="2543615"/>
            <wp:effectExtent b="0" l="0" r="0" t="0"/>
            <wp:docPr descr="Рис. 17: Provisioning-скрипт клиента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Provisioning-скрипт клиента</w:t>
      </w:r>
    </w:p>
    <w:bookmarkEnd w:id="92"/>
    <w:bookmarkEnd w:id="93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Приведите пример задания формата аутентификации пользователя в Dovecot в форме логина с указанием домена.</w:t>
      </w:r>
      <w:r>
        <w:t xml:space="preserve"> </w:t>
      </w:r>
      <w:r>
        <w:t xml:space="preserve">Для аутентификации в виде</w:t>
      </w:r>
      <w:r>
        <w:t xml:space="preserve"> </w:t>
      </w:r>
      <w:r>
        <w:rPr>
          <w:iCs/>
          <w:i/>
        </w:rPr>
        <w:t xml:space="preserve">логин@домен</w:t>
      </w:r>
      <w:r>
        <w:t xml:space="preserve"> </w:t>
      </w:r>
      <w:r>
        <w:t xml:space="preserve">используется переменная</w:t>
      </w:r>
      <w:r>
        <w:t xml:space="preserve"> </w:t>
      </w:r>
      <w:r>
        <w:rPr>
          <w:rStyle w:val="VerbatimChar"/>
        </w:rPr>
        <w:t xml:space="preserve">%Lu</w:t>
      </w:r>
      <w:r>
        <w:t xml:space="preserve">, сохраняющая имя пользователя в нижнем регистре вместе с доменной частью.</w:t>
      </w:r>
      <w:r>
        <w:t xml:space="preserve"> </w:t>
      </w:r>
      <w:r>
        <w:t xml:space="preserve">Пример строки конфигурации в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auth_username_format = %Lu</w:t>
      </w:r>
    </w:p>
    <w:p>
      <w:pPr>
        <w:numPr>
          <w:ilvl w:val="0"/>
          <w:numId w:val="1000"/>
        </w:numPr>
      </w:pPr>
      <w:r>
        <w:t xml:space="preserve">В этом случае пользователь должен вводить логин полностью, включая домен</w:t>
      </w:r>
      <w:r>
        <w:t xml:space="preserve"> </w:t>
      </w:r>
      <w:r>
        <w:t xml:space="preserve">(например:</w:t>
      </w:r>
      <w:r>
        <w:t xml:space="preserve"> </w:t>
      </w:r>
      <w:hyperlink r:id="rId94">
        <w:r>
          <w:rPr>
            <w:rStyle w:val="Hyperlink"/>
            <w:iCs/>
            <w:i/>
          </w:rPr>
          <w:t xml:space="preserve">user@example.net</w:t>
        </w:r>
      </w:hyperlink>
      <w:r>
        <w:t xml:space="preserve">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Какие функции выполняет почтовый Relay-сервер?</w:t>
      </w:r>
      <w:r>
        <w:t xml:space="preserve"> </w:t>
      </w:r>
      <w:r>
        <w:t xml:space="preserve">Relay-сервер — это промежуточный SMTP-сервер, передающий сообщения от одного почтового узла к другому. Его основные функции:</w:t>
      </w:r>
    </w:p>
    <w:p>
      <w:pPr>
        <w:numPr>
          <w:ilvl w:val="1"/>
          <w:numId w:val="1014"/>
        </w:numPr>
        <w:pStyle w:val="Compact"/>
      </w:pPr>
      <w:r>
        <w:t xml:space="preserve">приём почты от внешних или внутренних клиентов;</w:t>
      </w:r>
    </w:p>
    <w:p>
      <w:pPr>
        <w:numPr>
          <w:ilvl w:val="1"/>
          <w:numId w:val="1014"/>
        </w:numPr>
        <w:pStyle w:val="Compact"/>
      </w:pPr>
      <w:r>
        <w:t xml:space="preserve">маршрутизация сообщений к целевым почтовым серверам по SMTP;</w:t>
      </w:r>
    </w:p>
    <w:p>
      <w:pPr>
        <w:numPr>
          <w:ilvl w:val="1"/>
          <w:numId w:val="1014"/>
        </w:numPr>
        <w:pStyle w:val="Compact"/>
      </w:pPr>
      <w:r>
        <w:t xml:space="preserve">обеспечение доставки в случае, если конечный сервер временно недоступен (очередь сообщений);</w:t>
      </w:r>
    </w:p>
    <w:p>
      <w:pPr>
        <w:numPr>
          <w:ilvl w:val="1"/>
          <w:numId w:val="1014"/>
        </w:numPr>
        <w:pStyle w:val="Compact"/>
      </w:pPr>
      <w:r>
        <w:t xml:space="preserve">контроль и фильтрация трафика (антиспам, антивирус при соответствующей настройке);</w:t>
      </w:r>
    </w:p>
    <w:p>
      <w:pPr>
        <w:numPr>
          <w:ilvl w:val="1"/>
          <w:numId w:val="1014"/>
        </w:numPr>
        <w:pStyle w:val="Compact"/>
      </w:pPr>
      <w:r>
        <w:t xml:space="preserve">балансировка нагрузки между несколькими MTA.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Какие угрозы безопасности могут возникнуть при настройке почтового сервера как Relay-сервера?</w:t>
      </w:r>
      <w:r>
        <w:t xml:space="preserve"> </w:t>
      </w:r>
      <w:r>
        <w:t xml:space="preserve">Если сервер неправильно настроен и становится</w:t>
      </w:r>
      <w:r>
        <w:t xml:space="preserve"> </w:t>
      </w:r>
      <w:r>
        <w:rPr>
          <w:iCs/>
          <w:i/>
        </w:rPr>
        <w:t xml:space="preserve">open relay</w:t>
      </w:r>
      <w:r>
        <w:t xml:space="preserve">, возникают серьёзные риски:</w:t>
      </w:r>
    </w:p>
    <w:p>
      <w:pPr>
        <w:numPr>
          <w:ilvl w:val="1"/>
          <w:numId w:val="1015"/>
        </w:numPr>
        <w:pStyle w:val="Compact"/>
      </w:pPr>
      <w:r>
        <w:t xml:space="preserve">злоумышленники могут использовать сервер для массовой спам-рассылки;</w:t>
      </w:r>
    </w:p>
    <w:p>
      <w:pPr>
        <w:numPr>
          <w:ilvl w:val="1"/>
          <w:numId w:val="1015"/>
        </w:numPr>
        <w:pStyle w:val="Compact"/>
      </w:pPr>
      <w:r>
        <w:t xml:space="preserve">IP-адрес сервера будет добавлен в чёрные списки, что нарушит доставку легитимной почты;</w:t>
      </w:r>
    </w:p>
    <w:p>
      <w:pPr>
        <w:numPr>
          <w:ilvl w:val="1"/>
          <w:numId w:val="1015"/>
        </w:numPr>
        <w:pStyle w:val="Compact"/>
      </w:pPr>
      <w:r>
        <w:t xml:space="preserve">увеличится нагрузка на систему (переполнение очередей, исчерпание ресурсов);</w:t>
      </w:r>
    </w:p>
    <w:p>
      <w:pPr>
        <w:numPr>
          <w:ilvl w:val="1"/>
          <w:numId w:val="1015"/>
        </w:numPr>
        <w:pStyle w:val="Compact"/>
      </w:pPr>
      <w:r>
        <w:t xml:space="preserve">возможны атаки типа spoofing — рассылка писем с поддельными адресами отправителей;</w:t>
      </w:r>
    </w:p>
    <w:p>
      <w:pPr>
        <w:numPr>
          <w:ilvl w:val="1"/>
          <w:numId w:val="1015"/>
        </w:numPr>
        <w:pStyle w:val="Compact"/>
      </w:pPr>
      <w:r>
        <w:t xml:space="preserve">компрометация репутации домена и нарушение безопасности почтовой инфраструктуры.</w:t>
      </w:r>
    </w:p>
    <w:p>
      <w:pPr>
        <w:numPr>
          <w:ilvl w:val="0"/>
          <w:numId w:val="1000"/>
        </w:numPr>
      </w:pPr>
      <w:r>
        <w:t xml:space="preserve">Поэтому важно ограничивать пересылку только доверенным сетям и аутентифицированным пользователям.</w:t>
      </w:r>
    </w:p>
    <w:bookmarkEnd w:id="95"/>
    <w:bookmarkStart w:id="9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выполненной работы была произведена полная настройка почтовой системы на базе Postfix и Dovecot, включая поддержку LMTP, SMTP-аутентификации и работу SMTP over TLS. Настроены взаимодействие Postfix с Dovecot через unix-сокеты, формат аутентификации пользователей, ограничения на приём почты и параметры безопасности. Проведены проверки доставки сообщений с клиента, а также протестирована работа почтового клиента с использованием защищённого соединения по порту 587.</w:t>
      </w:r>
    </w:p>
    <w:p>
      <w:pPr>
        <w:pStyle w:val="BodyText"/>
      </w:pPr>
      <w:r>
        <w:t xml:space="preserve">Дополнительно выполнена интеграция конфигурационных файлов в систему автоматического развёртывания Vagrant, что обеспечивает воспроизводимость и переносимость настроенного окружения. Полученные навыки позволяют уверенно управлять компонентами почтовой инфраструктуры, понимать механизмы взаимодействия MTA и MDA, а также реализовывать безопасные каналы передачи электронной почты.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94" Target="mailto:user@example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mailto:user@example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Владимир Базлов</dc:creator>
  <dc:language>ru-RU</dc:language>
  <cp:keywords/>
  <dcterms:created xsi:type="dcterms:W3CDTF">2025-11-30T09:17:16Z</dcterms:created>
  <dcterms:modified xsi:type="dcterms:W3CDTF">2025-11-30T09:17:16Z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