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A9F28" w14:textId="4DE9305A" w:rsidR="004B2038" w:rsidRPr="00382579" w:rsidRDefault="00725ECE" w:rsidP="004C4C68">
      <w:pPr>
        <w:jc w:val="center"/>
        <w:rPr>
          <w:b/>
          <w:bCs/>
          <w:sz w:val="36"/>
          <w:szCs w:val="36"/>
        </w:rPr>
      </w:pPr>
      <w:r w:rsidRPr="00382579">
        <w:rPr>
          <w:b/>
          <w:bCs/>
          <w:sz w:val="36"/>
          <w:szCs w:val="36"/>
        </w:rPr>
        <w:t xml:space="preserve">From </w:t>
      </w:r>
      <w:r w:rsidR="00F00106" w:rsidRPr="00382579">
        <w:rPr>
          <w:b/>
          <w:bCs/>
          <w:sz w:val="36"/>
          <w:szCs w:val="36"/>
        </w:rPr>
        <w:t>‘</w:t>
      </w:r>
      <w:r w:rsidR="00BA76B5" w:rsidRPr="00382579">
        <w:rPr>
          <w:rFonts w:hint="eastAsia"/>
          <w:b/>
          <w:bCs/>
          <w:sz w:val="36"/>
          <w:szCs w:val="36"/>
        </w:rPr>
        <w:t>a</w:t>
      </w:r>
      <w:r w:rsidRPr="00382579">
        <w:rPr>
          <w:b/>
          <w:bCs/>
          <w:sz w:val="36"/>
          <w:szCs w:val="36"/>
        </w:rPr>
        <w:t xml:space="preserve">udit </w:t>
      </w:r>
      <w:r w:rsidR="00BA76B5" w:rsidRPr="00382579">
        <w:rPr>
          <w:rFonts w:hint="eastAsia"/>
          <w:b/>
          <w:bCs/>
          <w:sz w:val="36"/>
          <w:szCs w:val="36"/>
        </w:rPr>
        <w:t>s</w:t>
      </w:r>
      <w:r w:rsidRPr="00382579">
        <w:rPr>
          <w:b/>
          <w:bCs/>
          <w:sz w:val="36"/>
          <w:szCs w:val="36"/>
        </w:rPr>
        <w:t>ociety</w:t>
      </w:r>
      <w:r w:rsidR="00F00106" w:rsidRPr="00382579">
        <w:rPr>
          <w:b/>
          <w:bCs/>
          <w:sz w:val="36"/>
          <w:szCs w:val="36"/>
        </w:rPr>
        <w:t>’</w:t>
      </w:r>
      <w:r w:rsidRPr="00382579">
        <w:rPr>
          <w:b/>
          <w:bCs/>
          <w:sz w:val="36"/>
          <w:szCs w:val="36"/>
        </w:rPr>
        <w:t xml:space="preserve"> to </w:t>
      </w:r>
      <w:r w:rsidR="00F00106" w:rsidRPr="00382579">
        <w:rPr>
          <w:b/>
          <w:bCs/>
          <w:sz w:val="36"/>
          <w:szCs w:val="36"/>
        </w:rPr>
        <w:t>‘</w:t>
      </w:r>
      <w:r w:rsidR="0022417C" w:rsidRPr="00382579">
        <w:rPr>
          <w:b/>
          <w:bCs/>
          <w:sz w:val="36"/>
          <w:szCs w:val="36"/>
        </w:rPr>
        <w:t>audit planet</w:t>
      </w:r>
      <w:r w:rsidR="00F00106" w:rsidRPr="00382579">
        <w:rPr>
          <w:b/>
          <w:bCs/>
          <w:sz w:val="36"/>
          <w:szCs w:val="36"/>
        </w:rPr>
        <w:t>’</w:t>
      </w:r>
    </w:p>
    <w:p w14:paraId="614F3A1C" w14:textId="13F0C643" w:rsidR="00166F8E" w:rsidRPr="00382579" w:rsidRDefault="00166F8E" w:rsidP="004C4C68">
      <w:pPr>
        <w:jc w:val="center"/>
        <w:rPr>
          <w:sz w:val="36"/>
          <w:szCs w:val="36"/>
        </w:rPr>
      </w:pPr>
      <w:r w:rsidRPr="00382579">
        <w:rPr>
          <w:sz w:val="36"/>
          <w:szCs w:val="36"/>
        </w:rPr>
        <w:t xml:space="preserve">A systematic review of </w:t>
      </w:r>
      <w:r w:rsidR="00EF4950" w:rsidRPr="00382579">
        <w:rPr>
          <w:sz w:val="36"/>
          <w:szCs w:val="36"/>
        </w:rPr>
        <w:t xml:space="preserve">the </w:t>
      </w:r>
      <w:r w:rsidR="00FE4D56" w:rsidRPr="00382579">
        <w:rPr>
          <w:sz w:val="36"/>
          <w:szCs w:val="36"/>
        </w:rPr>
        <w:t>non-financial information assurance</w:t>
      </w:r>
      <w:r w:rsidR="00EF4950" w:rsidRPr="00382579">
        <w:rPr>
          <w:sz w:val="36"/>
          <w:szCs w:val="36"/>
        </w:rPr>
        <w:t xml:space="preserve"> literature</w:t>
      </w:r>
      <w:r w:rsidR="00C31153" w:rsidRPr="00382579">
        <w:rPr>
          <w:sz w:val="36"/>
          <w:szCs w:val="36"/>
        </w:rPr>
        <w:t xml:space="preserve"> (199</w:t>
      </w:r>
      <w:r w:rsidR="00A206C8" w:rsidRPr="00382579">
        <w:rPr>
          <w:sz w:val="36"/>
          <w:szCs w:val="36"/>
        </w:rPr>
        <w:t>0</w:t>
      </w:r>
      <w:r w:rsidR="00C31153" w:rsidRPr="00382579">
        <w:rPr>
          <w:sz w:val="36"/>
          <w:szCs w:val="36"/>
        </w:rPr>
        <w:t xml:space="preserve"> – 202</w:t>
      </w:r>
      <w:r w:rsidR="0022417C" w:rsidRPr="00382579">
        <w:rPr>
          <w:sz w:val="36"/>
          <w:szCs w:val="36"/>
        </w:rPr>
        <w:t>5</w:t>
      </w:r>
      <w:r w:rsidR="00C31153" w:rsidRPr="00382579">
        <w:rPr>
          <w:sz w:val="36"/>
          <w:szCs w:val="36"/>
        </w:rPr>
        <w:t>)</w:t>
      </w:r>
    </w:p>
    <w:p w14:paraId="4A0902E8" w14:textId="392BA5E1" w:rsidR="00C2373E" w:rsidRPr="00382579" w:rsidRDefault="00CD0B90">
      <w:pPr>
        <w:rPr>
          <w:b/>
          <w:bCs/>
        </w:rPr>
      </w:pPr>
      <w:r w:rsidRPr="00382579">
        <w:rPr>
          <w:b/>
          <w:bCs/>
        </w:rPr>
        <w:t>Abstract</w:t>
      </w:r>
    </w:p>
    <w:p w14:paraId="79DC5D61" w14:textId="77777777" w:rsidR="00C2373E" w:rsidRPr="004D270F" w:rsidRDefault="009735AF">
      <w:pPr>
        <w:rPr>
          <w:b/>
          <w:bCs/>
          <w:sz w:val="20"/>
          <w:szCs w:val="20"/>
        </w:rPr>
      </w:pPr>
      <w:r w:rsidRPr="004D270F">
        <w:rPr>
          <w:b/>
          <w:bCs/>
          <w:sz w:val="20"/>
          <w:szCs w:val="20"/>
        </w:rPr>
        <w:t>Purpose</w:t>
      </w:r>
    </w:p>
    <w:p w14:paraId="095597EC" w14:textId="387EE06B" w:rsidR="006E2C46" w:rsidRPr="004D270F" w:rsidRDefault="006E2C46">
      <w:pPr>
        <w:rPr>
          <w:sz w:val="20"/>
          <w:szCs w:val="20"/>
        </w:rPr>
      </w:pPr>
      <w:r w:rsidRPr="004D270F">
        <w:rPr>
          <w:sz w:val="20"/>
          <w:szCs w:val="20"/>
        </w:rPr>
        <w:t>Non-financial information assurance (NFIA) has expanded over the past 35 years across public-sector performance audit, sustainability and ESG assurance, and environmental and carbon verification. Despite this growth, the literature remains fragmented across subdomains. This review examines the evolution of empirical NFIA research and assesses its engagement with Michael Power’s later refinements of the audit society.</w:t>
      </w:r>
    </w:p>
    <w:p w14:paraId="3C828866" w14:textId="77777777" w:rsidR="00C2373E" w:rsidRPr="004D270F" w:rsidRDefault="00CD5CDF">
      <w:pPr>
        <w:rPr>
          <w:b/>
          <w:bCs/>
          <w:sz w:val="20"/>
          <w:szCs w:val="20"/>
        </w:rPr>
      </w:pPr>
      <w:r w:rsidRPr="004D270F">
        <w:rPr>
          <w:b/>
          <w:bCs/>
          <w:sz w:val="20"/>
          <w:szCs w:val="20"/>
        </w:rPr>
        <w:t>Design/methodology/approach</w:t>
      </w:r>
    </w:p>
    <w:p w14:paraId="34FB3BD8" w14:textId="0490A583" w:rsidR="006E2C46" w:rsidRPr="004D270F" w:rsidRDefault="006E2C46">
      <w:pPr>
        <w:rPr>
          <w:sz w:val="20"/>
          <w:szCs w:val="20"/>
        </w:rPr>
      </w:pPr>
      <w:r w:rsidRPr="004D270F">
        <w:rPr>
          <w:sz w:val="20"/>
          <w:szCs w:val="20"/>
        </w:rPr>
        <w:t>The study conducts a systematic literature review of 124 empirical NFIA studies published between 1990 and 2025 in A and A* accounting and auditing journals. Descriptive and bibliometric analyses are combined with inductive full-text coding, interpreted through Power’s audit society refinements, to produce a longitudinal, field-level synthesis.</w:t>
      </w:r>
    </w:p>
    <w:p w14:paraId="16106069" w14:textId="77777777" w:rsidR="00C2373E" w:rsidRPr="004D270F" w:rsidRDefault="00F530D1" w:rsidP="00F530D1">
      <w:pPr>
        <w:rPr>
          <w:b/>
          <w:bCs/>
          <w:sz w:val="20"/>
          <w:szCs w:val="20"/>
        </w:rPr>
      </w:pPr>
      <w:r w:rsidRPr="004D270F">
        <w:rPr>
          <w:b/>
          <w:bCs/>
          <w:sz w:val="20"/>
          <w:szCs w:val="20"/>
        </w:rPr>
        <w:t>Findings</w:t>
      </w:r>
    </w:p>
    <w:p w14:paraId="4E4997B8" w14:textId="132287E0" w:rsidR="006E2C46" w:rsidRPr="004D270F" w:rsidRDefault="006E2C46" w:rsidP="002D29E8">
      <w:pPr>
        <w:rPr>
          <w:sz w:val="20"/>
          <w:szCs w:val="20"/>
        </w:rPr>
      </w:pPr>
      <w:r w:rsidRPr="004D270F">
        <w:rPr>
          <w:sz w:val="20"/>
          <w:szCs w:val="20"/>
        </w:rPr>
        <w:t xml:space="preserve">The analysis identifies a shift from early public-sector performance auditing towards market-facing sustainability and ESG assurance, alongside emerging carbon and climate-related practices. Across domains, </w:t>
      </w:r>
      <w:r w:rsidR="00090A2C" w:rsidRPr="00090A2C">
        <w:rPr>
          <w:sz w:val="20"/>
          <w:szCs w:val="20"/>
        </w:rPr>
        <w:t>Across the literature, assurance work is directed less toward testing underlying performance and more toward producing defensible procedures—credibility and risk management tend to displace substantive verification.</w:t>
      </w:r>
      <w:r w:rsidR="00090A2C">
        <w:rPr>
          <w:sz w:val="20"/>
          <w:szCs w:val="20"/>
        </w:rPr>
        <w:t xml:space="preserve"> </w:t>
      </w:r>
      <w:r w:rsidRPr="004D270F">
        <w:rPr>
          <w:sz w:val="20"/>
          <w:szCs w:val="20"/>
        </w:rPr>
        <w:t>Quantitative studies emphasise market effects, while qualitative research reveals negotiated auditability, hybrid expertise, and unstable professional jurisdictions, reflecting the transformation of audit into an infrastructural condition of governance.</w:t>
      </w:r>
    </w:p>
    <w:p w14:paraId="1A82A6E4" w14:textId="67E09CAA" w:rsidR="002D29E8" w:rsidRPr="004D270F" w:rsidRDefault="005F2A82" w:rsidP="002D29E8">
      <w:pPr>
        <w:rPr>
          <w:b/>
          <w:bCs/>
          <w:sz w:val="20"/>
          <w:szCs w:val="20"/>
        </w:rPr>
      </w:pPr>
      <w:r w:rsidRPr="004D270F">
        <w:rPr>
          <w:b/>
          <w:bCs/>
          <w:sz w:val="20"/>
          <w:szCs w:val="20"/>
        </w:rPr>
        <w:t>Research limitations/implications</w:t>
      </w:r>
    </w:p>
    <w:p w14:paraId="64471B6B" w14:textId="2800CE10" w:rsidR="000E0FA1" w:rsidRPr="004D270F" w:rsidRDefault="000E0FA1" w:rsidP="002D29E8">
      <w:pPr>
        <w:rPr>
          <w:sz w:val="20"/>
          <w:szCs w:val="20"/>
        </w:rPr>
      </w:pPr>
      <w:r w:rsidRPr="004D270F">
        <w:rPr>
          <w:sz w:val="20"/>
          <w:szCs w:val="20"/>
        </w:rPr>
        <w:t>By integrating previously siloed assurance domains, the review identifies persistent blind spots, particularly in early-stage auditability construction, political and managerial mediation, and carbon and climate assurance</w:t>
      </w:r>
    </w:p>
    <w:p w14:paraId="2317FCC8" w14:textId="1069CB7F" w:rsidR="00E706AD" w:rsidRPr="004D270F" w:rsidRDefault="00CD5CDF">
      <w:pPr>
        <w:rPr>
          <w:sz w:val="20"/>
          <w:szCs w:val="20"/>
        </w:rPr>
      </w:pPr>
      <w:r w:rsidRPr="004D270F">
        <w:rPr>
          <w:b/>
          <w:bCs/>
          <w:sz w:val="20"/>
          <w:szCs w:val="20"/>
        </w:rPr>
        <w:t xml:space="preserve">Originality/value </w:t>
      </w:r>
    </w:p>
    <w:p w14:paraId="4E21341E" w14:textId="00BAA335" w:rsidR="000E0FA1" w:rsidRPr="004D270F" w:rsidRDefault="000E0FA1">
      <w:pPr>
        <w:rPr>
          <w:sz w:val="20"/>
          <w:szCs w:val="20"/>
        </w:rPr>
      </w:pPr>
      <w:r w:rsidRPr="004D270F">
        <w:rPr>
          <w:sz w:val="20"/>
          <w:szCs w:val="20"/>
        </w:rPr>
        <w:t xml:space="preserve">This review provides the first longitudinal, field-level synthesis of empirical NFIA research interpreted through Power’s later audit society refinements. </w:t>
      </w:r>
      <w:r w:rsidR="00BA308A" w:rsidRPr="00BA308A">
        <w:rPr>
          <w:sz w:val="20"/>
          <w:szCs w:val="20"/>
        </w:rPr>
        <w:t>It proposes the idea of an ‘audit planet’ to describe how verification increasingly operates as background infrastructure rather than as a discrete checking activity.</w:t>
      </w:r>
    </w:p>
    <w:p w14:paraId="70D141B6" w14:textId="55D68E25" w:rsidR="008F53EF" w:rsidRPr="004D270F" w:rsidRDefault="00CD5CDF">
      <w:pPr>
        <w:rPr>
          <w:b/>
          <w:bCs/>
          <w:sz w:val="20"/>
          <w:szCs w:val="20"/>
        </w:rPr>
      </w:pPr>
      <w:r w:rsidRPr="004D270F">
        <w:rPr>
          <w:b/>
          <w:bCs/>
          <w:sz w:val="20"/>
          <w:szCs w:val="20"/>
        </w:rPr>
        <w:t>Keywords</w:t>
      </w:r>
      <w:r w:rsidR="00150F46" w:rsidRPr="004D270F">
        <w:rPr>
          <w:rFonts w:hint="eastAsia"/>
          <w:b/>
          <w:bCs/>
          <w:sz w:val="20"/>
          <w:szCs w:val="20"/>
        </w:rPr>
        <w:t xml:space="preserve"> </w:t>
      </w:r>
    </w:p>
    <w:p w14:paraId="0C4D0413" w14:textId="4A2E770A" w:rsidR="005E2368" w:rsidRPr="004D270F" w:rsidRDefault="005E2368">
      <w:pPr>
        <w:rPr>
          <w:sz w:val="20"/>
          <w:szCs w:val="20"/>
        </w:rPr>
      </w:pPr>
      <w:r w:rsidRPr="004D270F">
        <w:rPr>
          <w:sz w:val="20"/>
          <w:szCs w:val="20"/>
        </w:rPr>
        <w:t>Non-financial information assurance; systematic literature review; audit society; sustainability assurance; performance audit; carbon assurance</w:t>
      </w:r>
    </w:p>
    <w:p w14:paraId="724C500E" w14:textId="77777777" w:rsidR="006B5217" w:rsidRPr="004D270F" w:rsidRDefault="00EA34C0">
      <w:pPr>
        <w:rPr>
          <w:b/>
          <w:bCs/>
          <w:sz w:val="20"/>
          <w:szCs w:val="20"/>
        </w:rPr>
      </w:pPr>
      <w:r w:rsidRPr="004D270F">
        <w:rPr>
          <w:b/>
          <w:bCs/>
          <w:sz w:val="20"/>
          <w:szCs w:val="20"/>
        </w:rPr>
        <w:t>Paper type</w:t>
      </w:r>
      <w:r w:rsidR="00A31996" w:rsidRPr="004D270F">
        <w:rPr>
          <w:b/>
          <w:bCs/>
          <w:sz w:val="20"/>
          <w:szCs w:val="20"/>
        </w:rPr>
        <w:t xml:space="preserve"> </w:t>
      </w:r>
    </w:p>
    <w:p w14:paraId="14745B60" w14:textId="446503B7" w:rsidR="001228E2" w:rsidRPr="004D270F" w:rsidRDefault="007B3BA0">
      <w:pPr>
        <w:rPr>
          <w:sz w:val="20"/>
          <w:szCs w:val="20"/>
        </w:rPr>
      </w:pPr>
      <w:r w:rsidRPr="004D270F">
        <w:rPr>
          <w:rFonts w:hint="eastAsia"/>
          <w:sz w:val="20"/>
          <w:szCs w:val="20"/>
        </w:rPr>
        <w:t>Literature Review</w:t>
      </w:r>
    </w:p>
    <w:p w14:paraId="2C9E940B" w14:textId="77777777" w:rsidR="007B3BA0" w:rsidRPr="00382579" w:rsidRDefault="007B3BA0">
      <w:pPr>
        <w:rPr>
          <w:b/>
          <w:bCs/>
        </w:rPr>
      </w:pPr>
      <w:r w:rsidRPr="00382579">
        <w:rPr>
          <w:b/>
          <w:bCs/>
        </w:rPr>
        <w:br w:type="page"/>
      </w:r>
    </w:p>
    <w:p w14:paraId="5F41F78A" w14:textId="0A244603" w:rsidR="00A31996" w:rsidRPr="00382579" w:rsidRDefault="00A31996" w:rsidP="00AF6699">
      <w:pPr>
        <w:jc w:val="center"/>
        <w:rPr>
          <w:b/>
          <w:bCs/>
        </w:rPr>
      </w:pPr>
      <w:r w:rsidRPr="00382579">
        <w:rPr>
          <w:b/>
          <w:bCs/>
        </w:rPr>
        <w:lastRenderedPageBreak/>
        <w:t>Introduction</w:t>
      </w:r>
    </w:p>
    <w:p w14:paraId="35153E15" w14:textId="33C446CF" w:rsidR="008D6449" w:rsidRPr="008D6449" w:rsidRDefault="008D6449" w:rsidP="008D6449">
      <w:pPr>
        <w:pStyle w:val="ListParagraph"/>
        <w:ind w:left="360" w:firstLine="491"/>
        <w:jc w:val="both"/>
      </w:pPr>
      <w:r w:rsidRPr="008D6449">
        <w:t xml:space="preserve">Over the past three decades, auditing has expanded far beyond its traditional association with financial statements, evolving into a pervasive regime of verification that increasingly structures how organisations, markets, and governments are governed (Power, 1997; Power, 2003b; Miller &amp; Power, 2013). In areas ranging from public-sector performance to corporate sustainability, climate risk, and ESG reporting, </w:t>
      </w:r>
      <w:r w:rsidR="00AB7E93">
        <w:t>v</w:t>
      </w:r>
      <w:r w:rsidR="00AB7E93" w:rsidRPr="00AB7E93">
        <w:t>erification is increasingly treated as infrastructural; in practice, however, its reach remains uneven and heavily shaped by mandate, scope and access to evidence</w:t>
      </w:r>
      <w:r w:rsidR="00AB7E93">
        <w:t xml:space="preserve"> </w:t>
      </w:r>
      <w:r w:rsidRPr="008D6449">
        <w:t>(Guthrie &amp; Parker, 1999; Power, 2003b; Parker et al., 2019). Independent non-financial information</w:t>
      </w:r>
      <w:r w:rsidR="00807B48">
        <w:t xml:space="preserve"> assurance</w:t>
      </w:r>
      <w:r w:rsidRPr="008D6449">
        <w:t xml:space="preserve"> (NFIA) now plays a central role in rendering social, environmental, and organisational processes visible, comparable, and governable across jurisdictions (Perego &amp; Kolk, 2012; </w:t>
      </w:r>
      <w:proofErr w:type="spellStart"/>
      <w:r w:rsidRPr="008D6449">
        <w:t>Bepari</w:t>
      </w:r>
      <w:proofErr w:type="spellEnd"/>
      <w:r w:rsidRPr="008D6449">
        <w:t xml:space="preserve"> &amp; Mollik, 2016; Moroney et al., 2020). This expansion signals a profound transformation </w:t>
      </w:r>
      <w:proofErr w:type="gramStart"/>
      <w:r w:rsidRPr="008D6449">
        <w:t>in the nature of audit</w:t>
      </w:r>
      <w:proofErr w:type="gramEnd"/>
      <w:r w:rsidRPr="008D6449">
        <w:t xml:space="preserve"> itself: from a bounded professional practice into a globally dispersed system of verification operating across public and private domains, increasingly embedded within data architectures, management systems, and regulatory routines (Power, 2003b; Aquino et al., 2023; Gu et al., 2023).</w:t>
      </w:r>
    </w:p>
    <w:p w14:paraId="0AFB76A3" w14:textId="5A74126E" w:rsidR="008D6449" w:rsidRPr="008D6449" w:rsidRDefault="008D6449" w:rsidP="008D6449">
      <w:pPr>
        <w:pStyle w:val="ListParagraph"/>
        <w:ind w:left="360" w:firstLine="491"/>
        <w:jc w:val="both"/>
      </w:pPr>
      <w:r w:rsidRPr="008D6449">
        <w:t xml:space="preserve">A substantial empirical literature has documented this expansion of non-financial assurance. Prior studies consistently show that NFIA is characterised by the dominance of large accounting firms, the use of standardised assurance frameworks, and its growing relevance for credibility, legitimacy, and capital-market outcomes (Guthrie &amp; Parker, 1999; Perego &amp; Kolk, 2012; Ackers, 2015; Casey &amp; Grenier, 2015). More recent work highlights the acceleration of NFIA into ESG, carbon accounting, and digitally mediated assurance environments, extending verification practices into technically complex and future-oriented domains (Green et al., 2017; Xing et al., 2025; Zhang &amp; Shi, 2024). </w:t>
      </w:r>
      <w:r w:rsidR="00391B70" w:rsidRPr="00391B70">
        <w:t xml:space="preserve">Taken as a whole, the literature suggests that NFIA has moved closer to the centre of accountability practice—although what is </w:t>
      </w:r>
      <w:proofErr w:type="gramStart"/>
      <w:r w:rsidR="00391B70" w:rsidRPr="00391B70">
        <w:t>actually verified</w:t>
      </w:r>
      <w:proofErr w:type="gramEnd"/>
      <w:r w:rsidR="00391B70" w:rsidRPr="00391B70">
        <w:t xml:space="preserve"> remains tightly bounded.</w:t>
      </w:r>
      <w:r w:rsidR="00391B70" w:rsidRPr="00391B70">
        <w:t xml:space="preserve"> </w:t>
      </w:r>
      <w:r w:rsidRPr="008D6449">
        <w:t>(Power, 2003b; Morin, 2016).</w:t>
      </w:r>
    </w:p>
    <w:p w14:paraId="6C02F7DF" w14:textId="1B0A3F03" w:rsidR="008D6449" w:rsidRPr="008D6449" w:rsidRDefault="003B41B0" w:rsidP="008D6449">
      <w:pPr>
        <w:pStyle w:val="ListParagraph"/>
        <w:ind w:left="360" w:firstLine="491"/>
        <w:jc w:val="both"/>
      </w:pPr>
      <w:r w:rsidRPr="003B41B0">
        <w:t xml:space="preserve">At the same time, existing reviews and empirical syntheses tend to examine NFIA through narrowly defined subdomains—such as sustainability and integrated reporting assurance or greenwashing-related assurance—rather than synthesising the longitudinal development of NFIA as a field (Farooq et al., 2023; Free, Jones &amp; Tremblay, 2024; Massaro et al., 2016; </w:t>
      </w:r>
      <w:proofErr w:type="spellStart"/>
      <w:r w:rsidRPr="003B41B0">
        <w:t>Linnenluecke</w:t>
      </w:r>
      <w:proofErr w:type="spellEnd"/>
      <w:r w:rsidRPr="003B41B0">
        <w:t xml:space="preserve"> et al., 2020; Fan et al., 2022).</w:t>
      </w:r>
      <w:r>
        <w:t xml:space="preserve"> </w:t>
      </w:r>
      <w:r w:rsidR="008D6449" w:rsidRPr="008D6449">
        <w:t>While these studies provide valuable domain-specific insights, they remain conceptually siloed, offering limited engagement with the shared institutional logics that connect public-sector performance auditing, CSR assurance, ESG verification, and emerging carbon assurance practices (Miller &amp; Power, 2013; Power, 2003b).</w:t>
      </w:r>
    </w:p>
    <w:p w14:paraId="48EC09BE" w14:textId="54EDED79" w:rsidR="008D6449" w:rsidRPr="008D6449" w:rsidRDefault="00ED5BA4" w:rsidP="008D6449">
      <w:pPr>
        <w:pStyle w:val="ListParagraph"/>
        <w:ind w:left="360" w:firstLine="491"/>
        <w:jc w:val="both"/>
      </w:pPr>
      <w:r w:rsidRPr="00ED5BA4">
        <w:t>This fragmentation matters because it obscures how similar assurance logics are being reproduced across otherwise disconnected domains.</w:t>
      </w:r>
      <w:r>
        <w:t xml:space="preserve"> </w:t>
      </w:r>
      <w:r w:rsidR="008D6449" w:rsidRPr="008D6449">
        <w:t xml:space="preserve">Analysing NFIA subdomains in isolation obscures the systemic transformation of verification practices across governance domains (Power, 1997; Power, 2003b). The expansion of assurance into social and atmospheric domains is not merely a technical extension of audit, but a fundamental reconfiguration of how legitimacy and professional authority are produced (Power, 2003a; </w:t>
      </w:r>
      <w:r w:rsidR="008D6449" w:rsidRPr="008D6449">
        <w:lastRenderedPageBreak/>
        <w:t xml:space="preserve">Miller &amp; Power, 2013). Without an integrated analytical lens, empirical NFIA research documents proliferation without diagnosis—capturing the spread of assurance practices while leaving their broader governance implications under-theorised (Morin, 2016; Cordery et al., 2022). As a result, the literature struggles to explain how diverse assurance practices collectively contribute to new forms of regulation, responsibility, and accountability, or how they reshape professional identities and organisational behaviour across sectors (O’Dwyer, 2011; </w:t>
      </w:r>
      <w:proofErr w:type="spellStart"/>
      <w:r w:rsidR="008D6449" w:rsidRPr="008D6449">
        <w:t>Boiral</w:t>
      </w:r>
      <w:proofErr w:type="spellEnd"/>
      <w:r w:rsidR="008D6449" w:rsidRPr="008D6449">
        <w:t xml:space="preserve"> et al., 2019).</w:t>
      </w:r>
    </w:p>
    <w:p w14:paraId="223E8EE0" w14:textId="77777777" w:rsidR="008D6449" w:rsidRPr="008D6449" w:rsidRDefault="008D6449" w:rsidP="008D6449">
      <w:pPr>
        <w:pStyle w:val="ListParagraph"/>
        <w:ind w:left="360" w:firstLine="491"/>
        <w:jc w:val="both"/>
      </w:pPr>
      <w:r w:rsidRPr="008D6449">
        <w:t xml:space="preserve">This review argues that Michael Power’s later refinements of the audit society thesis provide a critical analytical lens for addressing this gap. While Power’s original diagnosis of an expanding “audit society” highlighted the proliferation of verification practices (Power, 1997), his subsequent work shifted attention towards the mechanisms through which audit produces legitimacy, governs at a distance, and increasingly focuses on the “control of control” rather than first-order activities (Power, 2003a; Power, 2003b). These refinements foreground procedural legitimacy, symbolic verification, system-based governance, and the construction of audit subjectivities—concerns that resonate strongly with contemporary NFIA practices (O’Dwyer, 2011; </w:t>
      </w:r>
      <w:proofErr w:type="spellStart"/>
      <w:r w:rsidRPr="008D6449">
        <w:t>Bepari</w:t>
      </w:r>
      <w:proofErr w:type="spellEnd"/>
      <w:r w:rsidRPr="008D6449">
        <w:t xml:space="preserve"> &amp; Mollik, 2016; </w:t>
      </w:r>
      <w:proofErr w:type="spellStart"/>
      <w:r w:rsidRPr="008D6449">
        <w:t>Boiral</w:t>
      </w:r>
      <w:proofErr w:type="spellEnd"/>
      <w:r w:rsidRPr="008D6449">
        <w:t xml:space="preserve"> et al., 2019).</w:t>
      </w:r>
    </w:p>
    <w:p w14:paraId="67D17243" w14:textId="77777777" w:rsidR="00D96B21" w:rsidRDefault="00D96B21" w:rsidP="008D6449">
      <w:pPr>
        <w:pStyle w:val="ListParagraph"/>
        <w:ind w:left="360" w:firstLine="491"/>
        <w:jc w:val="both"/>
      </w:pPr>
      <w:r w:rsidRPr="00D96B21">
        <w:t xml:space="preserve">Yet, despite their relevance, Power’s later refinements remain only unevenly engaged in review-based syntheses of NFIA. Recent reviews typically concentrate on </w:t>
      </w:r>
      <w:proofErr w:type="gramStart"/>
      <w:r w:rsidRPr="00D96B21">
        <w:t>particular assurance</w:t>
      </w:r>
      <w:proofErr w:type="gramEnd"/>
      <w:r w:rsidRPr="00D96B21">
        <w:t xml:space="preserve"> domains—such as sustainability and integrated reporting assurance or greenwashing-related assurance—rather than systematically examining the longitudinal development of NFIA as a field through Power’s audit society refinements (Farooq et al., 2023; Free, Jones &amp; Tremblay, 2024). As a result</w:t>
      </w:r>
      <w:r w:rsidRPr="00D96B21">
        <w:rPr>
          <w:b/>
          <w:bCs/>
        </w:rPr>
        <w:t>,</w:t>
      </w:r>
      <w:r w:rsidRPr="00D96B21">
        <w:t xml:space="preserve"> NFIA represents a privileged site for revisiting and empirically evaluating these theoretical claims. Unlike financial auditing, which has become stabilised and largely </w:t>
      </w:r>
      <w:proofErr w:type="spellStart"/>
      <w:r w:rsidRPr="00D96B21">
        <w:t>blackboxed</w:t>
      </w:r>
      <w:proofErr w:type="spellEnd"/>
      <w:r w:rsidRPr="00D96B21">
        <w:t>, NFIA remains visibly “in the making”, marked by contested standards, hybrid expertise, and uneven institutionalisation (Barrett &amp; Gendron, 2006; Gendron et al., 2007; Green &amp; Li, 2011; Canning et al., 2019). Examining NFIA through this lens enables a field-level assessment of how contemporary verification practices contribute to legitimacy production, symbolic reassurance, governance and control, and the reshaping of professional identities in an increasingly audit-saturated world (Power, 2003a; Miller &amp; Power, 2013).</w:t>
      </w:r>
    </w:p>
    <w:p w14:paraId="653606C6" w14:textId="48AAC8A6" w:rsidR="00F45605" w:rsidRPr="008D6449" w:rsidRDefault="008D6449" w:rsidP="00F45605">
      <w:pPr>
        <w:pStyle w:val="ListParagraph"/>
        <w:ind w:left="360" w:firstLine="491"/>
        <w:jc w:val="both"/>
      </w:pPr>
      <w:r w:rsidRPr="008D6449">
        <w:t>Against this backdrop, a systematic re-examination of the empirical NFIA literature is required to assess both how the field has evolved and how it engages with the later theoretical refinements of the audit society (</w:t>
      </w:r>
      <w:proofErr w:type="spellStart"/>
      <w:r w:rsidRPr="008D6449">
        <w:t>Tranfield</w:t>
      </w:r>
      <w:proofErr w:type="spellEnd"/>
      <w:r w:rsidRPr="008D6449">
        <w:t xml:space="preserve"> et al., 2003; Okoli, 2015; Power, 2003b). </w:t>
      </w:r>
      <w:r w:rsidR="00ED5BA4" w:rsidRPr="00ED5BA4">
        <w:t xml:space="preserve">Against this background, the review asks two practical questions about how NFIA research has evolved and what it </w:t>
      </w:r>
      <w:proofErr w:type="gramStart"/>
      <w:r w:rsidR="00ED5BA4" w:rsidRPr="00ED5BA4">
        <w:t>actually explains</w:t>
      </w:r>
      <w:proofErr w:type="gramEnd"/>
      <w:r w:rsidR="00D657C3">
        <w:t>:</w:t>
      </w:r>
    </w:p>
    <w:p w14:paraId="636C4295" w14:textId="2A1B8820" w:rsidR="008D6449" w:rsidRPr="008D6449" w:rsidRDefault="008D6449" w:rsidP="008D6449">
      <w:pPr>
        <w:pStyle w:val="ListParagraph"/>
        <w:ind w:left="360" w:firstLine="491"/>
        <w:jc w:val="both"/>
      </w:pPr>
      <w:r w:rsidRPr="008D6449">
        <w:rPr>
          <w:b/>
          <w:bCs/>
        </w:rPr>
        <w:t>RQ1.</w:t>
      </w:r>
      <w:r w:rsidRPr="008D6449">
        <w:t xml:space="preserve"> How has the empirical literature on NFIA</w:t>
      </w:r>
      <w:r w:rsidR="0041361C">
        <w:t xml:space="preserve"> </w:t>
      </w:r>
      <w:r w:rsidRPr="008D6449">
        <w:t>developed over the past 35 years?</w:t>
      </w:r>
    </w:p>
    <w:p w14:paraId="4B4340D8" w14:textId="77777777" w:rsidR="008D6449" w:rsidRPr="008D6449" w:rsidRDefault="008D6449" w:rsidP="008D6449">
      <w:pPr>
        <w:pStyle w:val="ListParagraph"/>
        <w:ind w:left="360" w:firstLine="491"/>
        <w:jc w:val="both"/>
      </w:pPr>
      <w:r w:rsidRPr="008D6449">
        <w:rPr>
          <w:b/>
          <w:bCs/>
        </w:rPr>
        <w:t>RQ2.</w:t>
      </w:r>
      <w:r w:rsidRPr="008D6449">
        <w:t xml:space="preserve"> To what extent does the empirical NFIA literature engage with the later theoretical refinements of the audit society advanced by Power (2003a, 2003b), and what does this reveal about how legitimacy production, symbolic verification practices, governance and control, and professional identities are empirically conceptualised and examined in non-financial assurance research?</w:t>
      </w:r>
    </w:p>
    <w:p w14:paraId="6E1B7BD4" w14:textId="77777777" w:rsidR="008D6449" w:rsidRPr="008D6449" w:rsidRDefault="008D6449" w:rsidP="008D6449">
      <w:pPr>
        <w:pStyle w:val="ListParagraph"/>
        <w:ind w:left="360" w:firstLine="491"/>
        <w:jc w:val="both"/>
      </w:pPr>
      <w:r w:rsidRPr="008D6449">
        <w:lastRenderedPageBreak/>
        <w:t xml:space="preserve">To address these questions, this review adopts a broad conception of non-financial information assurance. NFIA is defined as independent assurance engagements over non-financial subject matter, spanning both public and private sector contexts, and encompassing practices such as performance audit, sustainability and ESG assurance, carbon and greenhouse gas verification, environmental audit, and compliance-oriented non-financial audits (Hasan et al., 2005; Moroney et al., 2020). This definition reflects how assurance is enacted in practice rather than how it is segmented within academic silos. It includes both accounting-led and multidisciplinary assurance arrangements, while excluding internal audits and specialist inspections lacking independence. By treating audit and assurance as analytically connected practices within a shared verification regime, the review situates NFIA within a continuous tradition of non-financial verification rather than as a collection of discrete service types (Power, 1996; </w:t>
      </w:r>
      <w:proofErr w:type="spellStart"/>
      <w:r w:rsidRPr="008D6449">
        <w:t>Sonnerfeldt</w:t>
      </w:r>
      <w:proofErr w:type="spellEnd"/>
      <w:r w:rsidRPr="008D6449">
        <w:t xml:space="preserve"> &amp; Pontoppidan, 2020).</w:t>
      </w:r>
    </w:p>
    <w:p w14:paraId="41439006" w14:textId="7874F8ED" w:rsidR="00985A24" w:rsidRPr="00985A24" w:rsidRDefault="001B15AC" w:rsidP="00985A24">
      <w:pPr>
        <w:pStyle w:val="ListParagraph"/>
        <w:ind w:left="360" w:firstLine="491"/>
        <w:jc w:val="both"/>
      </w:pPr>
      <w:r w:rsidRPr="001B15AC">
        <w:t xml:space="preserve">The review contributes in three </w:t>
      </w:r>
      <w:proofErr w:type="gramStart"/>
      <w:r w:rsidRPr="001B15AC">
        <w:t>ways,</w:t>
      </w:r>
      <w:proofErr w:type="gramEnd"/>
      <w:r w:rsidRPr="001B15AC">
        <w:t xml:space="preserve"> all directed at clarifying how NFIA </w:t>
      </w:r>
      <w:proofErr w:type="gramStart"/>
      <w:r w:rsidRPr="001B15AC">
        <w:t>actually operates</w:t>
      </w:r>
      <w:proofErr w:type="gramEnd"/>
      <w:r w:rsidRPr="001B15AC">
        <w:t xml:space="preserve"> rather than how it is described.</w:t>
      </w:r>
      <w:r>
        <w:t xml:space="preserve"> </w:t>
      </w:r>
      <w:proofErr w:type="gramStart"/>
      <w:r w:rsidR="00985A24" w:rsidRPr="00985A24">
        <w:t>First</w:t>
      </w:r>
      <w:proofErr w:type="gramEnd"/>
      <w:r w:rsidR="00985A24" w:rsidRPr="00985A24">
        <w:t>, it offers the first longitudinal, field-level synthesis of 35 years of empirical research on non-financial assurance, integrating evidence across public-sector performance audit, CSR and ESG assurance, environmental and carbon verification, and related domains. By consolidating previously fragmented findings, the review shows how NFIA has evolved from marginal accountability experiments into a central infrastructure of contemporary governance.</w:t>
      </w:r>
      <w:r w:rsidR="00985A24">
        <w:t xml:space="preserve"> </w:t>
      </w:r>
      <w:r w:rsidR="00985A24" w:rsidRPr="00985A24">
        <w:t>Second, the review provides a theoretically informed evaluation of NFIA by systematically interpreting the empirical literature through Power’s later refinements of the audit society. In doing so, it moves beyond treating Power’s work as a background metaphor and instead assesses how procedural legitimacy, symbolic verification, system-based control, and audit subjectivities are empirically enacted across non-financial assurance practices (Power, 2003a; Power, 2003b; Miller &amp; Power, 2013). This bridges a longstanding gap between theory and evidence in audit society research.</w:t>
      </w:r>
      <w:r w:rsidR="00985A24">
        <w:t xml:space="preserve"> </w:t>
      </w:r>
      <w:r w:rsidR="00985A24" w:rsidRPr="00985A24">
        <w:t>Third, the review advances the conceptual proposition of an “audit planet” to capture the infrastructural, generative, and world-making role of contemporary verification. By identifying persistent tensions, blind spots, and under-explored domains—particularly in emerging areas such as carbon and climate assurance—the review develops a future research agenda that shifts attention from documenting audit expansion to critically analysing how audit reshapes governance, responsibility, and professional authority at scale.</w:t>
      </w:r>
    </w:p>
    <w:p w14:paraId="5157446D" w14:textId="77777777" w:rsidR="008D6449" w:rsidRPr="008D6449" w:rsidRDefault="008D6449" w:rsidP="008D6449">
      <w:pPr>
        <w:pStyle w:val="ListParagraph"/>
        <w:ind w:left="360" w:firstLine="491"/>
        <w:jc w:val="both"/>
      </w:pPr>
      <w:r w:rsidRPr="008D6449">
        <w:t>The remainder of the paper is structured as follows. Section 2 outlines the theoretical foundations of the audit society perspective, with particular emphasis on Power’s later refinements concerning legitimacy production, symbolic verification, governance and control, and professional identities. Section 3 describes the systematic review methodology, including data collection, bibliometric analysis, and thematic coding procedures. Section 4 presents the empirical synthesis of the NFIA literature, organised around key themes and sub-themes. Section 5 discusses the findings in relation to Power’s theoretical framework, develops the audit planet proposition, and concludes with implications, limitations, and directions for future research.</w:t>
      </w:r>
    </w:p>
    <w:p w14:paraId="3A3FE0C4" w14:textId="77777777" w:rsidR="00D400DC" w:rsidRPr="00DD70BA" w:rsidRDefault="00D400DC" w:rsidP="00AF6699">
      <w:pPr>
        <w:pStyle w:val="ListParagraph"/>
        <w:ind w:left="360" w:firstLine="491"/>
        <w:jc w:val="both"/>
      </w:pPr>
    </w:p>
    <w:p w14:paraId="6E62039E" w14:textId="77777777" w:rsidR="003E1887" w:rsidRPr="00DD70BA" w:rsidRDefault="003E1887" w:rsidP="00A01393">
      <w:pPr>
        <w:jc w:val="center"/>
        <w:rPr>
          <w:b/>
          <w:bCs/>
        </w:rPr>
      </w:pPr>
      <w:r w:rsidRPr="00DD70BA">
        <w:rPr>
          <w:b/>
          <w:bCs/>
        </w:rPr>
        <w:lastRenderedPageBreak/>
        <w:t>Conceptual Foundations: The Evolution of the Audit Society</w:t>
      </w:r>
    </w:p>
    <w:p w14:paraId="4131A7AE" w14:textId="77777777" w:rsidR="003E1887" w:rsidRPr="00382579" w:rsidRDefault="003E1887" w:rsidP="003E1887">
      <w:pPr>
        <w:pStyle w:val="ListParagraph"/>
        <w:ind w:left="360" w:firstLine="491"/>
        <w:jc w:val="both"/>
      </w:pPr>
      <w:r w:rsidRPr="00DD70BA">
        <w:t xml:space="preserve">The conceptualisation of auditing as a pervasive social and organisational phenomenon is </w:t>
      </w:r>
      <w:proofErr w:type="gramStart"/>
      <w:r w:rsidRPr="00DD70BA">
        <w:t>most commonly traced</w:t>
      </w:r>
      <w:proofErr w:type="gramEnd"/>
      <w:r w:rsidRPr="00DD70BA">
        <w:t xml:space="preserve"> to Michael Power’s</w:t>
      </w:r>
      <w:r w:rsidRPr="00382579">
        <w:t xml:space="preserve"> </w:t>
      </w:r>
      <w:r w:rsidRPr="00382579">
        <w:rPr>
          <w:i/>
          <w:iCs/>
        </w:rPr>
        <w:t>The Audit Society: Rituals of Verification</w:t>
      </w:r>
      <w:r w:rsidRPr="00382579">
        <w:t xml:space="preserve"> (1997). In this seminal work, Power challenged conventional understandings of audit as a neutral, technical practice by situating it within a broader regulatory and cultural context characterised by heightened demands for verification, transparency and control. However, while the 1997 book established the now-canonical diagnosis of an expanding “audit society”, a fuller understanding of this theoretical trajectory requires deeper engagement with Power’s earlier constructivist intervention (Power, 1996) and his subsequent analytical refinements in the early twenty-first century (Power, 2003a, 2003b). Together, these works provide the analytical resources necessary to move beyond the macro-metaphor of the audit society and towards a more detailed understanding of the backstage mechanics through which verification is practically accomplished.</w:t>
      </w:r>
    </w:p>
    <w:p w14:paraId="28FA8B9D" w14:textId="77777777" w:rsidR="003E1887" w:rsidRPr="00382579" w:rsidRDefault="003E1887" w:rsidP="003E1887">
      <w:pPr>
        <w:pStyle w:val="ListParagraph"/>
        <w:ind w:left="360" w:firstLine="491"/>
        <w:jc w:val="both"/>
      </w:pPr>
      <w:r w:rsidRPr="00382579">
        <w:t xml:space="preserve">The theoretical foundations of this programme were laid in “Making Things Auditable” (Power, 1996), where auditability was explicitly theorised as an </w:t>
      </w:r>
      <w:r w:rsidRPr="00382579">
        <w:rPr>
          <w:i/>
          <w:iCs/>
        </w:rPr>
        <w:t>accomplished</w:t>
      </w:r>
      <w:r w:rsidRPr="00382579">
        <w:t xml:space="preserve"> rather than an inherent property of organisational activities. Power (1996) rejected the “official image” of audit as a derived activity that merely adds credibility to pre-existing facts. Instead, he argued that auditing actively constructs the legitimacy of its own knowledge base while simultaneously seeking to create the organisational environments in which that knowledge can operate successfully. This process of “making things auditable” was illustrated through three distinct strategies of fact construction.</w:t>
      </w:r>
    </w:p>
    <w:p w14:paraId="2ECAD1DD" w14:textId="77777777" w:rsidR="003E1887" w:rsidRPr="00382579" w:rsidRDefault="003E1887" w:rsidP="003E1887">
      <w:pPr>
        <w:pStyle w:val="ListParagraph"/>
        <w:ind w:left="360" w:firstLine="491"/>
        <w:jc w:val="both"/>
      </w:pPr>
      <w:r w:rsidRPr="00382579">
        <w:t>In the context of public sector research, auditability is achieved through the development of detailed measurement technologies—such as time-recording systems—that translate academic labour into a surface of auditable facts. In the domain of quality management, auditability is accomplished through abstract management systems (for example, ISO 9000), which provide a bureaucratic infrastructure upon which audit processes can operate independently of substantive performance outcomes. In the case of brand valuation, auditability is negotiated through reliance on the institutional credibility of other experts, such that verification becomes a function of distributed trust rather than direct inspection. Across these cases, auditing does not simply verify an existing organisational order; it reshapes organisational practices and representations in ways that make audit itself possible (Power, 1996).</w:t>
      </w:r>
    </w:p>
    <w:p w14:paraId="35E1DE3B" w14:textId="77777777" w:rsidR="003E1887" w:rsidRPr="00382579" w:rsidRDefault="003E1887" w:rsidP="003E1887">
      <w:pPr>
        <w:pStyle w:val="ListParagraph"/>
        <w:ind w:left="360" w:firstLine="491"/>
        <w:jc w:val="both"/>
      </w:pPr>
      <w:r w:rsidRPr="00382579">
        <w:t xml:space="preserve">This constructivist insight was subsequently generalised in </w:t>
      </w:r>
      <w:r w:rsidRPr="00382579">
        <w:rPr>
          <w:i/>
          <w:iCs/>
        </w:rPr>
        <w:t>The Audit Society</w:t>
      </w:r>
      <w:r w:rsidRPr="00382579">
        <w:t xml:space="preserve"> (Power, 1997), where the diffusion of financial audit logics into non-financial domains was characterised as an “audit explosion”. Power (1997) argued that these expanding rituals of verification underpin a broader administrative style of “governing at a distance”, enabling central authorities to maintain an image of control within increasingly decentralised and fragmented organisational settings. Crucially, Power emphasised that such verification practices do not necessarily enhance substantive accountability. Rather, they often function to generate reassurance—or “comfort”—for external audiences, producing displacement effects whereby compliance artefacts, documentation and working papers become ends in themselves. In this logic of auditability, the requirement for activities to be auditable </w:t>
      </w:r>
      <w:r w:rsidRPr="00382579">
        <w:lastRenderedPageBreak/>
        <w:t xml:space="preserve">increasingly converges with the requirement for them to be </w:t>
      </w:r>
      <w:r w:rsidRPr="00382579">
        <w:rPr>
          <w:i/>
          <w:iCs/>
        </w:rPr>
        <w:t>seen</w:t>
      </w:r>
      <w:r w:rsidRPr="00382579">
        <w:t xml:space="preserve"> to be auditable, loosening the connection between verification practices and underlying organisational performance.</w:t>
      </w:r>
    </w:p>
    <w:p w14:paraId="35175A32" w14:textId="77777777" w:rsidR="003E1887" w:rsidRPr="00382579" w:rsidRDefault="003E1887" w:rsidP="003E1887">
      <w:pPr>
        <w:pStyle w:val="ListParagraph"/>
        <w:ind w:left="360" w:firstLine="491"/>
        <w:jc w:val="both"/>
      </w:pPr>
      <w:r w:rsidRPr="00382579">
        <w:t>While the 1997 book provided a powerful diagnosis, Power’s subsequent work offered the analytical refinement required for closer empirical engagement. In “Auditing and the Production of Legitimacy”, Power (2003a) redirected attention from macro-level expansion to the internal social organisation of audit practice. He argued that because audit quality is inherently difficult to observe and evaluate, it must be defined procedurally within the profession itself. Legitimacy is therefore produced through collective interaction, routinised judgement and the progressive purification of organisational uncertainty. In this account, working papers function as a distinctive genre of organisational text, designed to present a rational and defensible representation of practice for anticipated external audiences, particularly regulators and courts. The writing of auditing thus becomes a central mechanism through which administrative objectivity is stabilised, while the contingent and negotiated character of audit work is largely rendered invisible.</w:t>
      </w:r>
    </w:p>
    <w:p w14:paraId="5BEC050E" w14:textId="77777777" w:rsidR="003E1887" w:rsidRPr="00382579" w:rsidRDefault="003E1887" w:rsidP="003E1887">
      <w:pPr>
        <w:pStyle w:val="ListParagraph"/>
        <w:ind w:left="360" w:firstLine="491"/>
        <w:jc w:val="both"/>
      </w:pPr>
      <w:r w:rsidRPr="00382579">
        <w:t>A complementary perspective is provided in “Evaluating the Audit Explosion” (Power, 2003b), which offered a more differentiated and comparative account of audit expansion. Here, Power reconceptualised the audit explosion not simply as growth in audit activity, but as a qualitative shift towards the “control of control”. In this mode, auditing increasingly focuses on management systems, self-monitoring processes and internal controls rather than on first-order operational activities. Power (2003b) introduced a comparative framework for analysing this variation, structured around differences in knowledge bases, formal organisational arrangements and operational processes. This analysis also foregrounded the emergence of the auditee as a distinctive administrative subject: a professionalised actor skilled in managing inspection regimes, engaging in defensive documentation practices and navigating what Power described as games of compliance. Within this configuration, auditing becomes closely aligned with blame avoidance and risk management, reinforcing procedural compliance over substantive critique.</w:t>
      </w:r>
    </w:p>
    <w:p w14:paraId="088AE293" w14:textId="77777777" w:rsidR="003E1887" w:rsidRPr="00382579" w:rsidRDefault="003E1887" w:rsidP="003E1887">
      <w:pPr>
        <w:pStyle w:val="ListParagraph"/>
        <w:ind w:left="360" w:firstLine="491"/>
        <w:jc w:val="both"/>
      </w:pPr>
      <w:r w:rsidRPr="00382579">
        <w:t>A recurring theme across this evolutionary trajectory concerns the relationship between audit and assurance. Power’s work suggests that the rise of assurance services should be understood less as a conceptual rupture than as a process of professional reinvention, in which established audit techniques are reassembled and extended into new domains under alternative vocabularies (Power, 2003a). Subsequent research supports this interpretation, demonstrating that the language of assurance was strategically introduced during the mid-1990s by professional standard-setters to facilitate market expansion into areas such as sustainability reporting and internal controls (</w:t>
      </w:r>
      <w:proofErr w:type="spellStart"/>
      <w:r w:rsidRPr="00382579">
        <w:t>Sonnerfeldt</w:t>
      </w:r>
      <w:proofErr w:type="spellEnd"/>
      <w:r w:rsidRPr="00382579">
        <w:t xml:space="preserve"> &amp; Pontoppidan, 2020). While technical distinctions are sometimes articulated—most commonly between verification as completeness checking and assurance as confirmation of truthfulness—these distinctions appear to be driven more by market differentiation and regulatory framing than by substantive conceptual divergence (</w:t>
      </w:r>
      <w:proofErr w:type="spellStart"/>
      <w:r w:rsidRPr="00382579">
        <w:t>Sonnerfeldt</w:t>
      </w:r>
      <w:proofErr w:type="spellEnd"/>
      <w:r w:rsidRPr="00382579">
        <w:t xml:space="preserve"> &amp; Pontoppidan, 2020).</w:t>
      </w:r>
    </w:p>
    <w:p w14:paraId="5322D7E0" w14:textId="77777777" w:rsidR="003E1887" w:rsidRPr="00382579" w:rsidRDefault="003E1887" w:rsidP="003E1887">
      <w:pPr>
        <w:pStyle w:val="ListParagraph"/>
        <w:ind w:left="360" w:firstLine="491"/>
        <w:jc w:val="both"/>
      </w:pPr>
      <w:r w:rsidRPr="00382579">
        <w:t xml:space="preserve">Empirical studies further underscore this convergence in practice. In the context of non-financial reporting, terms such as “external assurance”, “verification” and </w:t>
      </w:r>
      <w:r w:rsidRPr="00382579">
        <w:lastRenderedPageBreak/>
        <w:t>“sustainability audit” are frequently used interchangeably to describe substantively similar validation processes (Bartoszewicz &amp; Rutkowska-Ziarko, 2021). Moreover, these practices are functionally inseparable: assurance engagements rely upon prior processes of verification to construct the auditable facts on which opinions are based (Bartoszewicz &amp; Rutkowska-Ziarko, 2021). For the purposes of this systematic literature review, audit and assurance are therefore treated as analytically connected practices within a shared verification regime. This position is consistent with Power’s constructivist insight that what ultimately matters is not terminological distinction, but the underlying processes through which auditability is constructed, legitimacy is produced and institutional comfort is maintained. Viewed in this way, contemporary audit and assurance practices can be understood as manifestations of the same administrative style that continues to define the modern audit society.</w:t>
      </w:r>
    </w:p>
    <w:p w14:paraId="3F305CA0" w14:textId="77777777" w:rsidR="00B969FA" w:rsidRPr="00382579" w:rsidRDefault="00B969FA" w:rsidP="00AF6699">
      <w:pPr>
        <w:pStyle w:val="ListParagraph"/>
        <w:ind w:left="360" w:firstLine="491"/>
        <w:jc w:val="both"/>
      </w:pPr>
    </w:p>
    <w:p w14:paraId="1EBC646F" w14:textId="77777777" w:rsidR="008A6EF0" w:rsidRPr="00DD70BA" w:rsidRDefault="008A6EF0" w:rsidP="00AF6699">
      <w:pPr>
        <w:jc w:val="center"/>
        <w:rPr>
          <w:b/>
          <w:bCs/>
        </w:rPr>
      </w:pPr>
    </w:p>
    <w:p w14:paraId="460C585C" w14:textId="42E9CF24" w:rsidR="00AC1653" w:rsidRPr="00382579" w:rsidRDefault="006A0FCB" w:rsidP="00AF6699">
      <w:pPr>
        <w:jc w:val="center"/>
        <w:rPr>
          <w:b/>
          <w:bCs/>
        </w:rPr>
      </w:pPr>
      <w:r w:rsidRPr="00DD70BA">
        <w:rPr>
          <w:b/>
          <w:bCs/>
        </w:rPr>
        <w:t>Review Design</w:t>
      </w:r>
      <w:r w:rsidR="004D2ED8" w:rsidRPr="00DD70BA">
        <w:rPr>
          <w:b/>
          <w:bCs/>
        </w:rPr>
        <w:t xml:space="preserve"> and</w:t>
      </w:r>
      <w:r w:rsidR="0024405A" w:rsidRPr="00DD70BA">
        <w:rPr>
          <w:b/>
          <w:bCs/>
        </w:rPr>
        <w:t xml:space="preserve"> </w:t>
      </w:r>
      <w:r w:rsidR="004709D4" w:rsidRPr="00DD70BA">
        <w:rPr>
          <w:b/>
          <w:bCs/>
        </w:rPr>
        <w:t>Method</w:t>
      </w:r>
      <w:r w:rsidR="00080059" w:rsidRPr="00DD70BA">
        <w:rPr>
          <w:b/>
          <w:bCs/>
        </w:rPr>
        <w:t>ology</w:t>
      </w:r>
    </w:p>
    <w:p w14:paraId="1BDD742F" w14:textId="3A4CDA64" w:rsidR="00263F4C" w:rsidRDefault="00263F4C" w:rsidP="00263F4C">
      <w:pPr>
        <w:ind w:firstLine="420"/>
        <w:jc w:val="both"/>
      </w:pPr>
      <w:r>
        <w:t xml:space="preserve">To address the NFIA literature's breadth and theoretical density, </w:t>
      </w:r>
      <w:r w:rsidR="00D657C3">
        <w:t>t</w:t>
      </w:r>
      <w:r w:rsidR="00D657C3" w:rsidRPr="00D657C3">
        <w:t>he review proceeds in stages, combining systematic searching with bibliometric mapping and close reading of full texts.</w:t>
      </w:r>
      <w:r w:rsidR="00D657C3">
        <w:t xml:space="preserve"> </w:t>
      </w:r>
      <w:proofErr w:type="gramStart"/>
      <w:r>
        <w:t>First</w:t>
      </w:r>
      <w:proofErr w:type="gramEnd"/>
      <w:r>
        <w:t>, a systematic literature review (SLR) ensures transparent identification of the field's boundaries. Subsequent descriptive and narrative abstract analyses map 35 years of research, identifying longitudinal patterns in journals, topics, and jurisdictions to address RQ1.</w:t>
      </w:r>
      <w:r>
        <w:t xml:space="preserve"> </w:t>
      </w:r>
      <w:r>
        <w:t>Bibliometric keyword co-occurrence and intellectual clustering complement this mapping. These patterns identify thematic clusters informed by the “accounting complex” (Miller &amp; Power, 2013), which are refined through inductive full-text coding and temporal analyses to trace thematic maturation.</w:t>
      </w:r>
      <w:r>
        <w:t xml:space="preserve"> </w:t>
      </w:r>
      <w:r>
        <w:t xml:space="preserve">Finally, the thematic structure is </w:t>
      </w:r>
      <w:proofErr w:type="spellStart"/>
      <w:r>
        <w:t>analyzed</w:t>
      </w:r>
      <w:proofErr w:type="spellEnd"/>
      <w:r>
        <w:t xml:space="preserve"> using Power’s later audit society refinements (Power, 2003a, 2003b). Power’s conceptual concerns—legitimacy production, symbolic verification, governance, and professional identities—serve as sensitizing devices rather than a priori categories, allowing for an interpretive evaluation of contemporary research (RQ2).</w:t>
      </w:r>
    </w:p>
    <w:p w14:paraId="4A7EF2F9" w14:textId="77777777" w:rsidR="00263F4C" w:rsidRDefault="00263F4C" w:rsidP="00263F4C">
      <w:pPr>
        <w:jc w:val="both"/>
      </w:pPr>
    </w:p>
    <w:p w14:paraId="5005C3C4" w14:textId="19BEDF08" w:rsidR="00D81544" w:rsidRPr="008B0133" w:rsidRDefault="00617984" w:rsidP="00263F4C">
      <w:pPr>
        <w:jc w:val="both"/>
        <w:rPr>
          <w:i/>
          <w:iCs/>
        </w:rPr>
      </w:pPr>
      <w:r w:rsidRPr="008B0133">
        <w:rPr>
          <w:i/>
          <w:iCs/>
        </w:rPr>
        <w:t>Systematic Literature Review</w:t>
      </w:r>
    </w:p>
    <w:p w14:paraId="56AD64A5" w14:textId="05601473" w:rsidR="00395BEE" w:rsidRDefault="00395BEE" w:rsidP="00395BEE">
      <w:pPr>
        <w:ind w:firstLine="420"/>
        <w:jc w:val="both"/>
      </w:pPr>
      <w:r>
        <w:t>Standalone literature reviews are increasingly recogni</w:t>
      </w:r>
      <w:r w:rsidR="0021706A">
        <w:t>s</w:t>
      </w:r>
      <w:r>
        <w:t>ed as rigorous research methods capable of generating novel insights through systematic synthesis (</w:t>
      </w:r>
      <w:proofErr w:type="spellStart"/>
      <w:r>
        <w:t>Tranfield</w:t>
      </w:r>
      <w:proofErr w:type="spellEnd"/>
      <w:r>
        <w:t xml:space="preserve"> et al., 2003; Okoli, 2015). Drawing on the miner–prospector continuum (Breslin &amp; Gatrell, 2023), this review adopts a "prospector" approach, seeking to consolidate and problematize fragmented empirical findings while preparing the ground for theoretically informed analysis.</w:t>
      </w:r>
    </w:p>
    <w:p w14:paraId="0F8F6366" w14:textId="4BB70FA8" w:rsidR="005F5CF4" w:rsidRDefault="00395BEE" w:rsidP="00395BEE">
      <w:pPr>
        <w:ind w:firstLine="420"/>
        <w:jc w:val="both"/>
      </w:pPr>
      <w:r>
        <w:t xml:space="preserve">The SLR aligns with established benchmarks for impact: rigor, generativity, scope, and transparency (Fan et al., 2022). By following best-practice protocols to minimize bias and subjectivity (Snyder, 2019; </w:t>
      </w:r>
      <w:proofErr w:type="spellStart"/>
      <w:r>
        <w:t>Linnenluecke</w:t>
      </w:r>
      <w:proofErr w:type="spellEnd"/>
      <w:r>
        <w:t xml:space="preserve"> et al., 2020), </w:t>
      </w:r>
      <w:r w:rsidR="00352A1C">
        <w:t>t</w:t>
      </w:r>
      <w:r w:rsidR="00352A1C" w:rsidRPr="00352A1C">
        <w:t>his approach reflects how SLRs are now used in accounting research to consolidate dispersed empirical findings rather than to test hypotheses</w:t>
      </w:r>
      <w:r w:rsidR="00352A1C">
        <w:t xml:space="preserve"> </w:t>
      </w:r>
      <w:r>
        <w:t>(Massaro et al., 2016). Adhering to the core attributes of reproducibility and comprehensive scope (Okoli, 2015), this design is particularly effective given the study’s well-defined parameters and manageable dataset (</w:t>
      </w:r>
      <w:proofErr w:type="spellStart"/>
      <w:r>
        <w:t>Donthu</w:t>
      </w:r>
      <w:proofErr w:type="spellEnd"/>
      <w:r>
        <w:t xml:space="preserve"> et al., 2021).</w:t>
      </w:r>
      <w:r>
        <w:t xml:space="preserve"> </w:t>
      </w:r>
      <w:r>
        <w:t xml:space="preserve">To identify NFIA literature </w:t>
      </w:r>
      <w:r>
        <w:lastRenderedPageBreak/>
        <w:t>from 1990 to 2025, we applied a systematic keyword strategy across major databases. Search terms were developed using Boolean operators (Wang et al., 2023) and informed by professional auditing frameworks and literature (Hasan et al., 2005; Moroney et al., 2020). This inclusive set of keywords, summarized in Table 1, ensures coverage across all primary NFIA domains.</w:t>
      </w:r>
    </w:p>
    <w:p w14:paraId="446B576E" w14:textId="77777777" w:rsidR="00283887" w:rsidRPr="00382579" w:rsidRDefault="00283887" w:rsidP="00395BEE">
      <w:pPr>
        <w:ind w:firstLine="420"/>
        <w:jc w:val="both"/>
      </w:pPr>
    </w:p>
    <w:tbl>
      <w:tblPr>
        <w:tblStyle w:val="TableGrid"/>
        <w:tblW w:w="7513" w:type="dxa"/>
        <w:tblInd w:w="562" w:type="dxa"/>
        <w:tblLook w:val="04A0" w:firstRow="1" w:lastRow="0" w:firstColumn="1" w:lastColumn="0" w:noHBand="0" w:noVBand="1"/>
      </w:tblPr>
      <w:tblGrid>
        <w:gridCol w:w="2765"/>
        <w:gridCol w:w="4748"/>
      </w:tblGrid>
      <w:tr w:rsidR="00C94821" w:rsidRPr="00382579" w14:paraId="4E49D244" w14:textId="77777777" w:rsidTr="008526BA">
        <w:tc>
          <w:tcPr>
            <w:tcW w:w="2765" w:type="dxa"/>
          </w:tcPr>
          <w:p w14:paraId="4A706377" w14:textId="6CB01EFD" w:rsidR="00C94821" w:rsidRPr="00382579" w:rsidRDefault="00C94821" w:rsidP="008526BA">
            <w:pPr>
              <w:rPr>
                <w:b/>
                <w:bCs/>
              </w:rPr>
            </w:pPr>
            <w:r w:rsidRPr="00382579">
              <w:rPr>
                <w:b/>
                <w:bCs/>
              </w:rPr>
              <w:t xml:space="preserve">NFIA </w:t>
            </w:r>
            <w:r w:rsidR="00EE7F56" w:rsidRPr="00382579">
              <w:rPr>
                <w:b/>
                <w:bCs/>
              </w:rPr>
              <w:t>subject domains</w:t>
            </w:r>
          </w:p>
        </w:tc>
        <w:tc>
          <w:tcPr>
            <w:tcW w:w="4748" w:type="dxa"/>
          </w:tcPr>
          <w:p w14:paraId="54A4B893" w14:textId="77777777" w:rsidR="00C94821" w:rsidRPr="00382579" w:rsidRDefault="00C94821" w:rsidP="008526BA">
            <w:pPr>
              <w:rPr>
                <w:b/>
                <w:bCs/>
              </w:rPr>
            </w:pPr>
            <w:r w:rsidRPr="00382579">
              <w:rPr>
                <w:b/>
                <w:bCs/>
              </w:rPr>
              <w:t>Keywords</w:t>
            </w:r>
          </w:p>
        </w:tc>
      </w:tr>
      <w:tr w:rsidR="00C94821" w:rsidRPr="00382579" w14:paraId="5A00ED89" w14:textId="77777777" w:rsidTr="008526BA">
        <w:tc>
          <w:tcPr>
            <w:tcW w:w="2765" w:type="dxa"/>
          </w:tcPr>
          <w:p w14:paraId="01146601" w14:textId="77777777" w:rsidR="00C94821" w:rsidRPr="00382579" w:rsidRDefault="00C94821" w:rsidP="008526BA">
            <w:r w:rsidRPr="00382579">
              <w:t>Environment(al)</w:t>
            </w:r>
          </w:p>
        </w:tc>
        <w:tc>
          <w:tcPr>
            <w:tcW w:w="4748" w:type="dxa"/>
            <w:vAlign w:val="center"/>
          </w:tcPr>
          <w:p w14:paraId="0699EC0A" w14:textId="77777777" w:rsidR="00C94821" w:rsidRPr="00382579" w:rsidRDefault="00C94821" w:rsidP="008526BA">
            <w:r w:rsidRPr="00382579">
              <w:rPr>
                <w:rFonts w:eastAsia="DengXian"/>
                <w:color w:val="000000"/>
              </w:rPr>
              <w:t>environmental audit, environmental assurance, externality audit, pollution audit</w:t>
            </w:r>
          </w:p>
        </w:tc>
      </w:tr>
      <w:tr w:rsidR="00C94821" w:rsidRPr="00382579" w14:paraId="0A26309A" w14:textId="77777777" w:rsidTr="008526BA">
        <w:tc>
          <w:tcPr>
            <w:tcW w:w="2765" w:type="dxa"/>
          </w:tcPr>
          <w:p w14:paraId="70A5850E" w14:textId="77777777" w:rsidR="00C94821" w:rsidRPr="00382579" w:rsidRDefault="00C94821" w:rsidP="008526BA">
            <w:r w:rsidRPr="00382579">
              <w:t>Compliance</w:t>
            </w:r>
          </w:p>
        </w:tc>
        <w:tc>
          <w:tcPr>
            <w:tcW w:w="4748" w:type="dxa"/>
            <w:vAlign w:val="center"/>
          </w:tcPr>
          <w:p w14:paraId="18EE5456" w14:textId="77777777" w:rsidR="00C94821" w:rsidRPr="00382579" w:rsidRDefault="00C94821" w:rsidP="008526BA">
            <w:r w:rsidRPr="00382579">
              <w:rPr>
                <w:rFonts w:eastAsia="DengXian"/>
                <w:color w:val="000000"/>
              </w:rPr>
              <w:t xml:space="preserve">compliance audit, compliance assurance </w:t>
            </w:r>
          </w:p>
        </w:tc>
      </w:tr>
      <w:tr w:rsidR="00C94821" w:rsidRPr="00382579" w14:paraId="367EFC7A" w14:textId="77777777" w:rsidTr="008526BA">
        <w:tc>
          <w:tcPr>
            <w:tcW w:w="2765" w:type="dxa"/>
          </w:tcPr>
          <w:p w14:paraId="762330C0" w14:textId="77777777" w:rsidR="00C94821" w:rsidRPr="00382579" w:rsidRDefault="00C94821" w:rsidP="008526BA">
            <w:r w:rsidRPr="00382579">
              <w:t>Performance</w:t>
            </w:r>
          </w:p>
        </w:tc>
        <w:tc>
          <w:tcPr>
            <w:tcW w:w="4748" w:type="dxa"/>
            <w:vAlign w:val="center"/>
          </w:tcPr>
          <w:p w14:paraId="3F12276B" w14:textId="77777777" w:rsidR="00C94821" w:rsidRPr="00382579" w:rsidRDefault="00C94821" w:rsidP="008526BA">
            <w:r w:rsidRPr="00382579">
              <w:rPr>
                <w:rFonts w:eastAsia="DengXian"/>
                <w:color w:val="000000"/>
              </w:rPr>
              <w:t>performance audit, efficiency audit, effectiveness audit, government program audit</w:t>
            </w:r>
          </w:p>
        </w:tc>
      </w:tr>
      <w:tr w:rsidR="00C94821" w:rsidRPr="00382579" w14:paraId="07D0A186" w14:textId="77777777" w:rsidTr="008526BA">
        <w:tc>
          <w:tcPr>
            <w:tcW w:w="2765" w:type="dxa"/>
          </w:tcPr>
          <w:p w14:paraId="40A8AE89" w14:textId="77777777" w:rsidR="00C94821" w:rsidRPr="00382579" w:rsidRDefault="00C94821" w:rsidP="008526BA">
            <w:r w:rsidRPr="00382579">
              <w:t>ISO</w:t>
            </w:r>
          </w:p>
        </w:tc>
        <w:tc>
          <w:tcPr>
            <w:tcW w:w="4748" w:type="dxa"/>
            <w:vAlign w:val="center"/>
          </w:tcPr>
          <w:p w14:paraId="223C8BEC" w14:textId="77777777" w:rsidR="00C94821" w:rsidRPr="00382579" w:rsidRDefault="00C94821" w:rsidP="008526BA">
            <w:r w:rsidRPr="00382579">
              <w:rPr>
                <w:rFonts w:eastAsia="DengXian"/>
                <w:color w:val="000000"/>
              </w:rPr>
              <w:t>ISO audit, ISO assurance</w:t>
            </w:r>
          </w:p>
        </w:tc>
      </w:tr>
      <w:tr w:rsidR="00C94821" w:rsidRPr="00382579" w14:paraId="4C489B7E" w14:textId="77777777" w:rsidTr="008526BA">
        <w:tc>
          <w:tcPr>
            <w:tcW w:w="2765" w:type="dxa"/>
          </w:tcPr>
          <w:p w14:paraId="69D13B6A" w14:textId="77777777" w:rsidR="00C94821" w:rsidRPr="00382579" w:rsidRDefault="00C94821" w:rsidP="008526BA">
            <w:proofErr w:type="spellStart"/>
            <w:r w:rsidRPr="00382579">
              <w:t>Webtrust</w:t>
            </w:r>
            <w:proofErr w:type="spellEnd"/>
          </w:p>
        </w:tc>
        <w:tc>
          <w:tcPr>
            <w:tcW w:w="4748" w:type="dxa"/>
            <w:vAlign w:val="center"/>
          </w:tcPr>
          <w:p w14:paraId="1AE13205" w14:textId="77777777" w:rsidR="00C94821" w:rsidRPr="00382579" w:rsidRDefault="00C94821" w:rsidP="008526BA">
            <w:proofErr w:type="spellStart"/>
            <w:r w:rsidRPr="00382579">
              <w:rPr>
                <w:rFonts w:eastAsia="DengXian"/>
                <w:color w:val="000000"/>
              </w:rPr>
              <w:t>WebTrust</w:t>
            </w:r>
            <w:proofErr w:type="spellEnd"/>
            <w:r w:rsidRPr="00382579">
              <w:rPr>
                <w:rFonts w:eastAsia="DengXian"/>
                <w:color w:val="000000"/>
              </w:rPr>
              <w:t xml:space="preserve"> assurance, </w:t>
            </w:r>
            <w:proofErr w:type="spellStart"/>
            <w:r w:rsidRPr="00382579">
              <w:rPr>
                <w:rFonts w:eastAsia="DengXian"/>
                <w:color w:val="000000"/>
              </w:rPr>
              <w:t>WebTrust</w:t>
            </w:r>
            <w:proofErr w:type="spellEnd"/>
            <w:r w:rsidRPr="00382579">
              <w:rPr>
                <w:rFonts w:eastAsia="DengXian"/>
                <w:color w:val="000000"/>
              </w:rPr>
              <w:t xml:space="preserve"> audit, e-commerce assurance</w:t>
            </w:r>
          </w:p>
        </w:tc>
      </w:tr>
      <w:tr w:rsidR="00C94821" w:rsidRPr="00382579" w14:paraId="68246132" w14:textId="77777777" w:rsidTr="008526BA">
        <w:tc>
          <w:tcPr>
            <w:tcW w:w="2765" w:type="dxa"/>
          </w:tcPr>
          <w:p w14:paraId="18821B06" w14:textId="77777777" w:rsidR="00C94821" w:rsidRPr="00382579" w:rsidRDefault="00C94821" w:rsidP="008526BA">
            <w:r w:rsidRPr="00382579">
              <w:t>Sustainability</w:t>
            </w:r>
          </w:p>
        </w:tc>
        <w:tc>
          <w:tcPr>
            <w:tcW w:w="4748" w:type="dxa"/>
            <w:vAlign w:val="center"/>
          </w:tcPr>
          <w:p w14:paraId="52537E62" w14:textId="77777777" w:rsidR="00C94821" w:rsidRPr="00382579" w:rsidRDefault="00C94821" w:rsidP="008526BA">
            <w:r w:rsidRPr="00382579">
              <w:rPr>
                <w:rFonts w:eastAsia="DengXian"/>
                <w:color w:val="000000"/>
              </w:rPr>
              <w:t>sustainability audit, sustainability assurance</w:t>
            </w:r>
          </w:p>
        </w:tc>
      </w:tr>
      <w:tr w:rsidR="00C94821" w:rsidRPr="00382579" w14:paraId="10BC50DE" w14:textId="77777777" w:rsidTr="008526BA">
        <w:tc>
          <w:tcPr>
            <w:tcW w:w="2765" w:type="dxa"/>
          </w:tcPr>
          <w:p w14:paraId="56B1B512" w14:textId="77777777" w:rsidR="00C94821" w:rsidRPr="00382579" w:rsidRDefault="00C94821" w:rsidP="008526BA">
            <w:r w:rsidRPr="00382579">
              <w:t>CSR</w:t>
            </w:r>
          </w:p>
        </w:tc>
        <w:tc>
          <w:tcPr>
            <w:tcW w:w="4748" w:type="dxa"/>
            <w:vAlign w:val="center"/>
          </w:tcPr>
          <w:p w14:paraId="7A7C61AE" w14:textId="77777777" w:rsidR="00C94821" w:rsidRPr="00382579" w:rsidRDefault="00C94821" w:rsidP="008526BA">
            <w:r w:rsidRPr="00382579">
              <w:rPr>
                <w:rFonts w:eastAsia="DengXian"/>
                <w:color w:val="000000"/>
              </w:rPr>
              <w:t>corporate social responsibility audit, CSR assurance, CSR audit, social responsibility assurance, corporate citizenship audit</w:t>
            </w:r>
          </w:p>
        </w:tc>
      </w:tr>
      <w:tr w:rsidR="00C94821" w:rsidRPr="00382579" w14:paraId="0A1BE8C8" w14:textId="77777777" w:rsidTr="008526BA">
        <w:tc>
          <w:tcPr>
            <w:tcW w:w="2765" w:type="dxa"/>
          </w:tcPr>
          <w:p w14:paraId="2377037B" w14:textId="77777777" w:rsidR="00C94821" w:rsidRPr="00382579" w:rsidRDefault="00C94821" w:rsidP="008526BA">
            <w:r w:rsidRPr="00382579">
              <w:t>ESG</w:t>
            </w:r>
          </w:p>
        </w:tc>
        <w:tc>
          <w:tcPr>
            <w:tcW w:w="4748" w:type="dxa"/>
            <w:vAlign w:val="center"/>
          </w:tcPr>
          <w:p w14:paraId="27CD4D51" w14:textId="77777777" w:rsidR="00C94821" w:rsidRPr="00382579" w:rsidRDefault="00C94821" w:rsidP="008526BA">
            <w:r w:rsidRPr="00382579">
              <w:rPr>
                <w:rFonts w:eastAsia="DengXian"/>
                <w:color w:val="000000"/>
              </w:rPr>
              <w:t>environmental, social, and governance audit, ESG assurance, ESG performance audit, ESG performance assurance</w:t>
            </w:r>
          </w:p>
        </w:tc>
      </w:tr>
      <w:tr w:rsidR="00C94821" w:rsidRPr="00382579" w14:paraId="3981C682" w14:textId="77777777" w:rsidTr="008526BA">
        <w:tc>
          <w:tcPr>
            <w:tcW w:w="2765" w:type="dxa"/>
          </w:tcPr>
          <w:p w14:paraId="6BBDF7A7" w14:textId="77777777" w:rsidR="00C94821" w:rsidRPr="00382579" w:rsidRDefault="00C94821" w:rsidP="008526BA">
            <w:r w:rsidRPr="00382579">
              <w:t>Carbon (GHG)</w:t>
            </w:r>
          </w:p>
        </w:tc>
        <w:tc>
          <w:tcPr>
            <w:tcW w:w="4748" w:type="dxa"/>
            <w:vAlign w:val="center"/>
          </w:tcPr>
          <w:p w14:paraId="71D2A7F1" w14:textId="77777777" w:rsidR="00C94821" w:rsidRPr="00382579" w:rsidRDefault="00C94821" w:rsidP="008526BA">
            <w:r w:rsidRPr="00382579">
              <w:rPr>
                <w:rFonts w:eastAsia="DengXian"/>
                <w:color w:val="000000"/>
              </w:rPr>
              <w:t>greenhouse gas emission audit, carbon audit, emissions assurance, GHG audit, GHG assurance, carbon verification</w:t>
            </w:r>
          </w:p>
        </w:tc>
      </w:tr>
    </w:tbl>
    <w:p w14:paraId="6EB3208F" w14:textId="05F4CAD9" w:rsidR="00C94821" w:rsidRPr="00382579" w:rsidRDefault="00C94821" w:rsidP="00C94821">
      <w:pPr>
        <w:ind w:leftChars="257" w:left="617"/>
        <w:rPr>
          <w:i/>
          <w:iCs/>
        </w:rPr>
      </w:pPr>
      <w:r w:rsidRPr="00382579">
        <w:rPr>
          <w:b/>
          <w:bCs/>
        </w:rPr>
        <w:t xml:space="preserve">Table 1. </w:t>
      </w:r>
      <w:r w:rsidR="00FD4416" w:rsidRPr="00382579">
        <w:rPr>
          <w:b/>
          <w:bCs/>
        </w:rPr>
        <w:t>NFIA subject domains and associated search keywords</w:t>
      </w:r>
      <w:r w:rsidR="00FD4416" w:rsidRPr="00382579">
        <w:rPr>
          <w:b/>
          <w:bCs/>
        </w:rPr>
        <w:br/>
      </w:r>
      <w:r w:rsidRPr="00382579">
        <w:rPr>
          <w:i/>
          <w:iCs/>
        </w:rPr>
        <w:t>Source: Developed by the author using Boolean search strategies informed by Wang et al. (2023), Hasan et al. (2005), and Moroney et al. (2020)</w:t>
      </w:r>
    </w:p>
    <w:p w14:paraId="0404E275" w14:textId="77777777" w:rsidR="00C94821" w:rsidRPr="00382579" w:rsidRDefault="00C94821" w:rsidP="005F5CF4">
      <w:pPr>
        <w:pStyle w:val="ListParagraph"/>
        <w:ind w:left="360" w:firstLine="491"/>
        <w:jc w:val="both"/>
        <w:rPr>
          <w:i/>
          <w:iCs/>
        </w:rPr>
      </w:pPr>
    </w:p>
    <w:p w14:paraId="2AF6B502" w14:textId="77777777" w:rsidR="00DA15E4" w:rsidRPr="00DA15E4" w:rsidRDefault="00DA15E4" w:rsidP="00DA15E4">
      <w:pPr>
        <w:pStyle w:val="ListParagraph"/>
        <w:ind w:left="360" w:firstLine="491"/>
        <w:jc w:val="both"/>
      </w:pPr>
      <w:r w:rsidRPr="00DA15E4">
        <w:t>To ensure a comprehensive, high-quality corpus covering 1990–2025, we searched Scopus, EBSCO, Web of Science, and ProQuest. Study selection followed a transparent protocol based on four predefined criteria:</w:t>
      </w:r>
    </w:p>
    <w:p w14:paraId="558AE7DD" w14:textId="77777777" w:rsidR="00DA15E4" w:rsidRPr="00DA15E4" w:rsidRDefault="00DA15E4" w:rsidP="00DA15E4">
      <w:pPr>
        <w:pStyle w:val="ListParagraph"/>
        <w:numPr>
          <w:ilvl w:val="0"/>
          <w:numId w:val="5"/>
        </w:numPr>
        <w:jc w:val="both"/>
      </w:pPr>
      <w:r w:rsidRPr="00DA15E4">
        <w:t>Quality: Peer-reviewed articles from "A" or "A*" accounting/auditing journals (2022 ABDC list).</w:t>
      </w:r>
    </w:p>
    <w:p w14:paraId="4CEDF6D4" w14:textId="77777777" w:rsidR="00DA15E4" w:rsidRPr="00DA15E4" w:rsidRDefault="00DA15E4" w:rsidP="00DA15E4">
      <w:pPr>
        <w:pStyle w:val="ListParagraph"/>
        <w:numPr>
          <w:ilvl w:val="0"/>
          <w:numId w:val="5"/>
        </w:numPr>
        <w:jc w:val="both"/>
      </w:pPr>
      <w:r w:rsidRPr="00DA15E4">
        <w:t>Language: English-only publications.</w:t>
      </w:r>
    </w:p>
    <w:p w14:paraId="60231248" w14:textId="77777777" w:rsidR="00DA15E4" w:rsidRPr="00DA15E4" w:rsidRDefault="00DA15E4" w:rsidP="00DA15E4">
      <w:pPr>
        <w:pStyle w:val="ListParagraph"/>
        <w:numPr>
          <w:ilvl w:val="0"/>
          <w:numId w:val="5"/>
        </w:numPr>
        <w:jc w:val="both"/>
      </w:pPr>
      <w:r w:rsidRPr="00DA15E4">
        <w:t>Nature: Empirical studies (conceptual papers and policy commentaries excluded).</w:t>
      </w:r>
    </w:p>
    <w:p w14:paraId="3C814A3E" w14:textId="77777777" w:rsidR="00DA15E4" w:rsidRPr="00DA15E4" w:rsidRDefault="00DA15E4" w:rsidP="00DA15E4">
      <w:pPr>
        <w:pStyle w:val="ListParagraph"/>
        <w:numPr>
          <w:ilvl w:val="0"/>
          <w:numId w:val="5"/>
        </w:numPr>
        <w:jc w:val="both"/>
      </w:pPr>
      <w:r w:rsidRPr="00DA15E4">
        <w:t>Relevance: Substantive engagement with auditing or assurance.</w:t>
      </w:r>
    </w:p>
    <w:p w14:paraId="470A108D" w14:textId="77777777" w:rsidR="00DA15E4" w:rsidRDefault="00DA15E4" w:rsidP="00DA15E4">
      <w:pPr>
        <w:pStyle w:val="ListParagraph"/>
        <w:ind w:left="360" w:firstLine="491"/>
        <w:jc w:val="both"/>
      </w:pPr>
      <w:r w:rsidRPr="00DA15E4">
        <w:t xml:space="preserve">We identified 41 target journals from the ABDC list by screening for titles containing “accounting” or “audit,” while including relevant exceptions such as </w:t>
      </w:r>
      <w:r w:rsidRPr="00DA15E4">
        <w:rPr>
          <w:i/>
          <w:iCs/>
        </w:rPr>
        <w:t>Abacus</w:t>
      </w:r>
      <w:r w:rsidRPr="00DA15E4">
        <w:t xml:space="preserve"> and </w:t>
      </w:r>
      <w:r w:rsidRPr="00DA15E4">
        <w:rPr>
          <w:i/>
          <w:iCs/>
        </w:rPr>
        <w:t>Journal of Business Ethics</w:t>
      </w:r>
      <w:r w:rsidRPr="00DA15E4">
        <w:t xml:space="preserve"> due to their significant NFIA contributions. This final journal list is detailed in Table 2.</w:t>
      </w:r>
    </w:p>
    <w:p w14:paraId="0515E606" w14:textId="77777777" w:rsidR="00DA15E4" w:rsidRPr="00DA15E4" w:rsidRDefault="00DA15E4" w:rsidP="00DA15E4">
      <w:pPr>
        <w:pStyle w:val="ListParagraph"/>
        <w:ind w:left="360" w:firstLine="491"/>
        <w:jc w:val="both"/>
      </w:pPr>
    </w:p>
    <w:tbl>
      <w:tblPr>
        <w:tblW w:w="9188" w:type="dxa"/>
        <w:tblLook w:val="04A0" w:firstRow="1" w:lastRow="0" w:firstColumn="1" w:lastColumn="0" w:noHBand="0" w:noVBand="1"/>
      </w:tblPr>
      <w:tblGrid>
        <w:gridCol w:w="460"/>
        <w:gridCol w:w="5856"/>
        <w:gridCol w:w="1356"/>
        <w:gridCol w:w="1608"/>
      </w:tblGrid>
      <w:tr w:rsidR="00A83C0D" w:rsidRPr="00382579" w14:paraId="49942364" w14:textId="77777777" w:rsidTr="00A83C0D">
        <w:trPr>
          <w:trHeight w:val="330"/>
        </w:trPr>
        <w:tc>
          <w:tcPr>
            <w:tcW w:w="368" w:type="dxa"/>
            <w:tcBorders>
              <w:top w:val="single" w:sz="8" w:space="0" w:color="auto"/>
              <w:left w:val="single" w:sz="8" w:space="0" w:color="auto"/>
              <w:bottom w:val="single" w:sz="8" w:space="0" w:color="auto"/>
              <w:right w:val="nil"/>
            </w:tcBorders>
            <w:shd w:val="clear" w:color="000000" w:fill="FFFFFF"/>
            <w:noWrap/>
            <w:vAlign w:val="bottom"/>
            <w:hideMark/>
          </w:tcPr>
          <w:p w14:paraId="7E9DA6ED" w14:textId="77777777" w:rsidR="00A83C0D" w:rsidRPr="00382579" w:rsidRDefault="00A83C0D" w:rsidP="00A83C0D">
            <w:pPr>
              <w:rPr>
                <w:rFonts w:ascii="Calibri" w:hAnsi="Calibri" w:cs="Calibri"/>
                <w:color w:val="000000"/>
              </w:rPr>
            </w:pPr>
            <w:r w:rsidRPr="00382579">
              <w:rPr>
                <w:rFonts w:ascii="Calibri" w:hAnsi="Calibri" w:cs="Calibri"/>
                <w:color w:val="000000"/>
              </w:rPr>
              <w:lastRenderedPageBreak/>
              <w:t> </w:t>
            </w:r>
          </w:p>
        </w:tc>
        <w:tc>
          <w:tcPr>
            <w:tcW w:w="5856" w:type="dxa"/>
            <w:tcBorders>
              <w:top w:val="single" w:sz="8" w:space="0" w:color="auto"/>
              <w:left w:val="nil"/>
              <w:bottom w:val="single" w:sz="8" w:space="0" w:color="auto"/>
              <w:right w:val="nil"/>
            </w:tcBorders>
            <w:shd w:val="clear" w:color="000000" w:fill="FFFFFF"/>
            <w:noWrap/>
            <w:vAlign w:val="bottom"/>
            <w:hideMark/>
          </w:tcPr>
          <w:p w14:paraId="0119C02C" w14:textId="77777777" w:rsidR="00A83C0D" w:rsidRPr="00382579" w:rsidRDefault="00A83C0D" w:rsidP="00A83C0D">
            <w:pPr>
              <w:rPr>
                <w:rFonts w:ascii="Calibri" w:hAnsi="Calibri" w:cs="Calibri"/>
                <w:b/>
                <w:bCs/>
                <w:color w:val="000000"/>
              </w:rPr>
            </w:pPr>
            <w:r w:rsidRPr="00382579">
              <w:rPr>
                <w:rFonts w:ascii="Calibri" w:hAnsi="Calibri" w:cs="Calibri"/>
                <w:b/>
                <w:bCs/>
                <w:color w:val="000000"/>
              </w:rPr>
              <w:t>Journal Title</w:t>
            </w:r>
          </w:p>
        </w:tc>
        <w:tc>
          <w:tcPr>
            <w:tcW w:w="1356" w:type="dxa"/>
            <w:tcBorders>
              <w:top w:val="single" w:sz="8" w:space="0" w:color="auto"/>
              <w:left w:val="nil"/>
              <w:bottom w:val="single" w:sz="8" w:space="0" w:color="auto"/>
              <w:right w:val="nil"/>
            </w:tcBorders>
            <w:shd w:val="clear" w:color="000000" w:fill="FFFFFF"/>
            <w:noWrap/>
            <w:vAlign w:val="bottom"/>
            <w:hideMark/>
          </w:tcPr>
          <w:p w14:paraId="53EE0504" w14:textId="77777777" w:rsidR="00A83C0D" w:rsidRPr="00382579" w:rsidRDefault="00A83C0D" w:rsidP="00A83C0D">
            <w:pPr>
              <w:rPr>
                <w:rFonts w:ascii="Calibri" w:hAnsi="Calibri" w:cs="Calibri"/>
                <w:b/>
                <w:bCs/>
                <w:color w:val="000000"/>
              </w:rPr>
            </w:pPr>
            <w:r w:rsidRPr="00382579">
              <w:rPr>
                <w:rFonts w:ascii="Calibri" w:hAnsi="Calibri" w:cs="Calibri"/>
                <w:b/>
                <w:bCs/>
                <w:color w:val="000000"/>
              </w:rPr>
              <w:t>Year Inception</w:t>
            </w:r>
          </w:p>
        </w:tc>
        <w:tc>
          <w:tcPr>
            <w:tcW w:w="1608" w:type="dxa"/>
            <w:tcBorders>
              <w:top w:val="single" w:sz="8" w:space="0" w:color="auto"/>
              <w:left w:val="nil"/>
              <w:bottom w:val="single" w:sz="8" w:space="0" w:color="auto"/>
              <w:right w:val="single" w:sz="8" w:space="0" w:color="auto"/>
            </w:tcBorders>
            <w:shd w:val="clear" w:color="000000" w:fill="FFFFFF"/>
            <w:noWrap/>
            <w:vAlign w:val="bottom"/>
            <w:hideMark/>
          </w:tcPr>
          <w:p w14:paraId="6D434AA9" w14:textId="77777777" w:rsidR="00A83C0D" w:rsidRPr="00382579" w:rsidRDefault="00A83C0D" w:rsidP="00A83C0D">
            <w:pPr>
              <w:rPr>
                <w:rFonts w:ascii="Calibri" w:hAnsi="Calibri" w:cs="Calibri"/>
                <w:b/>
                <w:bCs/>
                <w:color w:val="000000"/>
              </w:rPr>
            </w:pPr>
            <w:r w:rsidRPr="00382579">
              <w:rPr>
                <w:rFonts w:ascii="Calibri" w:hAnsi="Calibri" w:cs="Calibri"/>
                <w:b/>
                <w:bCs/>
                <w:color w:val="000000"/>
              </w:rPr>
              <w:t>2022 rating</w:t>
            </w:r>
          </w:p>
        </w:tc>
      </w:tr>
      <w:tr w:rsidR="00A83C0D" w:rsidRPr="00382579" w14:paraId="60DA6D62"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531E7FAE"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w:t>
            </w:r>
          </w:p>
        </w:tc>
        <w:tc>
          <w:tcPr>
            <w:tcW w:w="5856" w:type="dxa"/>
            <w:tcBorders>
              <w:top w:val="nil"/>
              <w:left w:val="nil"/>
              <w:bottom w:val="nil"/>
              <w:right w:val="nil"/>
            </w:tcBorders>
            <w:shd w:val="clear" w:color="000000" w:fill="FFFFFF"/>
            <w:noWrap/>
            <w:hideMark/>
          </w:tcPr>
          <w:p w14:paraId="54151392" w14:textId="77777777" w:rsidR="00A83C0D" w:rsidRPr="00382579" w:rsidRDefault="00A83C0D" w:rsidP="00A83C0D">
            <w:pPr>
              <w:rPr>
                <w:rFonts w:ascii="Calibri" w:hAnsi="Calibri" w:cs="Calibri"/>
                <w:color w:val="000000"/>
              </w:rPr>
            </w:pPr>
            <w:r w:rsidRPr="00382579">
              <w:rPr>
                <w:rFonts w:ascii="Calibri" w:hAnsi="Calibri" w:cs="Calibri"/>
                <w:color w:val="000000"/>
              </w:rPr>
              <w:t>Accounting Auditing and Accountability Journal</w:t>
            </w:r>
          </w:p>
        </w:tc>
        <w:tc>
          <w:tcPr>
            <w:tcW w:w="1356" w:type="dxa"/>
            <w:tcBorders>
              <w:top w:val="nil"/>
              <w:left w:val="nil"/>
              <w:bottom w:val="nil"/>
              <w:right w:val="nil"/>
            </w:tcBorders>
            <w:shd w:val="clear" w:color="000000" w:fill="FFFFFF"/>
            <w:noWrap/>
            <w:hideMark/>
          </w:tcPr>
          <w:p w14:paraId="479CAE51"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1988 </w:t>
            </w:r>
          </w:p>
        </w:tc>
        <w:tc>
          <w:tcPr>
            <w:tcW w:w="1608" w:type="dxa"/>
            <w:tcBorders>
              <w:top w:val="nil"/>
              <w:left w:val="nil"/>
              <w:bottom w:val="nil"/>
              <w:right w:val="single" w:sz="8" w:space="0" w:color="auto"/>
            </w:tcBorders>
            <w:shd w:val="clear" w:color="000000" w:fill="FFFFFF"/>
            <w:noWrap/>
            <w:hideMark/>
          </w:tcPr>
          <w:p w14:paraId="60D830F1"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35680519"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36A32EA8"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w:t>
            </w:r>
          </w:p>
        </w:tc>
        <w:tc>
          <w:tcPr>
            <w:tcW w:w="5856" w:type="dxa"/>
            <w:tcBorders>
              <w:top w:val="nil"/>
              <w:left w:val="nil"/>
              <w:bottom w:val="nil"/>
              <w:right w:val="nil"/>
            </w:tcBorders>
            <w:shd w:val="clear" w:color="000000" w:fill="FFFFFF"/>
            <w:noWrap/>
            <w:hideMark/>
          </w:tcPr>
          <w:p w14:paraId="2D41A5A5" w14:textId="77777777" w:rsidR="00A83C0D" w:rsidRPr="00382579" w:rsidRDefault="00A83C0D" w:rsidP="00A83C0D">
            <w:pPr>
              <w:rPr>
                <w:rFonts w:ascii="Calibri" w:hAnsi="Calibri" w:cs="Calibri"/>
                <w:color w:val="000000"/>
              </w:rPr>
            </w:pPr>
            <w:r w:rsidRPr="00382579">
              <w:rPr>
                <w:rFonts w:ascii="Calibri" w:hAnsi="Calibri" w:cs="Calibri"/>
                <w:color w:val="000000"/>
              </w:rPr>
              <w:t>Accounting, Organizations and Society</w:t>
            </w:r>
          </w:p>
        </w:tc>
        <w:tc>
          <w:tcPr>
            <w:tcW w:w="1356" w:type="dxa"/>
            <w:tcBorders>
              <w:top w:val="nil"/>
              <w:left w:val="nil"/>
              <w:bottom w:val="nil"/>
              <w:right w:val="nil"/>
            </w:tcBorders>
            <w:shd w:val="clear" w:color="000000" w:fill="FFFFFF"/>
            <w:noWrap/>
            <w:hideMark/>
          </w:tcPr>
          <w:p w14:paraId="4A7C70C6"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1976 </w:t>
            </w:r>
          </w:p>
        </w:tc>
        <w:tc>
          <w:tcPr>
            <w:tcW w:w="1608" w:type="dxa"/>
            <w:tcBorders>
              <w:top w:val="nil"/>
              <w:left w:val="nil"/>
              <w:bottom w:val="nil"/>
              <w:right w:val="single" w:sz="8" w:space="0" w:color="auto"/>
            </w:tcBorders>
            <w:shd w:val="clear" w:color="000000" w:fill="FFFFFF"/>
            <w:noWrap/>
            <w:hideMark/>
          </w:tcPr>
          <w:p w14:paraId="22FF40D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05C76F59"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2986D5D"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w:t>
            </w:r>
          </w:p>
        </w:tc>
        <w:tc>
          <w:tcPr>
            <w:tcW w:w="5856" w:type="dxa"/>
            <w:tcBorders>
              <w:top w:val="nil"/>
              <w:left w:val="nil"/>
              <w:bottom w:val="nil"/>
              <w:right w:val="nil"/>
            </w:tcBorders>
            <w:shd w:val="clear" w:color="000000" w:fill="FFFFFF"/>
            <w:noWrap/>
            <w:hideMark/>
          </w:tcPr>
          <w:p w14:paraId="5CA88E75" w14:textId="77777777" w:rsidR="00A83C0D" w:rsidRPr="00382579" w:rsidRDefault="00A83C0D" w:rsidP="00A83C0D">
            <w:pPr>
              <w:rPr>
                <w:rFonts w:ascii="Calibri" w:hAnsi="Calibri" w:cs="Calibri"/>
                <w:color w:val="000000"/>
              </w:rPr>
            </w:pPr>
            <w:r w:rsidRPr="00382579">
              <w:rPr>
                <w:rFonts w:ascii="Calibri" w:hAnsi="Calibri" w:cs="Calibri"/>
                <w:color w:val="000000"/>
              </w:rPr>
              <w:t>Auditing: A Journal of Practice and Theory</w:t>
            </w:r>
          </w:p>
        </w:tc>
        <w:tc>
          <w:tcPr>
            <w:tcW w:w="1356" w:type="dxa"/>
            <w:tcBorders>
              <w:top w:val="nil"/>
              <w:left w:val="nil"/>
              <w:bottom w:val="nil"/>
              <w:right w:val="nil"/>
            </w:tcBorders>
            <w:shd w:val="clear" w:color="000000" w:fill="FFFFFF"/>
            <w:noWrap/>
            <w:hideMark/>
          </w:tcPr>
          <w:p w14:paraId="496DFA24"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1981 </w:t>
            </w:r>
          </w:p>
        </w:tc>
        <w:tc>
          <w:tcPr>
            <w:tcW w:w="1608" w:type="dxa"/>
            <w:tcBorders>
              <w:top w:val="nil"/>
              <w:left w:val="nil"/>
              <w:bottom w:val="nil"/>
              <w:right w:val="single" w:sz="8" w:space="0" w:color="auto"/>
            </w:tcBorders>
            <w:shd w:val="clear" w:color="000000" w:fill="FFFFFF"/>
            <w:noWrap/>
            <w:hideMark/>
          </w:tcPr>
          <w:p w14:paraId="1B22168A"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1D10EAC8"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F075A2F"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4</w:t>
            </w:r>
          </w:p>
        </w:tc>
        <w:tc>
          <w:tcPr>
            <w:tcW w:w="5856" w:type="dxa"/>
            <w:tcBorders>
              <w:top w:val="nil"/>
              <w:left w:val="nil"/>
              <w:bottom w:val="nil"/>
              <w:right w:val="nil"/>
            </w:tcBorders>
            <w:shd w:val="clear" w:color="000000" w:fill="FFFFFF"/>
            <w:noWrap/>
            <w:hideMark/>
          </w:tcPr>
          <w:p w14:paraId="681BA765" w14:textId="77777777" w:rsidR="00A83C0D" w:rsidRPr="00382579" w:rsidRDefault="00A83C0D" w:rsidP="00A83C0D">
            <w:pPr>
              <w:rPr>
                <w:rFonts w:ascii="Calibri" w:hAnsi="Calibri" w:cs="Calibri"/>
                <w:color w:val="000000"/>
              </w:rPr>
            </w:pPr>
            <w:r w:rsidRPr="00382579">
              <w:rPr>
                <w:rFonts w:ascii="Calibri" w:hAnsi="Calibri" w:cs="Calibri"/>
                <w:color w:val="000000"/>
              </w:rPr>
              <w:t>British Accounting Review</w:t>
            </w:r>
          </w:p>
        </w:tc>
        <w:tc>
          <w:tcPr>
            <w:tcW w:w="1356" w:type="dxa"/>
            <w:tcBorders>
              <w:top w:val="nil"/>
              <w:left w:val="nil"/>
              <w:bottom w:val="nil"/>
              <w:right w:val="nil"/>
            </w:tcBorders>
            <w:shd w:val="clear" w:color="000000" w:fill="FFFFFF"/>
            <w:noWrap/>
            <w:hideMark/>
          </w:tcPr>
          <w:p w14:paraId="07F1C43B"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1968 </w:t>
            </w:r>
          </w:p>
        </w:tc>
        <w:tc>
          <w:tcPr>
            <w:tcW w:w="1608" w:type="dxa"/>
            <w:tcBorders>
              <w:top w:val="nil"/>
              <w:left w:val="nil"/>
              <w:bottom w:val="nil"/>
              <w:right w:val="single" w:sz="8" w:space="0" w:color="auto"/>
            </w:tcBorders>
            <w:shd w:val="clear" w:color="000000" w:fill="FFFFFF"/>
            <w:noWrap/>
            <w:hideMark/>
          </w:tcPr>
          <w:p w14:paraId="6101CC8B"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6BE9991C"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D0BBEEB"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5</w:t>
            </w:r>
          </w:p>
        </w:tc>
        <w:tc>
          <w:tcPr>
            <w:tcW w:w="5856" w:type="dxa"/>
            <w:tcBorders>
              <w:top w:val="nil"/>
              <w:left w:val="nil"/>
              <w:bottom w:val="nil"/>
              <w:right w:val="nil"/>
            </w:tcBorders>
            <w:shd w:val="clear" w:color="000000" w:fill="FFFFFF"/>
            <w:noWrap/>
            <w:hideMark/>
          </w:tcPr>
          <w:p w14:paraId="36A8030E" w14:textId="77777777" w:rsidR="00A83C0D" w:rsidRPr="00382579" w:rsidRDefault="00A83C0D" w:rsidP="00A83C0D">
            <w:pPr>
              <w:rPr>
                <w:rFonts w:ascii="Calibri" w:hAnsi="Calibri" w:cs="Calibri"/>
                <w:color w:val="000000"/>
              </w:rPr>
            </w:pPr>
            <w:r w:rsidRPr="00382579">
              <w:rPr>
                <w:rFonts w:ascii="Calibri" w:hAnsi="Calibri" w:cs="Calibri"/>
                <w:color w:val="000000"/>
              </w:rPr>
              <w:t>Contemporary Accounting Research</w:t>
            </w:r>
          </w:p>
        </w:tc>
        <w:tc>
          <w:tcPr>
            <w:tcW w:w="1356" w:type="dxa"/>
            <w:tcBorders>
              <w:top w:val="nil"/>
              <w:left w:val="nil"/>
              <w:bottom w:val="nil"/>
              <w:right w:val="nil"/>
            </w:tcBorders>
            <w:shd w:val="clear" w:color="000000" w:fill="FFFFFF"/>
            <w:noWrap/>
            <w:hideMark/>
          </w:tcPr>
          <w:p w14:paraId="668A0713"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1984 </w:t>
            </w:r>
          </w:p>
        </w:tc>
        <w:tc>
          <w:tcPr>
            <w:tcW w:w="1608" w:type="dxa"/>
            <w:tcBorders>
              <w:top w:val="nil"/>
              <w:left w:val="nil"/>
              <w:bottom w:val="nil"/>
              <w:right w:val="single" w:sz="8" w:space="0" w:color="auto"/>
            </w:tcBorders>
            <w:shd w:val="clear" w:color="000000" w:fill="FFFFFF"/>
            <w:noWrap/>
            <w:hideMark/>
          </w:tcPr>
          <w:p w14:paraId="583E5FAF"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185E8011"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BA3AD85"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6</w:t>
            </w:r>
          </w:p>
        </w:tc>
        <w:tc>
          <w:tcPr>
            <w:tcW w:w="5856" w:type="dxa"/>
            <w:tcBorders>
              <w:top w:val="nil"/>
              <w:left w:val="nil"/>
              <w:bottom w:val="nil"/>
              <w:right w:val="nil"/>
            </w:tcBorders>
            <w:shd w:val="clear" w:color="000000" w:fill="FFFFFF"/>
            <w:noWrap/>
            <w:hideMark/>
          </w:tcPr>
          <w:p w14:paraId="5144CC50"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Accounting and Economics</w:t>
            </w:r>
          </w:p>
        </w:tc>
        <w:tc>
          <w:tcPr>
            <w:tcW w:w="1356" w:type="dxa"/>
            <w:tcBorders>
              <w:top w:val="nil"/>
              <w:left w:val="nil"/>
              <w:bottom w:val="nil"/>
              <w:right w:val="nil"/>
            </w:tcBorders>
            <w:shd w:val="clear" w:color="000000" w:fill="FFFFFF"/>
            <w:noWrap/>
            <w:hideMark/>
          </w:tcPr>
          <w:p w14:paraId="575F02C9"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1979 </w:t>
            </w:r>
          </w:p>
        </w:tc>
        <w:tc>
          <w:tcPr>
            <w:tcW w:w="1608" w:type="dxa"/>
            <w:tcBorders>
              <w:top w:val="nil"/>
              <w:left w:val="nil"/>
              <w:bottom w:val="nil"/>
              <w:right w:val="single" w:sz="8" w:space="0" w:color="auto"/>
            </w:tcBorders>
            <w:shd w:val="clear" w:color="000000" w:fill="FFFFFF"/>
            <w:noWrap/>
            <w:hideMark/>
          </w:tcPr>
          <w:p w14:paraId="72FABE2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73CB6E6B"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C63DD2B"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7</w:t>
            </w:r>
          </w:p>
        </w:tc>
        <w:tc>
          <w:tcPr>
            <w:tcW w:w="5856" w:type="dxa"/>
            <w:tcBorders>
              <w:top w:val="nil"/>
              <w:left w:val="nil"/>
              <w:bottom w:val="nil"/>
              <w:right w:val="nil"/>
            </w:tcBorders>
            <w:shd w:val="clear" w:color="000000" w:fill="FFFFFF"/>
            <w:noWrap/>
            <w:hideMark/>
          </w:tcPr>
          <w:p w14:paraId="1E28C863"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Accounting Research</w:t>
            </w:r>
          </w:p>
        </w:tc>
        <w:tc>
          <w:tcPr>
            <w:tcW w:w="1356" w:type="dxa"/>
            <w:tcBorders>
              <w:top w:val="nil"/>
              <w:left w:val="nil"/>
              <w:bottom w:val="nil"/>
              <w:right w:val="nil"/>
            </w:tcBorders>
            <w:shd w:val="clear" w:color="000000" w:fill="FFFFFF"/>
            <w:noWrap/>
            <w:hideMark/>
          </w:tcPr>
          <w:p w14:paraId="1D9C4AEB"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1963 </w:t>
            </w:r>
          </w:p>
        </w:tc>
        <w:tc>
          <w:tcPr>
            <w:tcW w:w="1608" w:type="dxa"/>
            <w:tcBorders>
              <w:top w:val="nil"/>
              <w:left w:val="nil"/>
              <w:bottom w:val="nil"/>
              <w:right w:val="single" w:sz="8" w:space="0" w:color="auto"/>
            </w:tcBorders>
            <w:shd w:val="clear" w:color="000000" w:fill="FFFFFF"/>
            <w:noWrap/>
            <w:hideMark/>
          </w:tcPr>
          <w:p w14:paraId="0FF2E1C1"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7D598458"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5E57FFBF"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8</w:t>
            </w:r>
          </w:p>
        </w:tc>
        <w:tc>
          <w:tcPr>
            <w:tcW w:w="5856" w:type="dxa"/>
            <w:tcBorders>
              <w:top w:val="nil"/>
              <w:left w:val="nil"/>
              <w:bottom w:val="nil"/>
              <w:right w:val="nil"/>
            </w:tcBorders>
            <w:shd w:val="clear" w:color="000000" w:fill="FFFFFF"/>
            <w:noWrap/>
            <w:hideMark/>
          </w:tcPr>
          <w:p w14:paraId="70FB2C68"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Business Finance &amp; Accounting</w:t>
            </w:r>
          </w:p>
        </w:tc>
        <w:tc>
          <w:tcPr>
            <w:tcW w:w="1356" w:type="dxa"/>
            <w:tcBorders>
              <w:top w:val="nil"/>
              <w:left w:val="nil"/>
              <w:bottom w:val="nil"/>
              <w:right w:val="nil"/>
            </w:tcBorders>
            <w:shd w:val="clear" w:color="000000" w:fill="FFFFFF"/>
            <w:noWrap/>
            <w:hideMark/>
          </w:tcPr>
          <w:p w14:paraId="6EE392CE"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1974 </w:t>
            </w:r>
          </w:p>
        </w:tc>
        <w:tc>
          <w:tcPr>
            <w:tcW w:w="1608" w:type="dxa"/>
            <w:tcBorders>
              <w:top w:val="nil"/>
              <w:left w:val="nil"/>
              <w:bottom w:val="nil"/>
              <w:right w:val="single" w:sz="8" w:space="0" w:color="auto"/>
            </w:tcBorders>
            <w:shd w:val="clear" w:color="000000" w:fill="FFFFFF"/>
            <w:noWrap/>
            <w:hideMark/>
          </w:tcPr>
          <w:p w14:paraId="2B83E0F3"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73C326BE"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6E371B67"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9</w:t>
            </w:r>
          </w:p>
        </w:tc>
        <w:tc>
          <w:tcPr>
            <w:tcW w:w="5856" w:type="dxa"/>
            <w:tcBorders>
              <w:top w:val="nil"/>
              <w:left w:val="nil"/>
              <w:bottom w:val="nil"/>
              <w:right w:val="nil"/>
            </w:tcBorders>
            <w:shd w:val="clear" w:color="000000" w:fill="FFFFFF"/>
            <w:noWrap/>
            <w:hideMark/>
          </w:tcPr>
          <w:p w14:paraId="53232CF0"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Management Accounting Research</w:t>
            </w:r>
          </w:p>
        </w:tc>
        <w:tc>
          <w:tcPr>
            <w:tcW w:w="1356" w:type="dxa"/>
            <w:tcBorders>
              <w:top w:val="nil"/>
              <w:left w:val="nil"/>
              <w:bottom w:val="nil"/>
              <w:right w:val="nil"/>
            </w:tcBorders>
            <w:shd w:val="clear" w:color="000000" w:fill="FFFFFF"/>
            <w:noWrap/>
            <w:hideMark/>
          </w:tcPr>
          <w:p w14:paraId="077FCA08"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1989 </w:t>
            </w:r>
          </w:p>
        </w:tc>
        <w:tc>
          <w:tcPr>
            <w:tcW w:w="1608" w:type="dxa"/>
            <w:tcBorders>
              <w:top w:val="nil"/>
              <w:left w:val="nil"/>
              <w:bottom w:val="nil"/>
              <w:right w:val="single" w:sz="8" w:space="0" w:color="auto"/>
            </w:tcBorders>
            <w:shd w:val="clear" w:color="000000" w:fill="FFFFFF"/>
            <w:noWrap/>
            <w:hideMark/>
          </w:tcPr>
          <w:p w14:paraId="4C765C63"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4FC3E2DF"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0B22CA1"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10</w:t>
            </w:r>
          </w:p>
        </w:tc>
        <w:tc>
          <w:tcPr>
            <w:tcW w:w="5856" w:type="dxa"/>
            <w:tcBorders>
              <w:top w:val="nil"/>
              <w:left w:val="nil"/>
              <w:bottom w:val="nil"/>
              <w:right w:val="nil"/>
            </w:tcBorders>
            <w:shd w:val="clear" w:color="000000" w:fill="FFFFFF"/>
            <w:noWrap/>
            <w:hideMark/>
          </w:tcPr>
          <w:p w14:paraId="6E66DBA6" w14:textId="77777777" w:rsidR="00A83C0D" w:rsidRPr="00382579" w:rsidRDefault="00A83C0D" w:rsidP="00A83C0D">
            <w:pPr>
              <w:rPr>
                <w:rFonts w:ascii="Calibri" w:hAnsi="Calibri" w:cs="Calibri"/>
                <w:color w:val="000000"/>
              </w:rPr>
            </w:pPr>
            <w:r w:rsidRPr="00382579">
              <w:rPr>
                <w:rFonts w:ascii="Calibri" w:hAnsi="Calibri" w:cs="Calibri"/>
                <w:color w:val="000000"/>
              </w:rPr>
              <w:t>Management Accounting Research</w:t>
            </w:r>
          </w:p>
        </w:tc>
        <w:tc>
          <w:tcPr>
            <w:tcW w:w="1356" w:type="dxa"/>
            <w:tcBorders>
              <w:top w:val="nil"/>
              <w:left w:val="nil"/>
              <w:bottom w:val="nil"/>
              <w:right w:val="nil"/>
            </w:tcBorders>
            <w:shd w:val="clear" w:color="000000" w:fill="FFFFFF"/>
            <w:noWrap/>
            <w:hideMark/>
          </w:tcPr>
          <w:p w14:paraId="7B057439"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1990 </w:t>
            </w:r>
          </w:p>
        </w:tc>
        <w:tc>
          <w:tcPr>
            <w:tcW w:w="1608" w:type="dxa"/>
            <w:tcBorders>
              <w:top w:val="nil"/>
              <w:left w:val="nil"/>
              <w:bottom w:val="nil"/>
              <w:right w:val="single" w:sz="8" w:space="0" w:color="auto"/>
            </w:tcBorders>
            <w:shd w:val="clear" w:color="000000" w:fill="FFFFFF"/>
            <w:noWrap/>
            <w:hideMark/>
          </w:tcPr>
          <w:p w14:paraId="1B48B7E7"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6936C283"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8E36991"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11</w:t>
            </w:r>
          </w:p>
        </w:tc>
        <w:tc>
          <w:tcPr>
            <w:tcW w:w="5856" w:type="dxa"/>
            <w:tcBorders>
              <w:top w:val="nil"/>
              <w:left w:val="nil"/>
              <w:bottom w:val="nil"/>
              <w:right w:val="nil"/>
            </w:tcBorders>
            <w:shd w:val="clear" w:color="000000" w:fill="FFFFFF"/>
            <w:noWrap/>
            <w:hideMark/>
          </w:tcPr>
          <w:p w14:paraId="3755B060" w14:textId="77777777" w:rsidR="00A83C0D" w:rsidRPr="00382579" w:rsidRDefault="00A83C0D" w:rsidP="00A83C0D">
            <w:pPr>
              <w:rPr>
                <w:rFonts w:ascii="Calibri" w:hAnsi="Calibri" w:cs="Calibri"/>
                <w:color w:val="000000"/>
              </w:rPr>
            </w:pPr>
            <w:r w:rsidRPr="00382579">
              <w:rPr>
                <w:rFonts w:ascii="Calibri" w:hAnsi="Calibri" w:cs="Calibri"/>
                <w:color w:val="000000"/>
              </w:rPr>
              <w:t>Review of Accounting Studies</w:t>
            </w:r>
          </w:p>
        </w:tc>
        <w:tc>
          <w:tcPr>
            <w:tcW w:w="1356" w:type="dxa"/>
            <w:tcBorders>
              <w:top w:val="nil"/>
              <w:left w:val="nil"/>
              <w:bottom w:val="nil"/>
              <w:right w:val="nil"/>
            </w:tcBorders>
            <w:shd w:val="clear" w:color="000000" w:fill="FFFFFF"/>
            <w:noWrap/>
            <w:hideMark/>
          </w:tcPr>
          <w:p w14:paraId="6D5C1E66"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1996 </w:t>
            </w:r>
          </w:p>
        </w:tc>
        <w:tc>
          <w:tcPr>
            <w:tcW w:w="1608" w:type="dxa"/>
            <w:tcBorders>
              <w:top w:val="nil"/>
              <w:left w:val="nil"/>
              <w:bottom w:val="nil"/>
              <w:right w:val="single" w:sz="8" w:space="0" w:color="auto"/>
            </w:tcBorders>
            <w:shd w:val="clear" w:color="000000" w:fill="FFFFFF"/>
            <w:noWrap/>
            <w:hideMark/>
          </w:tcPr>
          <w:p w14:paraId="020732D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2B04BE43"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4D11C51"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12</w:t>
            </w:r>
          </w:p>
        </w:tc>
        <w:tc>
          <w:tcPr>
            <w:tcW w:w="5856" w:type="dxa"/>
            <w:tcBorders>
              <w:top w:val="nil"/>
              <w:left w:val="nil"/>
              <w:bottom w:val="nil"/>
              <w:right w:val="nil"/>
            </w:tcBorders>
            <w:shd w:val="clear" w:color="000000" w:fill="FFFFFF"/>
            <w:noWrap/>
            <w:hideMark/>
          </w:tcPr>
          <w:p w14:paraId="15384285" w14:textId="77777777" w:rsidR="00A83C0D" w:rsidRPr="00382579" w:rsidRDefault="00A83C0D" w:rsidP="00A83C0D">
            <w:pPr>
              <w:rPr>
                <w:rFonts w:ascii="Calibri" w:hAnsi="Calibri" w:cs="Calibri"/>
                <w:color w:val="000000"/>
              </w:rPr>
            </w:pPr>
            <w:r w:rsidRPr="00382579">
              <w:rPr>
                <w:rFonts w:ascii="Calibri" w:hAnsi="Calibri" w:cs="Calibri"/>
                <w:color w:val="000000"/>
              </w:rPr>
              <w:t>The Accounting Review</w:t>
            </w:r>
          </w:p>
        </w:tc>
        <w:tc>
          <w:tcPr>
            <w:tcW w:w="1356" w:type="dxa"/>
            <w:tcBorders>
              <w:top w:val="nil"/>
              <w:left w:val="nil"/>
              <w:bottom w:val="nil"/>
              <w:right w:val="nil"/>
            </w:tcBorders>
            <w:shd w:val="clear" w:color="000000" w:fill="FFFFFF"/>
            <w:noWrap/>
            <w:hideMark/>
          </w:tcPr>
          <w:p w14:paraId="2A5C9BCB"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1926 </w:t>
            </w:r>
          </w:p>
        </w:tc>
        <w:tc>
          <w:tcPr>
            <w:tcW w:w="1608" w:type="dxa"/>
            <w:tcBorders>
              <w:top w:val="nil"/>
              <w:left w:val="nil"/>
              <w:bottom w:val="nil"/>
              <w:right w:val="single" w:sz="8" w:space="0" w:color="auto"/>
            </w:tcBorders>
            <w:shd w:val="clear" w:color="000000" w:fill="FFFFFF"/>
            <w:noWrap/>
            <w:hideMark/>
          </w:tcPr>
          <w:p w14:paraId="3DD18C6B"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3E6303F3"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003DE90"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13</w:t>
            </w:r>
          </w:p>
        </w:tc>
        <w:tc>
          <w:tcPr>
            <w:tcW w:w="5856" w:type="dxa"/>
            <w:tcBorders>
              <w:top w:val="nil"/>
              <w:left w:val="nil"/>
              <w:bottom w:val="nil"/>
              <w:right w:val="nil"/>
            </w:tcBorders>
            <w:shd w:val="clear" w:color="000000" w:fill="FFFFFF"/>
            <w:noWrap/>
            <w:hideMark/>
          </w:tcPr>
          <w:p w14:paraId="5F7E2C6D" w14:textId="77777777" w:rsidR="00A83C0D" w:rsidRPr="00382579" w:rsidRDefault="00A83C0D" w:rsidP="00A83C0D">
            <w:pPr>
              <w:rPr>
                <w:rFonts w:ascii="Calibri" w:hAnsi="Calibri" w:cs="Calibri"/>
                <w:color w:val="000000"/>
              </w:rPr>
            </w:pPr>
            <w:r w:rsidRPr="00382579">
              <w:rPr>
                <w:rFonts w:ascii="Calibri" w:hAnsi="Calibri" w:cs="Calibri"/>
                <w:color w:val="000000"/>
              </w:rPr>
              <w:t>The European Accounting Review</w:t>
            </w:r>
          </w:p>
        </w:tc>
        <w:tc>
          <w:tcPr>
            <w:tcW w:w="1356" w:type="dxa"/>
            <w:tcBorders>
              <w:top w:val="nil"/>
              <w:left w:val="nil"/>
              <w:bottom w:val="nil"/>
              <w:right w:val="nil"/>
            </w:tcBorders>
            <w:shd w:val="clear" w:color="000000" w:fill="FFFFFF"/>
            <w:noWrap/>
            <w:hideMark/>
          </w:tcPr>
          <w:p w14:paraId="067B4404"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1992 </w:t>
            </w:r>
          </w:p>
        </w:tc>
        <w:tc>
          <w:tcPr>
            <w:tcW w:w="1608" w:type="dxa"/>
            <w:tcBorders>
              <w:top w:val="nil"/>
              <w:left w:val="nil"/>
              <w:bottom w:val="nil"/>
              <w:right w:val="single" w:sz="8" w:space="0" w:color="auto"/>
            </w:tcBorders>
            <w:shd w:val="clear" w:color="000000" w:fill="FFFFFF"/>
            <w:noWrap/>
            <w:hideMark/>
          </w:tcPr>
          <w:p w14:paraId="41ED0EF1"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26CE4644"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79B574B"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14</w:t>
            </w:r>
          </w:p>
        </w:tc>
        <w:tc>
          <w:tcPr>
            <w:tcW w:w="5856" w:type="dxa"/>
            <w:tcBorders>
              <w:top w:val="nil"/>
              <w:left w:val="nil"/>
              <w:bottom w:val="nil"/>
              <w:right w:val="nil"/>
            </w:tcBorders>
            <w:shd w:val="clear" w:color="000000" w:fill="FFFFFF"/>
            <w:noWrap/>
            <w:hideMark/>
          </w:tcPr>
          <w:p w14:paraId="1D70C62B" w14:textId="77777777" w:rsidR="00A83C0D" w:rsidRPr="00382579" w:rsidRDefault="00A83C0D" w:rsidP="00A83C0D">
            <w:pPr>
              <w:rPr>
                <w:rFonts w:ascii="Calibri" w:hAnsi="Calibri" w:cs="Calibri"/>
                <w:color w:val="000000"/>
              </w:rPr>
            </w:pPr>
            <w:r w:rsidRPr="00382579">
              <w:rPr>
                <w:rFonts w:ascii="Calibri" w:hAnsi="Calibri" w:cs="Calibri"/>
                <w:color w:val="000000"/>
              </w:rPr>
              <w:t>Abacus</w:t>
            </w:r>
          </w:p>
        </w:tc>
        <w:tc>
          <w:tcPr>
            <w:tcW w:w="1356" w:type="dxa"/>
            <w:tcBorders>
              <w:top w:val="nil"/>
              <w:left w:val="nil"/>
              <w:bottom w:val="nil"/>
              <w:right w:val="nil"/>
            </w:tcBorders>
            <w:shd w:val="clear" w:color="000000" w:fill="FFFFFF"/>
            <w:noWrap/>
            <w:hideMark/>
          </w:tcPr>
          <w:p w14:paraId="0A6F2515"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1965 </w:t>
            </w:r>
          </w:p>
        </w:tc>
        <w:tc>
          <w:tcPr>
            <w:tcW w:w="1608" w:type="dxa"/>
            <w:tcBorders>
              <w:top w:val="nil"/>
              <w:left w:val="nil"/>
              <w:bottom w:val="nil"/>
              <w:right w:val="single" w:sz="8" w:space="0" w:color="auto"/>
            </w:tcBorders>
            <w:shd w:val="clear" w:color="000000" w:fill="FFFFFF"/>
            <w:noWrap/>
            <w:hideMark/>
          </w:tcPr>
          <w:p w14:paraId="64EE58B7"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68239300"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526A53C0"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15</w:t>
            </w:r>
          </w:p>
        </w:tc>
        <w:tc>
          <w:tcPr>
            <w:tcW w:w="5856" w:type="dxa"/>
            <w:tcBorders>
              <w:top w:val="nil"/>
              <w:left w:val="nil"/>
              <w:bottom w:val="nil"/>
              <w:right w:val="nil"/>
            </w:tcBorders>
            <w:shd w:val="clear" w:color="000000" w:fill="FFFFFF"/>
            <w:noWrap/>
            <w:hideMark/>
          </w:tcPr>
          <w:p w14:paraId="541BDDAB" w14:textId="77777777" w:rsidR="00A83C0D" w:rsidRPr="00382579" w:rsidRDefault="00A83C0D" w:rsidP="00A83C0D">
            <w:pPr>
              <w:rPr>
                <w:rFonts w:ascii="Calibri" w:hAnsi="Calibri" w:cs="Calibri"/>
                <w:color w:val="000000"/>
              </w:rPr>
            </w:pPr>
            <w:r w:rsidRPr="00382579">
              <w:rPr>
                <w:rFonts w:ascii="Calibri" w:hAnsi="Calibri" w:cs="Calibri"/>
                <w:color w:val="000000"/>
              </w:rPr>
              <w:t>Accounting and Business Research</w:t>
            </w:r>
          </w:p>
        </w:tc>
        <w:tc>
          <w:tcPr>
            <w:tcW w:w="1356" w:type="dxa"/>
            <w:tcBorders>
              <w:top w:val="nil"/>
              <w:left w:val="nil"/>
              <w:bottom w:val="nil"/>
              <w:right w:val="nil"/>
            </w:tcBorders>
            <w:shd w:val="clear" w:color="000000" w:fill="FFFFFF"/>
            <w:noWrap/>
            <w:hideMark/>
          </w:tcPr>
          <w:p w14:paraId="4C13B8B2"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1970 </w:t>
            </w:r>
          </w:p>
        </w:tc>
        <w:tc>
          <w:tcPr>
            <w:tcW w:w="1608" w:type="dxa"/>
            <w:tcBorders>
              <w:top w:val="nil"/>
              <w:left w:val="nil"/>
              <w:bottom w:val="nil"/>
              <w:right w:val="single" w:sz="8" w:space="0" w:color="auto"/>
            </w:tcBorders>
            <w:shd w:val="clear" w:color="000000" w:fill="FFFFFF"/>
            <w:noWrap/>
            <w:hideMark/>
          </w:tcPr>
          <w:p w14:paraId="2BA15AC2"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66558B1E"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37CB4EA0"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16</w:t>
            </w:r>
          </w:p>
        </w:tc>
        <w:tc>
          <w:tcPr>
            <w:tcW w:w="5856" w:type="dxa"/>
            <w:tcBorders>
              <w:top w:val="nil"/>
              <w:left w:val="nil"/>
              <w:bottom w:val="nil"/>
              <w:right w:val="nil"/>
            </w:tcBorders>
            <w:shd w:val="clear" w:color="000000" w:fill="FFFFFF"/>
            <w:noWrap/>
            <w:hideMark/>
          </w:tcPr>
          <w:p w14:paraId="0D9431FC" w14:textId="77777777" w:rsidR="00A83C0D" w:rsidRPr="00382579" w:rsidRDefault="00A83C0D" w:rsidP="00A83C0D">
            <w:pPr>
              <w:rPr>
                <w:rFonts w:ascii="Calibri" w:hAnsi="Calibri" w:cs="Calibri"/>
                <w:color w:val="000000"/>
              </w:rPr>
            </w:pPr>
            <w:r w:rsidRPr="00382579">
              <w:rPr>
                <w:rFonts w:ascii="Calibri" w:hAnsi="Calibri" w:cs="Calibri"/>
                <w:color w:val="000000"/>
              </w:rPr>
              <w:t>Accounting and Finance</w:t>
            </w:r>
          </w:p>
        </w:tc>
        <w:tc>
          <w:tcPr>
            <w:tcW w:w="1356" w:type="dxa"/>
            <w:tcBorders>
              <w:top w:val="nil"/>
              <w:left w:val="nil"/>
              <w:bottom w:val="nil"/>
              <w:right w:val="nil"/>
            </w:tcBorders>
            <w:shd w:val="clear" w:color="000000" w:fill="FFFFFF"/>
            <w:noWrap/>
            <w:hideMark/>
          </w:tcPr>
          <w:p w14:paraId="094E4C91"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1961 </w:t>
            </w:r>
          </w:p>
        </w:tc>
        <w:tc>
          <w:tcPr>
            <w:tcW w:w="1608" w:type="dxa"/>
            <w:tcBorders>
              <w:top w:val="nil"/>
              <w:left w:val="nil"/>
              <w:bottom w:val="nil"/>
              <w:right w:val="single" w:sz="8" w:space="0" w:color="auto"/>
            </w:tcBorders>
            <w:shd w:val="clear" w:color="000000" w:fill="FFFFFF"/>
            <w:noWrap/>
            <w:hideMark/>
          </w:tcPr>
          <w:p w14:paraId="1BDC1D1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189B0706"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AC6F6D4"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17</w:t>
            </w:r>
          </w:p>
        </w:tc>
        <w:tc>
          <w:tcPr>
            <w:tcW w:w="5856" w:type="dxa"/>
            <w:tcBorders>
              <w:top w:val="nil"/>
              <w:left w:val="nil"/>
              <w:bottom w:val="nil"/>
              <w:right w:val="nil"/>
            </w:tcBorders>
            <w:shd w:val="clear" w:color="000000" w:fill="FFFFFF"/>
            <w:noWrap/>
            <w:hideMark/>
          </w:tcPr>
          <w:p w14:paraId="3DF829AA" w14:textId="77777777" w:rsidR="00A83C0D" w:rsidRPr="00382579" w:rsidRDefault="00A83C0D" w:rsidP="00A83C0D">
            <w:pPr>
              <w:rPr>
                <w:rFonts w:ascii="Calibri" w:hAnsi="Calibri" w:cs="Calibri"/>
                <w:color w:val="000000"/>
              </w:rPr>
            </w:pPr>
            <w:r w:rsidRPr="00382579">
              <w:rPr>
                <w:rFonts w:ascii="Calibri" w:hAnsi="Calibri" w:cs="Calibri"/>
                <w:color w:val="000000"/>
              </w:rPr>
              <w:t>Accounting Education</w:t>
            </w:r>
          </w:p>
        </w:tc>
        <w:tc>
          <w:tcPr>
            <w:tcW w:w="1356" w:type="dxa"/>
            <w:tcBorders>
              <w:top w:val="nil"/>
              <w:left w:val="nil"/>
              <w:bottom w:val="nil"/>
              <w:right w:val="nil"/>
            </w:tcBorders>
            <w:shd w:val="clear" w:color="000000" w:fill="FFFFFF"/>
            <w:noWrap/>
            <w:hideMark/>
          </w:tcPr>
          <w:p w14:paraId="746321F7"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1992 </w:t>
            </w:r>
          </w:p>
        </w:tc>
        <w:tc>
          <w:tcPr>
            <w:tcW w:w="1608" w:type="dxa"/>
            <w:tcBorders>
              <w:top w:val="nil"/>
              <w:left w:val="nil"/>
              <w:bottom w:val="nil"/>
              <w:right w:val="single" w:sz="8" w:space="0" w:color="auto"/>
            </w:tcBorders>
            <w:shd w:val="clear" w:color="000000" w:fill="FFFFFF"/>
            <w:noWrap/>
            <w:hideMark/>
          </w:tcPr>
          <w:p w14:paraId="1A1AFE50"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458D0A2E"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0E69415B"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18</w:t>
            </w:r>
          </w:p>
        </w:tc>
        <w:tc>
          <w:tcPr>
            <w:tcW w:w="5856" w:type="dxa"/>
            <w:tcBorders>
              <w:top w:val="nil"/>
              <w:left w:val="nil"/>
              <w:bottom w:val="nil"/>
              <w:right w:val="nil"/>
            </w:tcBorders>
            <w:shd w:val="clear" w:color="000000" w:fill="FFFFFF"/>
            <w:noWrap/>
            <w:hideMark/>
          </w:tcPr>
          <w:p w14:paraId="76FD012B" w14:textId="77777777" w:rsidR="00A83C0D" w:rsidRPr="00382579" w:rsidRDefault="00A83C0D" w:rsidP="00A83C0D">
            <w:pPr>
              <w:rPr>
                <w:rFonts w:ascii="Calibri" w:hAnsi="Calibri" w:cs="Calibri"/>
                <w:color w:val="000000"/>
              </w:rPr>
            </w:pPr>
            <w:r w:rsidRPr="00382579">
              <w:rPr>
                <w:rFonts w:ascii="Calibri" w:hAnsi="Calibri" w:cs="Calibri"/>
                <w:color w:val="000000"/>
              </w:rPr>
              <w:t>Accounting History</w:t>
            </w:r>
          </w:p>
        </w:tc>
        <w:tc>
          <w:tcPr>
            <w:tcW w:w="1356" w:type="dxa"/>
            <w:tcBorders>
              <w:top w:val="nil"/>
              <w:left w:val="nil"/>
              <w:bottom w:val="nil"/>
              <w:right w:val="nil"/>
            </w:tcBorders>
            <w:shd w:val="clear" w:color="000000" w:fill="FFFFFF"/>
            <w:noWrap/>
            <w:hideMark/>
          </w:tcPr>
          <w:p w14:paraId="6322C8E7"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1989 </w:t>
            </w:r>
          </w:p>
        </w:tc>
        <w:tc>
          <w:tcPr>
            <w:tcW w:w="1608" w:type="dxa"/>
            <w:tcBorders>
              <w:top w:val="nil"/>
              <w:left w:val="nil"/>
              <w:bottom w:val="nil"/>
              <w:right w:val="single" w:sz="8" w:space="0" w:color="auto"/>
            </w:tcBorders>
            <w:shd w:val="clear" w:color="000000" w:fill="FFFFFF"/>
            <w:noWrap/>
            <w:hideMark/>
          </w:tcPr>
          <w:p w14:paraId="4882308A"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4447E4CB"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ECC5DB4"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19</w:t>
            </w:r>
          </w:p>
        </w:tc>
        <w:tc>
          <w:tcPr>
            <w:tcW w:w="5856" w:type="dxa"/>
            <w:tcBorders>
              <w:top w:val="nil"/>
              <w:left w:val="nil"/>
              <w:bottom w:val="nil"/>
              <w:right w:val="nil"/>
            </w:tcBorders>
            <w:shd w:val="clear" w:color="000000" w:fill="FFFFFF"/>
            <w:noWrap/>
            <w:hideMark/>
          </w:tcPr>
          <w:p w14:paraId="113397D0" w14:textId="77777777" w:rsidR="00A83C0D" w:rsidRPr="00382579" w:rsidRDefault="00A83C0D" w:rsidP="00A83C0D">
            <w:pPr>
              <w:rPr>
                <w:rFonts w:ascii="Calibri" w:hAnsi="Calibri" w:cs="Calibri"/>
                <w:color w:val="000000"/>
              </w:rPr>
            </w:pPr>
            <w:r w:rsidRPr="00382579">
              <w:rPr>
                <w:rFonts w:ascii="Calibri" w:hAnsi="Calibri" w:cs="Calibri"/>
                <w:color w:val="000000"/>
              </w:rPr>
              <w:t>Accounting Horizons</w:t>
            </w:r>
          </w:p>
        </w:tc>
        <w:tc>
          <w:tcPr>
            <w:tcW w:w="1356" w:type="dxa"/>
            <w:tcBorders>
              <w:top w:val="nil"/>
              <w:left w:val="nil"/>
              <w:bottom w:val="nil"/>
              <w:right w:val="nil"/>
            </w:tcBorders>
            <w:shd w:val="clear" w:color="000000" w:fill="FFFFFF"/>
            <w:noWrap/>
            <w:hideMark/>
          </w:tcPr>
          <w:p w14:paraId="0353BCBD"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1987 </w:t>
            </w:r>
          </w:p>
        </w:tc>
        <w:tc>
          <w:tcPr>
            <w:tcW w:w="1608" w:type="dxa"/>
            <w:tcBorders>
              <w:top w:val="nil"/>
              <w:left w:val="nil"/>
              <w:bottom w:val="nil"/>
              <w:right w:val="single" w:sz="8" w:space="0" w:color="auto"/>
            </w:tcBorders>
            <w:shd w:val="clear" w:color="000000" w:fill="FFFFFF"/>
            <w:noWrap/>
            <w:hideMark/>
          </w:tcPr>
          <w:p w14:paraId="3E7C5EA6"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164E1DBE"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15210C1A"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20</w:t>
            </w:r>
          </w:p>
        </w:tc>
        <w:tc>
          <w:tcPr>
            <w:tcW w:w="5856" w:type="dxa"/>
            <w:tcBorders>
              <w:top w:val="nil"/>
              <w:left w:val="nil"/>
              <w:bottom w:val="nil"/>
              <w:right w:val="nil"/>
            </w:tcBorders>
            <w:shd w:val="clear" w:color="000000" w:fill="FFFFFF"/>
            <w:noWrap/>
            <w:hideMark/>
          </w:tcPr>
          <w:p w14:paraId="2FD9F872" w14:textId="77777777" w:rsidR="00A83C0D" w:rsidRPr="00382579" w:rsidRDefault="00A83C0D" w:rsidP="00A83C0D">
            <w:pPr>
              <w:rPr>
                <w:rFonts w:ascii="Calibri" w:hAnsi="Calibri" w:cs="Calibri"/>
                <w:color w:val="000000"/>
              </w:rPr>
            </w:pPr>
            <w:r w:rsidRPr="00382579">
              <w:rPr>
                <w:rFonts w:ascii="Calibri" w:hAnsi="Calibri" w:cs="Calibri"/>
                <w:color w:val="000000"/>
              </w:rPr>
              <w:t>Accounting in Europe</w:t>
            </w:r>
          </w:p>
        </w:tc>
        <w:tc>
          <w:tcPr>
            <w:tcW w:w="1356" w:type="dxa"/>
            <w:tcBorders>
              <w:top w:val="nil"/>
              <w:left w:val="nil"/>
              <w:bottom w:val="nil"/>
              <w:right w:val="nil"/>
            </w:tcBorders>
            <w:shd w:val="clear" w:color="000000" w:fill="FFFFFF"/>
            <w:noWrap/>
            <w:hideMark/>
          </w:tcPr>
          <w:p w14:paraId="581CED54"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2004 </w:t>
            </w:r>
          </w:p>
        </w:tc>
        <w:tc>
          <w:tcPr>
            <w:tcW w:w="1608" w:type="dxa"/>
            <w:tcBorders>
              <w:top w:val="nil"/>
              <w:left w:val="nil"/>
              <w:bottom w:val="nil"/>
              <w:right w:val="single" w:sz="8" w:space="0" w:color="auto"/>
            </w:tcBorders>
            <w:shd w:val="clear" w:color="000000" w:fill="FFFFFF"/>
            <w:noWrap/>
            <w:hideMark/>
          </w:tcPr>
          <w:p w14:paraId="68C98708"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1FDF1D59"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DD7C1B6"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21</w:t>
            </w:r>
          </w:p>
        </w:tc>
        <w:tc>
          <w:tcPr>
            <w:tcW w:w="5856" w:type="dxa"/>
            <w:tcBorders>
              <w:top w:val="nil"/>
              <w:left w:val="nil"/>
              <w:bottom w:val="nil"/>
              <w:right w:val="nil"/>
            </w:tcBorders>
            <w:shd w:val="clear" w:color="000000" w:fill="FFFFFF"/>
            <w:noWrap/>
            <w:hideMark/>
          </w:tcPr>
          <w:p w14:paraId="692F4C17" w14:textId="77777777" w:rsidR="00A83C0D" w:rsidRPr="00382579" w:rsidRDefault="00A83C0D" w:rsidP="00A83C0D">
            <w:pPr>
              <w:rPr>
                <w:rFonts w:ascii="Calibri" w:hAnsi="Calibri" w:cs="Calibri"/>
                <w:color w:val="000000"/>
              </w:rPr>
            </w:pPr>
            <w:r w:rsidRPr="00382579">
              <w:rPr>
                <w:rFonts w:ascii="Calibri" w:hAnsi="Calibri" w:cs="Calibri"/>
                <w:color w:val="000000"/>
              </w:rPr>
              <w:t>Advances in Accounting</w:t>
            </w:r>
          </w:p>
        </w:tc>
        <w:tc>
          <w:tcPr>
            <w:tcW w:w="1356" w:type="dxa"/>
            <w:tcBorders>
              <w:top w:val="nil"/>
              <w:left w:val="nil"/>
              <w:bottom w:val="nil"/>
              <w:right w:val="nil"/>
            </w:tcBorders>
            <w:shd w:val="clear" w:color="000000" w:fill="FFFFFF"/>
            <w:noWrap/>
            <w:hideMark/>
          </w:tcPr>
          <w:p w14:paraId="5686FA8D"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1984 </w:t>
            </w:r>
          </w:p>
        </w:tc>
        <w:tc>
          <w:tcPr>
            <w:tcW w:w="1608" w:type="dxa"/>
            <w:tcBorders>
              <w:top w:val="nil"/>
              <w:left w:val="nil"/>
              <w:bottom w:val="nil"/>
              <w:right w:val="single" w:sz="8" w:space="0" w:color="auto"/>
            </w:tcBorders>
            <w:shd w:val="clear" w:color="000000" w:fill="FFFFFF"/>
            <w:noWrap/>
            <w:hideMark/>
          </w:tcPr>
          <w:p w14:paraId="1346D827"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05A925AC"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D759641"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22</w:t>
            </w:r>
          </w:p>
        </w:tc>
        <w:tc>
          <w:tcPr>
            <w:tcW w:w="5856" w:type="dxa"/>
            <w:tcBorders>
              <w:top w:val="nil"/>
              <w:left w:val="nil"/>
              <w:bottom w:val="nil"/>
              <w:right w:val="nil"/>
            </w:tcBorders>
            <w:shd w:val="clear" w:color="000000" w:fill="FFFFFF"/>
            <w:noWrap/>
            <w:hideMark/>
          </w:tcPr>
          <w:p w14:paraId="33121AE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Advances in Accounting </w:t>
            </w:r>
            <w:proofErr w:type="spellStart"/>
            <w:r w:rsidRPr="00382579">
              <w:rPr>
                <w:rFonts w:ascii="Calibri" w:hAnsi="Calibri" w:cs="Calibri"/>
                <w:color w:val="000000"/>
              </w:rPr>
              <w:t>Behavioral</w:t>
            </w:r>
            <w:proofErr w:type="spellEnd"/>
            <w:r w:rsidRPr="00382579">
              <w:rPr>
                <w:rFonts w:ascii="Calibri" w:hAnsi="Calibri" w:cs="Calibri"/>
                <w:color w:val="000000"/>
              </w:rPr>
              <w:t xml:space="preserve"> Research</w:t>
            </w:r>
          </w:p>
        </w:tc>
        <w:tc>
          <w:tcPr>
            <w:tcW w:w="1356" w:type="dxa"/>
            <w:tcBorders>
              <w:top w:val="nil"/>
              <w:left w:val="nil"/>
              <w:bottom w:val="nil"/>
              <w:right w:val="nil"/>
            </w:tcBorders>
            <w:shd w:val="clear" w:color="000000" w:fill="FFFFFF"/>
            <w:noWrap/>
            <w:hideMark/>
          </w:tcPr>
          <w:p w14:paraId="589FAB5F"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1998 </w:t>
            </w:r>
          </w:p>
        </w:tc>
        <w:tc>
          <w:tcPr>
            <w:tcW w:w="1608" w:type="dxa"/>
            <w:tcBorders>
              <w:top w:val="nil"/>
              <w:left w:val="nil"/>
              <w:bottom w:val="nil"/>
              <w:right w:val="single" w:sz="8" w:space="0" w:color="auto"/>
            </w:tcBorders>
            <w:shd w:val="clear" w:color="000000" w:fill="FFFFFF"/>
            <w:noWrap/>
            <w:hideMark/>
          </w:tcPr>
          <w:p w14:paraId="007E3AF9"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36D8FCD3"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516E857"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23</w:t>
            </w:r>
          </w:p>
        </w:tc>
        <w:tc>
          <w:tcPr>
            <w:tcW w:w="5856" w:type="dxa"/>
            <w:tcBorders>
              <w:top w:val="nil"/>
              <w:left w:val="nil"/>
              <w:bottom w:val="nil"/>
              <w:right w:val="nil"/>
            </w:tcBorders>
            <w:shd w:val="clear" w:color="000000" w:fill="FFFFFF"/>
            <w:noWrap/>
            <w:hideMark/>
          </w:tcPr>
          <w:p w14:paraId="1ADC2111" w14:textId="77777777" w:rsidR="00A83C0D" w:rsidRPr="00382579" w:rsidRDefault="00A83C0D" w:rsidP="00A83C0D">
            <w:pPr>
              <w:rPr>
                <w:rFonts w:ascii="Calibri" w:hAnsi="Calibri" w:cs="Calibri"/>
                <w:color w:val="000000"/>
              </w:rPr>
            </w:pPr>
            <w:r w:rsidRPr="00382579">
              <w:rPr>
                <w:rFonts w:ascii="Calibri" w:hAnsi="Calibri" w:cs="Calibri"/>
                <w:color w:val="000000"/>
              </w:rPr>
              <w:t>Advances in Management Accounting</w:t>
            </w:r>
          </w:p>
        </w:tc>
        <w:tc>
          <w:tcPr>
            <w:tcW w:w="1356" w:type="dxa"/>
            <w:tcBorders>
              <w:top w:val="nil"/>
              <w:left w:val="nil"/>
              <w:bottom w:val="nil"/>
              <w:right w:val="nil"/>
            </w:tcBorders>
            <w:shd w:val="clear" w:color="000000" w:fill="FFFFFF"/>
            <w:noWrap/>
            <w:hideMark/>
          </w:tcPr>
          <w:p w14:paraId="09ED3A08"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1990 </w:t>
            </w:r>
          </w:p>
        </w:tc>
        <w:tc>
          <w:tcPr>
            <w:tcW w:w="1608" w:type="dxa"/>
            <w:tcBorders>
              <w:top w:val="nil"/>
              <w:left w:val="nil"/>
              <w:bottom w:val="nil"/>
              <w:right w:val="single" w:sz="8" w:space="0" w:color="auto"/>
            </w:tcBorders>
            <w:shd w:val="clear" w:color="000000" w:fill="FFFFFF"/>
            <w:noWrap/>
            <w:hideMark/>
          </w:tcPr>
          <w:p w14:paraId="6CD808DD"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3CBABA89"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3D67EBEA"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24</w:t>
            </w:r>
          </w:p>
        </w:tc>
        <w:tc>
          <w:tcPr>
            <w:tcW w:w="5856" w:type="dxa"/>
            <w:tcBorders>
              <w:top w:val="nil"/>
              <w:left w:val="nil"/>
              <w:bottom w:val="nil"/>
              <w:right w:val="nil"/>
            </w:tcBorders>
            <w:shd w:val="clear" w:color="000000" w:fill="FFFFFF"/>
            <w:noWrap/>
            <w:hideMark/>
          </w:tcPr>
          <w:p w14:paraId="56D251DD" w14:textId="77777777" w:rsidR="00A83C0D" w:rsidRPr="00382579" w:rsidRDefault="00A83C0D" w:rsidP="00A83C0D">
            <w:pPr>
              <w:rPr>
                <w:rFonts w:ascii="Calibri" w:hAnsi="Calibri" w:cs="Calibri"/>
                <w:color w:val="000000"/>
              </w:rPr>
            </w:pPr>
            <w:proofErr w:type="spellStart"/>
            <w:r w:rsidRPr="00382579">
              <w:rPr>
                <w:rFonts w:ascii="Calibri" w:hAnsi="Calibri" w:cs="Calibri"/>
                <w:color w:val="000000"/>
              </w:rPr>
              <w:t>Behavioral</w:t>
            </w:r>
            <w:proofErr w:type="spellEnd"/>
            <w:r w:rsidRPr="00382579">
              <w:rPr>
                <w:rFonts w:ascii="Calibri" w:hAnsi="Calibri" w:cs="Calibri"/>
                <w:color w:val="000000"/>
              </w:rPr>
              <w:t xml:space="preserve"> Research in Accounting</w:t>
            </w:r>
          </w:p>
        </w:tc>
        <w:tc>
          <w:tcPr>
            <w:tcW w:w="1356" w:type="dxa"/>
            <w:tcBorders>
              <w:top w:val="nil"/>
              <w:left w:val="nil"/>
              <w:bottom w:val="nil"/>
              <w:right w:val="nil"/>
            </w:tcBorders>
            <w:shd w:val="clear" w:color="000000" w:fill="FFFFFF"/>
            <w:noWrap/>
            <w:hideMark/>
          </w:tcPr>
          <w:p w14:paraId="5D9B6DAA"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1989 </w:t>
            </w:r>
          </w:p>
        </w:tc>
        <w:tc>
          <w:tcPr>
            <w:tcW w:w="1608" w:type="dxa"/>
            <w:tcBorders>
              <w:top w:val="nil"/>
              <w:left w:val="nil"/>
              <w:bottom w:val="nil"/>
              <w:right w:val="single" w:sz="8" w:space="0" w:color="auto"/>
            </w:tcBorders>
            <w:shd w:val="clear" w:color="000000" w:fill="FFFFFF"/>
            <w:noWrap/>
            <w:hideMark/>
          </w:tcPr>
          <w:p w14:paraId="2ECAFF8E"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18DF5A44"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6292EC57"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25</w:t>
            </w:r>
          </w:p>
        </w:tc>
        <w:tc>
          <w:tcPr>
            <w:tcW w:w="5856" w:type="dxa"/>
            <w:tcBorders>
              <w:top w:val="nil"/>
              <w:left w:val="nil"/>
              <w:bottom w:val="nil"/>
              <w:right w:val="nil"/>
            </w:tcBorders>
            <w:shd w:val="clear" w:color="000000" w:fill="FFFFFF"/>
            <w:noWrap/>
            <w:hideMark/>
          </w:tcPr>
          <w:p w14:paraId="3981A5E4" w14:textId="77777777" w:rsidR="00A83C0D" w:rsidRPr="00382579" w:rsidRDefault="00A83C0D" w:rsidP="00A83C0D">
            <w:pPr>
              <w:rPr>
                <w:rFonts w:ascii="Calibri" w:hAnsi="Calibri" w:cs="Calibri"/>
                <w:color w:val="000000"/>
              </w:rPr>
            </w:pPr>
            <w:r w:rsidRPr="00382579">
              <w:rPr>
                <w:rFonts w:ascii="Calibri" w:hAnsi="Calibri" w:cs="Calibri"/>
                <w:color w:val="000000"/>
              </w:rPr>
              <w:t>China Accounting and Finance Review</w:t>
            </w:r>
          </w:p>
        </w:tc>
        <w:tc>
          <w:tcPr>
            <w:tcW w:w="1356" w:type="dxa"/>
            <w:tcBorders>
              <w:top w:val="nil"/>
              <w:left w:val="nil"/>
              <w:bottom w:val="nil"/>
              <w:right w:val="nil"/>
            </w:tcBorders>
            <w:shd w:val="clear" w:color="000000" w:fill="FFFFFF"/>
            <w:noWrap/>
            <w:hideMark/>
          </w:tcPr>
          <w:p w14:paraId="3DC5DEF7"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1999 </w:t>
            </w:r>
          </w:p>
        </w:tc>
        <w:tc>
          <w:tcPr>
            <w:tcW w:w="1608" w:type="dxa"/>
            <w:tcBorders>
              <w:top w:val="nil"/>
              <w:left w:val="nil"/>
              <w:bottom w:val="nil"/>
              <w:right w:val="single" w:sz="8" w:space="0" w:color="auto"/>
            </w:tcBorders>
            <w:shd w:val="clear" w:color="000000" w:fill="FFFFFF"/>
            <w:noWrap/>
            <w:hideMark/>
          </w:tcPr>
          <w:p w14:paraId="6B0779FA"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7033FC6A"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B96B2A7"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26</w:t>
            </w:r>
          </w:p>
        </w:tc>
        <w:tc>
          <w:tcPr>
            <w:tcW w:w="5856" w:type="dxa"/>
            <w:tcBorders>
              <w:top w:val="nil"/>
              <w:left w:val="nil"/>
              <w:bottom w:val="nil"/>
              <w:right w:val="nil"/>
            </w:tcBorders>
            <w:shd w:val="clear" w:color="000000" w:fill="FFFFFF"/>
            <w:noWrap/>
            <w:hideMark/>
          </w:tcPr>
          <w:p w14:paraId="6F50833D" w14:textId="77777777" w:rsidR="00A83C0D" w:rsidRPr="00382579" w:rsidRDefault="00A83C0D" w:rsidP="00A83C0D">
            <w:pPr>
              <w:rPr>
                <w:rFonts w:ascii="Calibri" w:hAnsi="Calibri" w:cs="Calibri"/>
                <w:color w:val="000000"/>
              </w:rPr>
            </w:pPr>
            <w:r w:rsidRPr="00382579">
              <w:rPr>
                <w:rFonts w:ascii="Calibri" w:hAnsi="Calibri" w:cs="Calibri"/>
                <w:color w:val="000000"/>
              </w:rPr>
              <w:t>Critical Perspectives on Accounting</w:t>
            </w:r>
          </w:p>
        </w:tc>
        <w:tc>
          <w:tcPr>
            <w:tcW w:w="1356" w:type="dxa"/>
            <w:tcBorders>
              <w:top w:val="nil"/>
              <w:left w:val="nil"/>
              <w:bottom w:val="nil"/>
              <w:right w:val="nil"/>
            </w:tcBorders>
            <w:shd w:val="clear" w:color="000000" w:fill="FFFFFF"/>
            <w:noWrap/>
            <w:hideMark/>
          </w:tcPr>
          <w:p w14:paraId="7EC79B71"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1990 </w:t>
            </w:r>
          </w:p>
        </w:tc>
        <w:tc>
          <w:tcPr>
            <w:tcW w:w="1608" w:type="dxa"/>
            <w:tcBorders>
              <w:top w:val="nil"/>
              <w:left w:val="nil"/>
              <w:bottom w:val="nil"/>
              <w:right w:val="single" w:sz="8" w:space="0" w:color="auto"/>
            </w:tcBorders>
            <w:shd w:val="clear" w:color="000000" w:fill="FFFFFF"/>
            <w:noWrap/>
            <w:hideMark/>
          </w:tcPr>
          <w:p w14:paraId="4AA327A0"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520980EE"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15675FCD"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27</w:t>
            </w:r>
          </w:p>
        </w:tc>
        <w:tc>
          <w:tcPr>
            <w:tcW w:w="5856" w:type="dxa"/>
            <w:tcBorders>
              <w:top w:val="nil"/>
              <w:left w:val="nil"/>
              <w:bottom w:val="nil"/>
              <w:right w:val="nil"/>
            </w:tcBorders>
            <w:shd w:val="clear" w:color="000000" w:fill="FFFFFF"/>
            <w:noWrap/>
            <w:hideMark/>
          </w:tcPr>
          <w:p w14:paraId="39D30787" w14:textId="77777777" w:rsidR="00A83C0D" w:rsidRPr="00382579" w:rsidRDefault="00A83C0D" w:rsidP="00A83C0D">
            <w:pPr>
              <w:rPr>
                <w:rFonts w:ascii="Calibri" w:hAnsi="Calibri" w:cs="Calibri"/>
                <w:color w:val="000000"/>
              </w:rPr>
            </w:pPr>
            <w:r w:rsidRPr="00382579">
              <w:rPr>
                <w:rFonts w:ascii="Calibri" w:hAnsi="Calibri" w:cs="Calibri"/>
                <w:color w:val="000000"/>
              </w:rPr>
              <w:t>Financial Accountability and Management</w:t>
            </w:r>
          </w:p>
        </w:tc>
        <w:tc>
          <w:tcPr>
            <w:tcW w:w="1356" w:type="dxa"/>
            <w:tcBorders>
              <w:top w:val="nil"/>
              <w:left w:val="nil"/>
              <w:bottom w:val="nil"/>
              <w:right w:val="nil"/>
            </w:tcBorders>
            <w:shd w:val="clear" w:color="000000" w:fill="FFFFFF"/>
            <w:noWrap/>
            <w:hideMark/>
          </w:tcPr>
          <w:p w14:paraId="6FD48787"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1985 </w:t>
            </w:r>
          </w:p>
        </w:tc>
        <w:tc>
          <w:tcPr>
            <w:tcW w:w="1608" w:type="dxa"/>
            <w:tcBorders>
              <w:top w:val="nil"/>
              <w:left w:val="nil"/>
              <w:bottom w:val="nil"/>
              <w:right w:val="single" w:sz="8" w:space="0" w:color="auto"/>
            </w:tcBorders>
            <w:shd w:val="clear" w:color="000000" w:fill="FFFFFF"/>
            <w:noWrap/>
            <w:hideMark/>
          </w:tcPr>
          <w:p w14:paraId="47603CCE"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4437C3D8"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51A3F8FC"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28</w:t>
            </w:r>
          </w:p>
        </w:tc>
        <w:tc>
          <w:tcPr>
            <w:tcW w:w="5856" w:type="dxa"/>
            <w:tcBorders>
              <w:top w:val="nil"/>
              <w:left w:val="nil"/>
              <w:bottom w:val="nil"/>
              <w:right w:val="nil"/>
            </w:tcBorders>
            <w:shd w:val="clear" w:color="000000" w:fill="FFFFFF"/>
            <w:noWrap/>
            <w:hideMark/>
          </w:tcPr>
          <w:p w14:paraId="1A93C32D" w14:textId="77777777" w:rsidR="00A83C0D" w:rsidRPr="00382579" w:rsidRDefault="00A83C0D" w:rsidP="00A83C0D">
            <w:pPr>
              <w:rPr>
                <w:rFonts w:ascii="Calibri" w:hAnsi="Calibri" w:cs="Calibri"/>
                <w:color w:val="000000"/>
              </w:rPr>
            </w:pPr>
            <w:r w:rsidRPr="00382579">
              <w:rPr>
                <w:rFonts w:ascii="Calibri" w:hAnsi="Calibri" w:cs="Calibri"/>
                <w:color w:val="000000"/>
              </w:rPr>
              <w:t>Foundations and Trends in Accounting</w:t>
            </w:r>
          </w:p>
        </w:tc>
        <w:tc>
          <w:tcPr>
            <w:tcW w:w="1356" w:type="dxa"/>
            <w:tcBorders>
              <w:top w:val="nil"/>
              <w:left w:val="nil"/>
              <w:bottom w:val="nil"/>
              <w:right w:val="nil"/>
            </w:tcBorders>
            <w:shd w:val="clear" w:color="000000" w:fill="FFFFFF"/>
            <w:noWrap/>
            <w:hideMark/>
          </w:tcPr>
          <w:p w14:paraId="31B350D8"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2006 </w:t>
            </w:r>
          </w:p>
        </w:tc>
        <w:tc>
          <w:tcPr>
            <w:tcW w:w="1608" w:type="dxa"/>
            <w:tcBorders>
              <w:top w:val="nil"/>
              <w:left w:val="nil"/>
              <w:bottom w:val="nil"/>
              <w:right w:val="single" w:sz="8" w:space="0" w:color="auto"/>
            </w:tcBorders>
            <w:shd w:val="clear" w:color="000000" w:fill="FFFFFF"/>
            <w:noWrap/>
            <w:hideMark/>
          </w:tcPr>
          <w:p w14:paraId="47312A7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552B8A7C"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A61056B"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29</w:t>
            </w:r>
          </w:p>
        </w:tc>
        <w:tc>
          <w:tcPr>
            <w:tcW w:w="5856" w:type="dxa"/>
            <w:tcBorders>
              <w:top w:val="nil"/>
              <w:left w:val="nil"/>
              <w:bottom w:val="nil"/>
              <w:right w:val="nil"/>
            </w:tcBorders>
            <w:shd w:val="clear" w:color="000000" w:fill="FFFFFF"/>
            <w:noWrap/>
            <w:hideMark/>
          </w:tcPr>
          <w:p w14:paraId="6719AC71" w14:textId="77777777" w:rsidR="00A83C0D" w:rsidRPr="00382579" w:rsidRDefault="00A83C0D" w:rsidP="00A83C0D">
            <w:pPr>
              <w:rPr>
                <w:rFonts w:ascii="Calibri" w:hAnsi="Calibri" w:cs="Calibri"/>
                <w:color w:val="000000"/>
              </w:rPr>
            </w:pPr>
            <w:r w:rsidRPr="00382579">
              <w:rPr>
                <w:rFonts w:ascii="Calibri" w:hAnsi="Calibri" w:cs="Calibri"/>
                <w:color w:val="000000"/>
              </w:rPr>
              <w:t>International Journal of Accounting Information Systems</w:t>
            </w:r>
          </w:p>
        </w:tc>
        <w:tc>
          <w:tcPr>
            <w:tcW w:w="1356" w:type="dxa"/>
            <w:tcBorders>
              <w:top w:val="nil"/>
              <w:left w:val="nil"/>
              <w:bottom w:val="nil"/>
              <w:right w:val="nil"/>
            </w:tcBorders>
            <w:shd w:val="clear" w:color="000000" w:fill="FFFFFF"/>
            <w:noWrap/>
            <w:hideMark/>
          </w:tcPr>
          <w:p w14:paraId="5EF94B55"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2000 </w:t>
            </w:r>
          </w:p>
        </w:tc>
        <w:tc>
          <w:tcPr>
            <w:tcW w:w="1608" w:type="dxa"/>
            <w:tcBorders>
              <w:top w:val="nil"/>
              <w:left w:val="nil"/>
              <w:bottom w:val="nil"/>
              <w:right w:val="single" w:sz="8" w:space="0" w:color="auto"/>
            </w:tcBorders>
            <w:shd w:val="clear" w:color="000000" w:fill="FFFFFF"/>
            <w:noWrap/>
            <w:hideMark/>
          </w:tcPr>
          <w:p w14:paraId="1CCBE561"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415BBFCB"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026CA57F"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30</w:t>
            </w:r>
          </w:p>
        </w:tc>
        <w:tc>
          <w:tcPr>
            <w:tcW w:w="5856" w:type="dxa"/>
            <w:tcBorders>
              <w:top w:val="nil"/>
              <w:left w:val="nil"/>
              <w:bottom w:val="nil"/>
              <w:right w:val="nil"/>
            </w:tcBorders>
            <w:shd w:val="clear" w:color="000000" w:fill="FFFFFF"/>
            <w:noWrap/>
            <w:hideMark/>
          </w:tcPr>
          <w:p w14:paraId="1D15A293" w14:textId="77777777" w:rsidR="00A83C0D" w:rsidRPr="00382579" w:rsidRDefault="00A83C0D" w:rsidP="00A83C0D">
            <w:pPr>
              <w:rPr>
                <w:rFonts w:ascii="Calibri" w:hAnsi="Calibri" w:cs="Calibri"/>
                <w:color w:val="000000"/>
              </w:rPr>
            </w:pPr>
            <w:r w:rsidRPr="00382579">
              <w:rPr>
                <w:rFonts w:ascii="Calibri" w:hAnsi="Calibri" w:cs="Calibri"/>
                <w:color w:val="000000"/>
              </w:rPr>
              <w:t>International Journal of Auditing</w:t>
            </w:r>
          </w:p>
        </w:tc>
        <w:tc>
          <w:tcPr>
            <w:tcW w:w="1356" w:type="dxa"/>
            <w:tcBorders>
              <w:top w:val="nil"/>
              <w:left w:val="nil"/>
              <w:bottom w:val="nil"/>
              <w:right w:val="nil"/>
            </w:tcBorders>
            <w:shd w:val="clear" w:color="000000" w:fill="FFFFFF"/>
            <w:noWrap/>
            <w:hideMark/>
          </w:tcPr>
          <w:p w14:paraId="620AA60A"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1997 </w:t>
            </w:r>
          </w:p>
        </w:tc>
        <w:tc>
          <w:tcPr>
            <w:tcW w:w="1608" w:type="dxa"/>
            <w:tcBorders>
              <w:top w:val="nil"/>
              <w:left w:val="nil"/>
              <w:bottom w:val="nil"/>
              <w:right w:val="single" w:sz="8" w:space="0" w:color="auto"/>
            </w:tcBorders>
            <w:shd w:val="clear" w:color="000000" w:fill="FFFFFF"/>
            <w:noWrap/>
            <w:hideMark/>
          </w:tcPr>
          <w:p w14:paraId="4D90A6C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4F713B82"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7D9A6DC"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31</w:t>
            </w:r>
          </w:p>
        </w:tc>
        <w:tc>
          <w:tcPr>
            <w:tcW w:w="5856" w:type="dxa"/>
            <w:tcBorders>
              <w:top w:val="nil"/>
              <w:left w:val="nil"/>
              <w:bottom w:val="nil"/>
              <w:right w:val="nil"/>
            </w:tcBorders>
            <w:shd w:val="clear" w:color="000000" w:fill="FFFFFF"/>
            <w:noWrap/>
            <w:hideMark/>
          </w:tcPr>
          <w:p w14:paraId="73E33723" w14:textId="77777777" w:rsidR="00A83C0D" w:rsidRPr="00382579" w:rsidRDefault="00A83C0D" w:rsidP="00A83C0D">
            <w:pPr>
              <w:rPr>
                <w:rFonts w:ascii="Calibri" w:hAnsi="Calibri" w:cs="Calibri"/>
                <w:color w:val="000000"/>
              </w:rPr>
            </w:pPr>
            <w:r w:rsidRPr="00382579">
              <w:rPr>
                <w:rFonts w:ascii="Calibri" w:hAnsi="Calibri" w:cs="Calibri"/>
                <w:color w:val="000000"/>
              </w:rPr>
              <w:t>Issues in Accounting Education</w:t>
            </w:r>
          </w:p>
        </w:tc>
        <w:tc>
          <w:tcPr>
            <w:tcW w:w="1356" w:type="dxa"/>
            <w:tcBorders>
              <w:top w:val="nil"/>
              <w:left w:val="nil"/>
              <w:bottom w:val="nil"/>
              <w:right w:val="nil"/>
            </w:tcBorders>
            <w:shd w:val="clear" w:color="000000" w:fill="FFFFFF"/>
            <w:noWrap/>
            <w:hideMark/>
          </w:tcPr>
          <w:p w14:paraId="6EC7253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1983 </w:t>
            </w:r>
          </w:p>
        </w:tc>
        <w:tc>
          <w:tcPr>
            <w:tcW w:w="1608" w:type="dxa"/>
            <w:tcBorders>
              <w:top w:val="nil"/>
              <w:left w:val="nil"/>
              <w:bottom w:val="nil"/>
              <w:right w:val="single" w:sz="8" w:space="0" w:color="auto"/>
            </w:tcBorders>
            <w:shd w:val="clear" w:color="000000" w:fill="FFFFFF"/>
            <w:noWrap/>
            <w:hideMark/>
          </w:tcPr>
          <w:p w14:paraId="68EC61CF"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5A3C06F7"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604C6FD"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32</w:t>
            </w:r>
          </w:p>
        </w:tc>
        <w:tc>
          <w:tcPr>
            <w:tcW w:w="5856" w:type="dxa"/>
            <w:tcBorders>
              <w:top w:val="nil"/>
              <w:left w:val="nil"/>
              <w:bottom w:val="nil"/>
              <w:right w:val="nil"/>
            </w:tcBorders>
            <w:shd w:val="clear" w:color="000000" w:fill="FFFFFF"/>
            <w:noWrap/>
            <w:hideMark/>
          </w:tcPr>
          <w:p w14:paraId="4052ACCE"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Accounting and Public Policy</w:t>
            </w:r>
          </w:p>
        </w:tc>
        <w:tc>
          <w:tcPr>
            <w:tcW w:w="1356" w:type="dxa"/>
            <w:tcBorders>
              <w:top w:val="nil"/>
              <w:left w:val="nil"/>
              <w:bottom w:val="nil"/>
              <w:right w:val="nil"/>
            </w:tcBorders>
            <w:shd w:val="clear" w:color="000000" w:fill="FFFFFF"/>
            <w:noWrap/>
            <w:hideMark/>
          </w:tcPr>
          <w:p w14:paraId="3EBC2CF5"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1982 </w:t>
            </w:r>
          </w:p>
        </w:tc>
        <w:tc>
          <w:tcPr>
            <w:tcW w:w="1608" w:type="dxa"/>
            <w:tcBorders>
              <w:top w:val="nil"/>
              <w:left w:val="nil"/>
              <w:bottom w:val="nil"/>
              <w:right w:val="single" w:sz="8" w:space="0" w:color="auto"/>
            </w:tcBorders>
            <w:shd w:val="clear" w:color="000000" w:fill="FFFFFF"/>
            <w:noWrap/>
            <w:hideMark/>
          </w:tcPr>
          <w:p w14:paraId="54158FD7"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6BD34F84"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BE42618"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33</w:t>
            </w:r>
          </w:p>
        </w:tc>
        <w:tc>
          <w:tcPr>
            <w:tcW w:w="5856" w:type="dxa"/>
            <w:tcBorders>
              <w:top w:val="nil"/>
              <w:left w:val="nil"/>
              <w:bottom w:val="nil"/>
              <w:right w:val="nil"/>
            </w:tcBorders>
            <w:shd w:val="clear" w:color="000000" w:fill="FFFFFF"/>
            <w:noWrap/>
            <w:hideMark/>
          </w:tcPr>
          <w:p w14:paraId="0A9643EF"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Accounting Auditing and Finance</w:t>
            </w:r>
          </w:p>
        </w:tc>
        <w:tc>
          <w:tcPr>
            <w:tcW w:w="1356" w:type="dxa"/>
            <w:tcBorders>
              <w:top w:val="nil"/>
              <w:left w:val="nil"/>
              <w:bottom w:val="nil"/>
              <w:right w:val="nil"/>
            </w:tcBorders>
            <w:shd w:val="clear" w:color="000000" w:fill="FFFFFF"/>
            <w:noWrap/>
            <w:hideMark/>
          </w:tcPr>
          <w:p w14:paraId="41B8D9CD"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1986 </w:t>
            </w:r>
          </w:p>
        </w:tc>
        <w:tc>
          <w:tcPr>
            <w:tcW w:w="1608" w:type="dxa"/>
            <w:tcBorders>
              <w:top w:val="nil"/>
              <w:left w:val="nil"/>
              <w:bottom w:val="nil"/>
              <w:right w:val="single" w:sz="8" w:space="0" w:color="auto"/>
            </w:tcBorders>
            <w:shd w:val="clear" w:color="000000" w:fill="FFFFFF"/>
            <w:noWrap/>
            <w:hideMark/>
          </w:tcPr>
          <w:p w14:paraId="6B886D3B"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71FA92D4"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49E6820"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34</w:t>
            </w:r>
          </w:p>
        </w:tc>
        <w:tc>
          <w:tcPr>
            <w:tcW w:w="5856" w:type="dxa"/>
            <w:tcBorders>
              <w:top w:val="nil"/>
              <w:left w:val="nil"/>
              <w:bottom w:val="nil"/>
              <w:right w:val="nil"/>
            </w:tcBorders>
            <w:shd w:val="clear" w:color="000000" w:fill="FFFFFF"/>
            <w:noWrap/>
            <w:hideMark/>
          </w:tcPr>
          <w:p w14:paraId="6C0D6020"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Accounting Literature</w:t>
            </w:r>
          </w:p>
        </w:tc>
        <w:tc>
          <w:tcPr>
            <w:tcW w:w="1356" w:type="dxa"/>
            <w:tcBorders>
              <w:top w:val="nil"/>
              <w:left w:val="nil"/>
              <w:bottom w:val="nil"/>
              <w:right w:val="nil"/>
            </w:tcBorders>
            <w:shd w:val="clear" w:color="000000" w:fill="FFFFFF"/>
            <w:noWrap/>
            <w:hideMark/>
          </w:tcPr>
          <w:p w14:paraId="582D96E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1981 </w:t>
            </w:r>
          </w:p>
        </w:tc>
        <w:tc>
          <w:tcPr>
            <w:tcW w:w="1608" w:type="dxa"/>
            <w:tcBorders>
              <w:top w:val="nil"/>
              <w:left w:val="nil"/>
              <w:bottom w:val="nil"/>
              <w:right w:val="single" w:sz="8" w:space="0" w:color="auto"/>
            </w:tcBorders>
            <w:shd w:val="clear" w:color="000000" w:fill="FFFFFF"/>
            <w:noWrap/>
            <w:hideMark/>
          </w:tcPr>
          <w:p w14:paraId="6803B9C4"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40EC8C74"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34DFCE2C"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35</w:t>
            </w:r>
          </w:p>
        </w:tc>
        <w:tc>
          <w:tcPr>
            <w:tcW w:w="5856" w:type="dxa"/>
            <w:tcBorders>
              <w:top w:val="nil"/>
              <w:left w:val="nil"/>
              <w:bottom w:val="nil"/>
              <w:right w:val="nil"/>
            </w:tcBorders>
            <w:shd w:val="clear" w:color="000000" w:fill="FFFFFF"/>
            <w:noWrap/>
            <w:vAlign w:val="bottom"/>
            <w:hideMark/>
          </w:tcPr>
          <w:p w14:paraId="08F52AE8"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Business Ethics</w:t>
            </w:r>
          </w:p>
        </w:tc>
        <w:tc>
          <w:tcPr>
            <w:tcW w:w="1356" w:type="dxa"/>
            <w:tcBorders>
              <w:top w:val="nil"/>
              <w:left w:val="nil"/>
              <w:bottom w:val="nil"/>
              <w:right w:val="nil"/>
            </w:tcBorders>
            <w:shd w:val="clear" w:color="000000" w:fill="FFFFFF"/>
            <w:noWrap/>
            <w:vAlign w:val="bottom"/>
            <w:hideMark/>
          </w:tcPr>
          <w:p w14:paraId="407BAD3F"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1982 </w:t>
            </w:r>
          </w:p>
        </w:tc>
        <w:tc>
          <w:tcPr>
            <w:tcW w:w="1608" w:type="dxa"/>
            <w:tcBorders>
              <w:top w:val="nil"/>
              <w:left w:val="nil"/>
              <w:bottom w:val="nil"/>
              <w:right w:val="single" w:sz="8" w:space="0" w:color="auto"/>
            </w:tcBorders>
            <w:shd w:val="clear" w:color="000000" w:fill="FFFFFF"/>
            <w:noWrap/>
            <w:vAlign w:val="bottom"/>
            <w:hideMark/>
          </w:tcPr>
          <w:p w14:paraId="63B20EBE"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4E2F7A29"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DD51A87"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36</w:t>
            </w:r>
          </w:p>
        </w:tc>
        <w:tc>
          <w:tcPr>
            <w:tcW w:w="5856" w:type="dxa"/>
            <w:tcBorders>
              <w:top w:val="nil"/>
              <w:left w:val="nil"/>
              <w:bottom w:val="nil"/>
              <w:right w:val="nil"/>
            </w:tcBorders>
            <w:shd w:val="clear" w:color="000000" w:fill="FFFFFF"/>
            <w:noWrap/>
            <w:hideMark/>
          </w:tcPr>
          <w:p w14:paraId="03678576"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Contemporary Accounting and Economics</w:t>
            </w:r>
          </w:p>
        </w:tc>
        <w:tc>
          <w:tcPr>
            <w:tcW w:w="1356" w:type="dxa"/>
            <w:tcBorders>
              <w:top w:val="nil"/>
              <w:left w:val="nil"/>
              <w:bottom w:val="nil"/>
              <w:right w:val="nil"/>
            </w:tcBorders>
            <w:shd w:val="clear" w:color="000000" w:fill="FFFFFF"/>
            <w:noWrap/>
            <w:hideMark/>
          </w:tcPr>
          <w:p w14:paraId="3577C03B"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2005 </w:t>
            </w:r>
          </w:p>
        </w:tc>
        <w:tc>
          <w:tcPr>
            <w:tcW w:w="1608" w:type="dxa"/>
            <w:tcBorders>
              <w:top w:val="nil"/>
              <w:left w:val="nil"/>
              <w:bottom w:val="nil"/>
              <w:right w:val="single" w:sz="8" w:space="0" w:color="auto"/>
            </w:tcBorders>
            <w:shd w:val="clear" w:color="000000" w:fill="FFFFFF"/>
            <w:noWrap/>
            <w:hideMark/>
          </w:tcPr>
          <w:p w14:paraId="4E167265"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5FA23A66"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0E6E5F33"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37</w:t>
            </w:r>
          </w:p>
        </w:tc>
        <w:tc>
          <w:tcPr>
            <w:tcW w:w="5856" w:type="dxa"/>
            <w:tcBorders>
              <w:top w:val="nil"/>
              <w:left w:val="nil"/>
              <w:bottom w:val="nil"/>
              <w:right w:val="nil"/>
            </w:tcBorders>
            <w:shd w:val="clear" w:color="000000" w:fill="FFFFFF"/>
            <w:noWrap/>
            <w:hideMark/>
          </w:tcPr>
          <w:p w14:paraId="3B46D502"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International Accounting Research</w:t>
            </w:r>
          </w:p>
        </w:tc>
        <w:tc>
          <w:tcPr>
            <w:tcW w:w="1356" w:type="dxa"/>
            <w:tcBorders>
              <w:top w:val="nil"/>
              <w:left w:val="nil"/>
              <w:bottom w:val="nil"/>
              <w:right w:val="nil"/>
            </w:tcBorders>
            <w:shd w:val="clear" w:color="000000" w:fill="FFFFFF"/>
            <w:noWrap/>
            <w:hideMark/>
          </w:tcPr>
          <w:p w14:paraId="27669162"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2002 </w:t>
            </w:r>
          </w:p>
        </w:tc>
        <w:tc>
          <w:tcPr>
            <w:tcW w:w="1608" w:type="dxa"/>
            <w:tcBorders>
              <w:top w:val="nil"/>
              <w:left w:val="nil"/>
              <w:bottom w:val="nil"/>
              <w:right w:val="single" w:sz="8" w:space="0" w:color="auto"/>
            </w:tcBorders>
            <w:shd w:val="clear" w:color="000000" w:fill="FFFFFF"/>
            <w:noWrap/>
            <w:hideMark/>
          </w:tcPr>
          <w:p w14:paraId="24E42668"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00415C03"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6DA733FE"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38</w:t>
            </w:r>
          </w:p>
        </w:tc>
        <w:tc>
          <w:tcPr>
            <w:tcW w:w="5856" w:type="dxa"/>
            <w:tcBorders>
              <w:top w:val="nil"/>
              <w:left w:val="nil"/>
              <w:bottom w:val="nil"/>
              <w:right w:val="nil"/>
            </w:tcBorders>
            <w:shd w:val="clear" w:color="000000" w:fill="FFFFFF"/>
            <w:noWrap/>
            <w:hideMark/>
          </w:tcPr>
          <w:p w14:paraId="4282886A" w14:textId="77777777" w:rsidR="00A83C0D" w:rsidRPr="00382579" w:rsidRDefault="00A83C0D" w:rsidP="00A83C0D">
            <w:pPr>
              <w:rPr>
                <w:rFonts w:ascii="Calibri" w:hAnsi="Calibri" w:cs="Calibri"/>
                <w:color w:val="000000"/>
              </w:rPr>
            </w:pPr>
            <w:r w:rsidRPr="00382579">
              <w:rPr>
                <w:rFonts w:ascii="Calibri" w:hAnsi="Calibri" w:cs="Calibri"/>
                <w:color w:val="000000"/>
              </w:rPr>
              <w:t>Managerial Auditing Journal</w:t>
            </w:r>
          </w:p>
        </w:tc>
        <w:tc>
          <w:tcPr>
            <w:tcW w:w="1356" w:type="dxa"/>
            <w:tcBorders>
              <w:top w:val="nil"/>
              <w:left w:val="nil"/>
              <w:bottom w:val="nil"/>
              <w:right w:val="nil"/>
            </w:tcBorders>
            <w:shd w:val="clear" w:color="000000" w:fill="FFFFFF"/>
            <w:noWrap/>
            <w:hideMark/>
          </w:tcPr>
          <w:p w14:paraId="24B82F23"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1986 </w:t>
            </w:r>
          </w:p>
        </w:tc>
        <w:tc>
          <w:tcPr>
            <w:tcW w:w="1608" w:type="dxa"/>
            <w:tcBorders>
              <w:top w:val="nil"/>
              <w:left w:val="nil"/>
              <w:bottom w:val="nil"/>
              <w:right w:val="single" w:sz="8" w:space="0" w:color="auto"/>
            </w:tcBorders>
            <w:shd w:val="clear" w:color="000000" w:fill="FFFFFF"/>
            <w:noWrap/>
            <w:hideMark/>
          </w:tcPr>
          <w:p w14:paraId="48F52961"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0B690F63"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66739689"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39</w:t>
            </w:r>
          </w:p>
        </w:tc>
        <w:tc>
          <w:tcPr>
            <w:tcW w:w="5856" w:type="dxa"/>
            <w:tcBorders>
              <w:top w:val="nil"/>
              <w:left w:val="nil"/>
              <w:bottom w:val="nil"/>
              <w:right w:val="nil"/>
            </w:tcBorders>
            <w:shd w:val="clear" w:color="000000" w:fill="FFFFFF"/>
            <w:noWrap/>
            <w:hideMark/>
          </w:tcPr>
          <w:p w14:paraId="7B62EF7E" w14:textId="77777777" w:rsidR="00A83C0D" w:rsidRPr="00382579" w:rsidRDefault="00A83C0D" w:rsidP="00A83C0D">
            <w:pPr>
              <w:rPr>
                <w:rFonts w:ascii="Calibri" w:hAnsi="Calibri" w:cs="Calibri"/>
                <w:color w:val="000000"/>
              </w:rPr>
            </w:pPr>
            <w:proofErr w:type="spellStart"/>
            <w:r w:rsidRPr="00382579">
              <w:rPr>
                <w:rFonts w:ascii="Calibri" w:hAnsi="Calibri" w:cs="Calibri"/>
                <w:color w:val="000000"/>
              </w:rPr>
              <w:t>Meditari</w:t>
            </w:r>
            <w:proofErr w:type="spellEnd"/>
            <w:r w:rsidRPr="00382579">
              <w:rPr>
                <w:rFonts w:ascii="Calibri" w:hAnsi="Calibri" w:cs="Calibri"/>
                <w:color w:val="000000"/>
              </w:rPr>
              <w:t xml:space="preserve"> Accountancy Research</w:t>
            </w:r>
          </w:p>
        </w:tc>
        <w:tc>
          <w:tcPr>
            <w:tcW w:w="1356" w:type="dxa"/>
            <w:tcBorders>
              <w:top w:val="nil"/>
              <w:left w:val="nil"/>
              <w:bottom w:val="nil"/>
              <w:right w:val="nil"/>
            </w:tcBorders>
            <w:shd w:val="clear" w:color="000000" w:fill="FFFFFF"/>
            <w:noWrap/>
            <w:hideMark/>
          </w:tcPr>
          <w:p w14:paraId="1D8AA851"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1993 </w:t>
            </w:r>
          </w:p>
        </w:tc>
        <w:tc>
          <w:tcPr>
            <w:tcW w:w="1608" w:type="dxa"/>
            <w:tcBorders>
              <w:top w:val="nil"/>
              <w:left w:val="nil"/>
              <w:bottom w:val="nil"/>
              <w:right w:val="single" w:sz="8" w:space="0" w:color="auto"/>
            </w:tcBorders>
            <w:shd w:val="clear" w:color="000000" w:fill="FFFFFF"/>
            <w:noWrap/>
            <w:hideMark/>
          </w:tcPr>
          <w:p w14:paraId="6B67E27F"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113C32F6"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587FF625"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40</w:t>
            </w:r>
          </w:p>
        </w:tc>
        <w:tc>
          <w:tcPr>
            <w:tcW w:w="5856" w:type="dxa"/>
            <w:tcBorders>
              <w:top w:val="nil"/>
              <w:left w:val="nil"/>
              <w:bottom w:val="nil"/>
              <w:right w:val="nil"/>
            </w:tcBorders>
            <w:shd w:val="clear" w:color="000000" w:fill="FFFFFF"/>
            <w:noWrap/>
            <w:hideMark/>
          </w:tcPr>
          <w:p w14:paraId="4012D796" w14:textId="77777777" w:rsidR="00A83C0D" w:rsidRPr="00382579" w:rsidRDefault="00A83C0D" w:rsidP="00A83C0D">
            <w:pPr>
              <w:rPr>
                <w:rFonts w:ascii="Calibri" w:hAnsi="Calibri" w:cs="Calibri"/>
                <w:color w:val="000000"/>
              </w:rPr>
            </w:pPr>
            <w:r w:rsidRPr="00382579">
              <w:rPr>
                <w:rFonts w:ascii="Calibri" w:hAnsi="Calibri" w:cs="Calibri"/>
                <w:color w:val="000000"/>
              </w:rPr>
              <w:t>Qualitative Research in Accounting and Management</w:t>
            </w:r>
          </w:p>
        </w:tc>
        <w:tc>
          <w:tcPr>
            <w:tcW w:w="1356" w:type="dxa"/>
            <w:tcBorders>
              <w:top w:val="nil"/>
              <w:left w:val="nil"/>
              <w:bottom w:val="nil"/>
              <w:right w:val="nil"/>
            </w:tcBorders>
            <w:shd w:val="clear" w:color="000000" w:fill="FFFFFF"/>
            <w:noWrap/>
            <w:hideMark/>
          </w:tcPr>
          <w:p w14:paraId="2DE56FC8"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2004 </w:t>
            </w:r>
          </w:p>
        </w:tc>
        <w:tc>
          <w:tcPr>
            <w:tcW w:w="1608" w:type="dxa"/>
            <w:tcBorders>
              <w:top w:val="nil"/>
              <w:left w:val="nil"/>
              <w:bottom w:val="nil"/>
              <w:right w:val="single" w:sz="8" w:space="0" w:color="auto"/>
            </w:tcBorders>
            <w:shd w:val="clear" w:color="000000" w:fill="FFFFFF"/>
            <w:noWrap/>
            <w:hideMark/>
          </w:tcPr>
          <w:p w14:paraId="55FE20C6"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74FB97EA" w14:textId="77777777" w:rsidTr="00A83C0D">
        <w:trPr>
          <w:trHeight w:val="330"/>
        </w:trPr>
        <w:tc>
          <w:tcPr>
            <w:tcW w:w="368" w:type="dxa"/>
            <w:tcBorders>
              <w:top w:val="nil"/>
              <w:left w:val="single" w:sz="8" w:space="0" w:color="auto"/>
              <w:bottom w:val="single" w:sz="8" w:space="0" w:color="auto"/>
              <w:right w:val="nil"/>
            </w:tcBorders>
            <w:shd w:val="clear" w:color="000000" w:fill="FFFFFF"/>
            <w:noWrap/>
            <w:vAlign w:val="bottom"/>
            <w:hideMark/>
          </w:tcPr>
          <w:p w14:paraId="4D7BB17A"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lastRenderedPageBreak/>
              <w:t>41</w:t>
            </w:r>
          </w:p>
        </w:tc>
        <w:tc>
          <w:tcPr>
            <w:tcW w:w="5856" w:type="dxa"/>
            <w:tcBorders>
              <w:top w:val="nil"/>
              <w:left w:val="nil"/>
              <w:bottom w:val="single" w:sz="8" w:space="0" w:color="auto"/>
              <w:right w:val="nil"/>
            </w:tcBorders>
            <w:shd w:val="clear" w:color="000000" w:fill="FFFFFF"/>
            <w:noWrap/>
            <w:hideMark/>
          </w:tcPr>
          <w:p w14:paraId="1D54724F" w14:textId="77777777" w:rsidR="00A83C0D" w:rsidRPr="00382579" w:rsidRDefault="00A83C0D" w:rsidP="00A83C0D">
            <w:pPr>
              <w:rPr>
                <w:rFonts w:ascii="Calibri" w:hAnsi="Calibri" w:cs="Calibri"/>
                <w:color w:val="000000"/>
              </w:rPr>
            </w:pPr>
            <w:r w:rsidRPr="00382579">
              <w:rPr>
                <w:rFonts w:ascii="Calibri" w:hAnsi="Calibri" w:cs="Calibri"/>
                <w:color w:val="000000"/>
              </w:rPr>
              <w:t>The International Journal of Accounting</w:t>
            </w:r>
          </w:p>
        </w:tc>
        <w:tc>
          <w:tcPr>
            <w:tcW w:w="1356" w:type="dxa"/>
            <w:tcBorders>
              <w:top w:val="nil"/>
              <w:left w:val="nil"/>
              <w:bottom w:val="single" w:sz="8" w:space="0" w:color="auto"/>
              <w:right w:val="nil"/>
            </w:tcBorders>
            <w:shd w:val="clear" w:color="000000" w:fill="FFFFFF"/>
            <w:noWrap/>
            <w:hideMark/>
          </w:tcPr>
          <w:p w14:paraId="4BB20422"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1965 </w:t>
            </w:r>
          </w:p>
        </w:tc>
        <w:tc>
          <w:tcPr>
            <w:tcW w:w="1608" w:type="dxa"/>
            <w:tcBorders>
              <w:top w:val="nil"/>
              <w:left w:val="nil"/>
              <w:bottom w:val="single" w:sz="8" w:space="0" w:color="auto"/>
              <w:right w:val="single" w:sz="8" w:space="0" w:color="auto"/>
            </w:tcBorders>
            <w:shd w:val="clear" w:color="000000" w:fill="FFFFFF"/>
            <w:noWrap/>
            <w:hideMark/>
          </w:tcPr>
          <w:p w14:paraId="0755787A"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bl>
    <w:p w14:paraId="75B87713" w14:textId="6E2AA00B" w:rsidR="005C61D2" w:rsidRPr="00382579" w:rsidRDefault="005C61D2" w:rsidP="005C61D2">
      <w:pPr>
        <w:rPr>
          <w:i/>
          <w:iCs/>
        </w:rPr>
      </w:pPr>
      <w:r w:rsidRPr="00382579">
        <w:rPr>
          <w:b/>
          <w:bCs/>
        </w:rPr>
        <w:t xml:space="preserve">Table </w:t>
      </w:r>
      <w:r w:rsidRPr="00382579">
        <w:rPr>
          <w:rFonts w:hint="eastAsia"/>
          <w:b/>
          <w:bCs/>
        </w:rPr>
        <w:t>2</w:t>
      </w:r>
      <w:r w:rsidRPr="00382579">
        <w:rPr>
          <w:b/>
          <w:bCs/>
        </w:rPr>
        <w:t>. Top accounting journals (based on ABDC lists)</w:t>
      </w:r>
      <w:r w:rsidRPr="00382579">
        <w:br/>
      </w:r>
      <w:r w:rsidRPr="00382579">
        <w:rPr>
          <w:i/>
          <w:iCs/>
        </w:rPr>
        <w:t>Source: ABDC (2022)</w:t>
      </w:r>
    </w:p>
    <w:p w14:paraId="1E8E91FD" w14:textId="77777777" w:rsidR="00741E41" w:rsidRDefault="00741E41" w:rsidP="00741E41">
      <w:pPr>
        <w:ind w:firstLine="420"/>
      </w:pPr>
    </w:p>
    <w:p w14:paraId="44A96FB0" w14:textId="35D6011C" w:rsidR="000378CE" w:rsidRPr="00382579" w:rsidRDefault="00741E41" w:rsidP="00741E41">
      <w:pPr>
        <w:ind w:firstLine="420"/>
      </w:pPr>
      <w:r>
        <w:t xml:space="preserve">The article selection protocol was </w:t>
      </w:r>
      <w:proofErr w:type="gramStart"/>
      <w:r>
        <w:t>pilot-tested</w:t>
      </w:r>
      <w:proofErr w:type="gramEnd"/>
      <w:r>
        <w:t xml:space="preserve"> in early 2025 to refine keyword combinations and inclusion criteria. Final database searches in November 2025 yielded 3,551 records (Scopus: 961; EBSCO: 915; ProQuest: 913; Web of Science: 762). </w:t>
      </w:r>
      <w:r w:rsidR="00D34DFA" w:rsidRPr="00D34DFA">
        <w:t>Following PRISMA guidance (Page et al., 2021), as illustrated in Figure 1, we applied ABDC quality filters and performed manual, line-by-line deduplication via EndNote.</w:t>
      </w:r>
      <w:r w:rsidR="00D34DFA">
        <w:t xml:space="preserve"> </w:t>
      </w:r>
      <w:r>
        <w:t>This initial screening reduced the corpus to 176 unique records. During abstract review, an additional 52 studies were excluded (35 non-empirical; 17 marginally relevant), resulting in a final dataset of 124 empirical studies for full-text analysis.</w:t>
      </w:r>
      <w:r w:rsidR="000378CE" w:rsidRPr="00382579">
        <w:br w:type="page"/>
      </w:r>
    </w:p>
    <w:p w14:paraId="0E88BD48" w14:textId="3D0A0688" w:rsidR="00C9060A" w:rsidRPr="00382579" w:rsidRDefault="00C9060A" w:rsidP="00C9060A">
      <w:pPr>
        <w:rPr>
          <w:highlight w:val="yellow"/>
        </w:rPr>
      </w:pPr>
      <w:r w:rsidRPr="00382579">
        <w:rPr>
          <w:noProof/>
          <w:highlight w:val="yellow"/>
        </w:rPr>
        <w:lastRenderedPageBreak/>
        <mc:AlternateContent>
          <mc:Choice Requires="wps">
            <w:drawing>
              <wp:anchor distT="0" distB="0" distL="114300" distR="114300" simplePos="0" relativeHeight="251695104" behindDoc="0" locked="0" layoutInCell="1" allowOverlap="1" wp14:anchorId="1D13DCD5" wp14:editId="1E0B9FB0">
                <wp:simplePos x="0" y="0"/>
                <wp:positionH relativeFrom="column">
                  <wp:posOffset>563526</wp:posOffset>
                </wp:positionH>
                <wp:positionV relativeFrom="paragraph">
                  <wp:posOffset>74428</wp:posOffset>
                </wp:positionV>
                <wp:extent cx="4345229" cy="340242"/>
                <wp:effectExtent l="0" t="0" r="17780" b="22225"/>
                <wp:wrapNone/>
                <wp:docPr id="1026682191" name="Flowchart: Alternate Process 1026682191"/>
                <wp:cNvGraphicFramePr/>
                <a:graphic xmlns:a="http://schemas.openxmlformats.org/drawingml/2006/main">
                  <a:graphicData uri="http://schemas.microsoft.com/office/word/2010/wordprocessingShape">
                    <wps:wsp>
                      <wps:cNvSpPr/>
                      <wps:spPr>
                        <a:xfrm>
                          <a:off x="0" y="0"/>
                          <a:ext cx="4345229" cy="340242"/>
                        </a:xfrm>
                        <a:prstGeom prst="flowChartAlternateProcess">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482B3395" w14:textId="77777777" w:rsidR="00C9060A" w:rsidRPr="001502CF" w:rsidRDefault="00C9060A" w:rsidP="00C9060A">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 of studies</w:t>
                            </w:r>
                            <w:r>
                              <w:rPr>
                                <w:rFonts w:ascii="Arial" w:hAnsi="Arial" w:cs="Arial"/>
                                <w:b/>
                                <w:color w:val="000000" w:themeColor="text1"/>
                                <w:sz w:val="18"/>
                                <w:szCs w:val="18"/>
                              </w:rPr>
                              <w:t xml:space="preserve">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13DCD5"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026682191" o:spid="_x0000_s1026" type="#_x0000_t176" style="position:absolute;margin-left:44.35pt;margin-top:5.85pt;width:342.15pt;height:26.8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" fillcolor="#0f9ed5 [3207]" strokecolor="#074e69 [1607]" strokeweight="1pt">
                <v:textbox>
                  <w:txbxContent>
                    <w:p w14:paraId="482B3395" w14:textId="77777777" w:rsidR="00C9060A" w:rsidRPr="001502CF" w:rsidRDefault="00C9060A" w:rsidP="00C9060A">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 of studies</w:t>
                      </w:r>
                      <w:r>
                        <w:rPr>
                          <w:rFonts w:ascii="Arial" w:hAnsi="Arial" w:cs="Arial"/>
                          <w:b/>
                          <w:color w:val="000000" w:themeColor="text1"/>
                          <w:sz w:val="18"/>
                          <w:szCs w:val="18"/>
                        </w:rPr>
                        <w:t xml:space="preserve"> via databases and registers</w:t>
                      </w:r>
                    </w:p>
                  </w:txbxContent>
                </v:textbox>
              </v:shape>
            </w:pict>
          </mc:Fallback>
        </mc:AlternateContent>
      </w:r>
    </w:p>
    <w:p w14:paraId="2ED23133" w14:textId="77777777" w:rsidR="00C9060A" w:rsidRPr="00382579" w:rsidRDefault="00C9060A" w:rsidP="00C9060A">
      <w:pPr>
        <w:rPr>
          <w:highlight w:val="yellow"/>
        </w:rPr>
      </w:pPr>
    </w:p>
    <w:p w14:paraId="50B6344A" w14:textId="77777777" w:rsidR="00C9060A" w:rsidRPr="00CC7453" w:rsidRDefault="00C9060A" w:rsidP="00C9060A">
      <w:pPr>
        <w:rPr>
          <w:sz w:val="20"/>
          <w:szCs w:val="20"/>
          <w:highlight w:val="yellow"/>
        </w:rPr>
      </w:pPr>
    </w:p>
    <w:p w14:paraId="7900CEA6"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81792" behindDoc="0" locked="0" layoutInCell="1" allowOverlap="1" wp14:anchorId="3EF9E147" wp14:editId="2B612DAB">
                <wp:simplePos x="0" y="0"/>
                <wp:positionH relativeFrom="column">
                  <wp:posOffset>561109</wp:posOffset>
                </wp:positionH>
                <wp:positionV relativeFrom="paragraph">
                  <wp:posOffset>12815</wp:posOffset>
                </wp:positionV>
                <wp:extent cx="1887220" cy="1340428"/>
                <wp:effectExtent l="0" t="0" r="17780" b="12700"/>
                <wp:wrapNone/>
                <wp:docPr id="2085532282" name="Rectangle 2085532282"/>
                <wp:cNvGraphicFramePr/>
                <a:graphic xmlns:a="http://schemas.openxmlformats.org/drawingml/2006/main">
                  <a:graphicData uri="http://schemas.microsoft.com/office/word/2010/wordprocessingShape">
                    <wps:wsp>
                      <wps:cNvSpPr/>
                      <wps:spPr>
                        <a:xfrm>
                          <a:off x="0" y="0"/>
                          <a:ext cx="1887220" cy="134042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841C67"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identified from*:</w:t>
                            </w:r>
                          </w:p>
                          <w:p w14:paraId="26427CC0" w14:textId="77777777" w:rsidR="00C9060A"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S</w:t>
                            </w:r>
                            <w:r w:rsidRPr="00776C43">
                              <w:rPr>
                                <w:rFonts w:ascii="Arial" w:hAnsi="Arial" w:cs="Arial"/>
                                <w:color w:val="000000" w:themeColor="text1"/>
                                <w:sz w:val="18"/>
                                <w:szCs w:val="20"/>
                              </w:rPr>
                              <w:t>copus</w:t>
                            </w:r>
                            <w:r>
                              <w:rPr>
                                <w:rFonts w:ascii="Arial" w:hAnsi="Arial" w:cs="Arial"/>
                                <w:color w:val="000000" w:themeColor="text1"/>
                                <w:sz w:val="18"/>
                                <w:szCs w:val="20"/>
                              </w:rPr>
                              <w:t xml:space="preserve"> (n = 961)</w:t>
                            </w:r>
                          </w:p>
                          <w:p w14:paraId="5FB8A9B7" w14:textId="77777777" w:rsidR="00C9060A"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EBSCO (n = 915)</w:t>
                            </w:r>
                          </w:p>
                          <w:p w14:paraId="4A53B4C3" w14:textId="77777777" w:rsidR="00C9060A" w:rsidRDefault="00C9060A" w:rsidP="00C9060A">
                            <w:pPr>
                              <w:ind w:left="284"/>
                              <w:rPr>
                                <w:rFonts w:ascii="Arial" w:hAnsi="Arial" w:cs="Arial"/>
                                <w:color w:val="000000" w:themeColor="text1"/>
                                <w:sz w:val="18"/>
                                <w:szCs w:val="20"/>
                              </w:rPr>
                            </w:pPr>
                            <w:proofErr w:type="spellStart"/>
                            <w:r>
                              <w:rPr>
                                <w:rFonts w:ascii="Arial" w:hAnsi="Arial" w:cs="Arial"/>
                                <w:color w:val="000000" w:themeColor="text1"/>
                                <w:sz w:val="18"/>
                                <w:szCs w:val="20"/>
                              </w:rPr>
                              <w:t>WoS</w:t>
                            </w:r>
                            <w:proofErr w:type="spellEnd"/>
                            <w:r>
                              <w:rPr>
                                <w:rFonts w:ascii="Arial" w:hAnsi="Arial" w:cs="Arial"/>
                                <w:color w:val="000000" w:themeColor="text1"/>
                                <w:sz w:val="18"/>
                                <w:szCs w:val="20"/>
                              </w:rPr>
                              <w:t xml:space="preserve"> (n = 762)</w:t>
                            </w:r>
                          </w:p>
                          <w:p w14:paraId="084A6A2B" w14:textId="77777777" w:rsidR="00C9060A" w:rsidRDefault="00C9060A" w:rsidP="00C9060A">
                            <w:pPr>
                              <w:ind w:left="284"/>
                              <w:rPr>
                                <w:rFonts w:ascii="Arial" w:hAnsi="Arial" w:cs="Arial"/>
                                <w:color w:val="000000" w:themeColor="text1"/>
                                <w:sz w:val="18"/>
                                <w:szCs w:val="20"/>
                              </w:rPr>
                            </w:pPr>
                            <w:r w:rsidRPr="00B0531B">
                              <w:rPr>
                                <w:rFonts w:ascii="Arial" w:hAnsi="Arial" w:cs="Arial"/>
                                <w:color w:val="000000" w:themeColor="text1"/>
                                <w:sz w:val="18"/>
                                <w:szCs w:val="20"/>
                              </w:rPr>
                              <w:t>ProQuest</w:t>
                            </w:r>
                            <w:r>
                              <w:rPr>
                                <w:rFonts w:ascii="Arial" w:hAnsi="Arial" w:cs="Arial"/>
                                <w:color w:val="000000" w:themeColor="text1"/>
                                <w:sz w:val="18"/>
                                <w:szCs w:val="20"/>
                              </w:rPr>
                              <w:t xml:space="preserve"> (n = 913)</w:t>
                            </w:r>
                          </w:p>
                          <w:p w14:paraId="29D7B87B" w14:textId="77777777" w:rsidR="00C9060A" w:rsidRPr="006E4066" w:rsidRDefault="00C9060A" w:rsidP="00C9060A">
                            <w:pPr>
                              <w:ind w:left="284"/>
                              <w:rPr>
                                <w:rFonts w:ascii="Arial" w:hAnsi="Arial" w:cs="Arial"/>
                                <w:b/>
                                <w:bCs/>
                                <w:color w:val="000000" w:themeColor="text1"/>
                                <w:sz w:val="18"/>
                                <w:szCs w:val="20"/>
                              </w:rPr>
                            </w:pPr>
                            <w:r w:rsidRPr="006E4066">
                              <w:rPr>
                                <w:rFonts w:ascii="Arial" w:hAnsi="Arial" w:cs="Arial"/>
                                <w:b/>
                                <w:bCs/>
                                <w:color w:val="000000" w:themeColor="text1"/>
                                <w:sz w:val="18"/>
                                <w:szCs w:val="20"/>
                              </w:rPr>
                              <w:t xml:space="preserve">Total (n = </w:t>
                            </w:r>
                            <w:r>
                              <w:rPr>
                                <w:rFonts w:ascii="Arial" w:hAnsi="Arial" w:cs="Arial"/>
                                <w:b/>
                                <w:bCs/>
                                <w:color w:val="000000" w:themeColor="text1"/>
                                <w:sz w:val="18"/>
                                <w:szCs w:val="20"/>
                              </w:rPr>
                              <w:t>3551</w:t>
                            </w:r>
                            <w:r w:rsidRPr="006E4066">
                              <w:rPr>
                                <w:rFonts w:ascii="Arial" w:hAnsi="Arial" w:cs="Arial"/>
                                <w:b/>
                                <w:bCs/>
                                <w:color w:val="000000" w:themeColor="text1"/>
                                <w:sz w:val="18"/>
                                <w:szCs w:val="20"/>
                              </w:rPr>
                              <w:t>)</w:t>
                            </w:r>
                          </w:p>
                          <w:p w14:paraId="53CD1DC0" w14:textId="77777777" w:rsidR="00C9060A" w:rsidRPr="00560609" w:rsidRDefault="00C9060A" w:rsidP="00C9060A">
                            <w:pPr>
                              <w:ind w:left="284"/>
                              <w:rPr>
                                <w:rFonts w:ascii="Arial" w:hAnsi="Arial" w:cs="Arial"/>
                                <w:color w:val="000000" w:themeColor="text1"/>
                                <w:sz w:val="18"/>
                                <w:szCs w:val="20"/>
                              </w:rPr>
                            </w:pPr>
                          </w:p>
                          <w:p w14:paraId="7EFB2B22" w14:textId="77777777" w:rsidR="00C9060A" w:rsidRPr="00560609" w:rsidRDefault="00C9060A" w:rsidP="00C9060A">
                            <w:pPr>
                              <w:ind w:left="284"/>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F9E147" id="Rectangle 2085532282" o:spid="_x0000_s1027" style="position:absolute;margin-left:44.2pt;margin-top:1pt;width:148.6pt;height:105.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" filled="f" strokecolor="black [3213]" strokeweight="1pt">
                <v:textbox>
                  <w:txbxContent>
                    <w:p w14:paraId="4B841C67"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identified from*:</w:t>
                      </w:r>
                    </w:p>
                    <w:p w14:paraId="26427CC0" w14:textId="77777777" w:rsidR="00C9060A"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S</w:t>
                      </w:r>
                      <w:r w:rsidRPr="00776C43">
                        <w:rPr>
                          <w:rFonts w:ascii="Arial" w:hAnsi="Arial" w:cs="Arial"/>
                          <w:color w:val="000000" w:themeColor="text1"/>
                          <w:sz w:val="18"/>
                          <w:szCs w:val="20"/>
                        </w:rPr>
                        <w:t>copus</w:t>
                      </w:r>
                      <w:r>
                        <w:rPr>
                          <w:rFonts w:ascii="Arial" w:hAnsi="Arial" w:cs="Arial"/>
                          <w:color w:val="000000" w:themeColor="text1"/>
                          <w:sz w:val="18"/>
                          <w:szCs w:val="20"/>
                        </w:rPr>
                        <w:t xml:space="preserve"> (n = 961)</w:t>
                      </w:r>
                    </w:p>
                    <w:p w14:paraId="5FB8A9B7" w14:textId="77777777" w:rsidR="00C9060A"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EBSCO (n = 915)</w:t>
                      </w:r>
                    </w:p>
                    <w:p w14:paraId="4A53B4C3" w14:textId="77777777" w:rsidR="00C9060A" w:rsidRDefault="00C9060A" w:rsidP="00C9060A">
                      <w:pPr>
                        <w:ind w:left="284"/>
                        <w:rPr>
                          <w:rFonts w:ascii="Arial" w:hAnsi="Arial" w:cs="Arial"/>
                          <w:color w:val="000000" w:themeColor="text1"/>
                          <w:sz w:val="18"/>
                          <w:szCs w:val="20"/>
                        </w:rPr>
                      </w:pPr>
                      <w:proofErr w:type="spellStart"/>
                      <w:r>
                        <w:rPr>
                          <w:rFonts w:ascii="Arial" w:hAnsi="Arial" w:cs="Arial"/>
                          <w:color w:val="000000" w:themeColor="text1"/>
                          <w:sz w:val="18"/>
                          <w:szCs w:val="20"/>
                        </w:rPr>
                        <w:t>WoS</w:t>
                      </w:r>
                      <w:proofErr w:type="spellEnd"/>
                      <w:r>
                        <w:rPr>
                          <w:rFonts w:ascii="Arial" w:hAnsi="Arial" w:cs="Arial"/>
                          <w:color w:val="000000" w:themeColor="text1"/>
                          <w:sz w:val="18"/>
                          <w:szCs w:val="20"/>
                        </w:rPr>
                        <w:t xml:space="preserve"> (n = 762)</w:t>
                      </w:r>
                    </w:p>
                    <w:p w14:paraId="084A6A2B" w14:textId="77777777" w:rsidR="00C9060A" w:rsidRDefault="00C9060A" w:rsidP="00C9060A">
                      <w:pPr>
                        <w:ind w:left="284"/>
                        <w:rPr>
                          <w:rFonts w:ascii="Arial" w:hAnsi="Arial" w:cs="Arial"/>
                          <w:color w:val="000000" w:themeColor="text1"/>
                          <w:sz w:val="18"/>
                          <w:szCs w:val="20"/>
                        </w:rPr>
                      </w:pPr>
                      <w:r w:rsidRPr="00B0531B">
                        <w:rPr>
                          <w:rFonts w:ascii="Arial" w:hAnsi="Arial" w:cs="Arial"/>
                          <w:color w:val="000000" w:themeColor="text1"/>
                          <w:sz w:val="18"/>
                          <w:szCs w:val="20"/>
                        </w:rPr>
                        <w:t>ProQuest</w:t>
                      </w:r>
                      <w:r>
                        <w:rPr>
                          <w:rFonts w:ascii="Arial" w:hAnsi="Arial" w:cs="Arial"/>
                          <w:color w:val="000000" w:themeColor="text1"/>
                          <w:sz w:val="18"/>
                          <w:szCs w:val="20"/>
                        </w:rPr>
                        <w:t xml:space="preserve"> (n = 913)</w:t>
                      </w:r>
                    </w:p>
                    <w:p w14:paraId="29D7B87B" w14:textId="77777777" w:rsidR="00C9060A" w:rsidRPr="006E4066" w:rsidRDefault="00C9060A" w:rsidP="00C9060A">
                      <w:pPr>
                        <w:ind w:left="284"/>
                        <w:rPr>
                          <w:rFonts w:ascii="Arial" w:hAnsi="Arial" w:cs="Arial"/>
                          <w:b/>
                          <w:bCs/>
                          <w:color w:val="000000" w:themeColor="text1"/>
                          <w:sz w:val="18"/>
                          <w:szCs w:val="20"/>
                        </w:rPr>
                      </w:pPr>
                      <w:r w:rsidRPr="006E4066">
                        <w:rPr>
                          <w:rFonts w:ascii="Arial" w:hAnsi="Arial" w:cs="Arial"/>
                          <w:b/>
                          <w:bCs/>
                          <w:color w:val="000000" w:themeColor="text1"/>
                          <w:sz w:val="18"/>
                          <w:szCs w:val="20"/>
                        </w:rPr>
                        <w:t xml:space="preserve">Total (n = </w:t>
                      </w:r>
                      <w:r>
                        <w:rPr>
                          <w:rFonts w:ascii="Arial" w:hAnsi="Arial" w:cs="Arial"/>
                          <w:b/>
                          <w:bCs/>
                          <w:color w:val="000000" w:themeColor="text1"/>
                          <w:sz w:val="18"/>
                          <w:szCs w:val="20"/>
                        </w:rPr>
                        <w:t>3551</w:t>
                      </w:r>
                      <w:r w:rsidRPr="006E4066">
                        <w:rPr>
                          <w:rFonts w:ascii="Arial" w:hAnsi="Arial" w:cs="Arial"/>
                          <w:b/>
                          <w:bCs/>
                          <w:color w:val="000000" w:themeColor="text1"/>
                          <w:sz w:val="18"/>
                          <w:szCs w:val="20"/>
                        </w:rPr>
                        <w:t>)</w:t>
                      </w:r>
                    </w:p>
                    <w:p w14:paraId="53CD1DC0" w14:textId="77777777" w:rsidR="00C9060A" w:rsidRPr="00560609" w:rsidRDefault="00C9060A" w:rsidP="00C9060A">
                      <w:pPr>
                        <w:ind w:left="284"/>
                        <w:rPr>
                          <w:rFonts w:ascii="Arial" w:hAnsi="Arial" w:cs="Arial"/>
                          <w:color w:val="000000" w:themeColor="text1"/>
                          <w:sz w:val="18"/>
                          <w:szCs w:val="20"/>
                        </w:rPr>
                      </w:pPr>
                    </w:p>
                    <w:p w14:paraId="7EFB2B22" w14:textId="77777777" w:rsidR="00C9060A" w:rsidRPr="00560609" w:rsidRDefault="00C9060A" w:rsidP="00C9060A">
                      <w:pPr>
                        <w:ind w:left="284"/>
                        <w:rPr>
                          <w:rFonts w:ascii="Arial" w:hAnsi="Arial" w:cs="Arial"/>
                          <w:color w:val="000000" w:themeColor="text1"/>
                          <w:sz w:val="18"/>
                          <w:szCs w:val="20"/>
                        </w:rPr>
                      </w:pPr>
                    </w:p>
                  </w:txbxContent>
                </v:textbox>
              </v:rect>
            </w:pict>
          </mc:Fallback>
        </mc:AlternateContent>
      </w:r>
      <w:r w:rsidRPr="00CC7453">
        <w:rPr>
          <w:noProof/>
          <w:sz w:val="20"/>
          <w:szCs w:val="20"/>
          <w:highlight w:val="yellow"/>
        </w:rPr>
        <mc:AlternateContent>
          <mc:Choice Requires="wps">
            <w:drawing>
              <wp:anchor distT="0" distB="0" distL="114300" distR="114300" simplePos="0" relativeHeight="251682816" behindDoc="0" locked="0" layoutInCell="1" allowOverlap="1" wp14:anchorId="3C42223F" wp14:editId="5028A912">
                <wp:simplePos x="0" y="0"/>
                <wp:positionH relativeFrom="column">
                  <wp:posOffset>3040380</wp:posOffset>
                </wp:positionH>
                <wp:positionV relativeFrom="paragraph">
                  <wp:posOffset>10795</wp:posOffset>
                </wp:positionV>
                <wp:extent cx="2264410" cy="1329055"/>
                <wp:effectExtent l="0" t="0" r="21590" b="23495"/>
                <wp:wrapNone/>
                <wp:docPr id="252070438" name="Rectangle 252070438"/>
                <wp:cNvGraphicFramePr/>
                <a:graphic xmlns:a="http://schemas.openxmlformats.org/drawingml/2006/main">
                  <a:graphicData uri="http://schemas.microsoft.com/office/word/2010/wordprocessingShape">
                    <wps:wsp>
                      <wps:cNvSpPr/>
                      <wps:spPr>
                        <a:xfrm>
                          <a:off x="0" y="0"/>
                          <a:ext cx="2264410" cy="132905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01F6B7"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removed </w:t>
                            </w:r>
                            <w:r w:rsidRPr="00A85C0A">
                              <w:rPr>
                                <w:rFonts w:ascii="Arial" w:hAnsi="Arial" w:cs="Arial"/>
                                <w:i/>
                                <w:iCs/>
                                <w:color w:val="000000" w:themeColor="text1"/>
                                <w:sz w:val="18"/>
                                <w:szCs w:val="20"/>
                              </w:rPr>
                              <w:t>before screening</w:t>
                            </w:r>
                            <w:r>
                              <w:rPr>
                                <w:rFonts w:ascii="Arial" w:hAnsi="Arial" w:cs="Arial"/>
                                <w:color w:val="000000" w:themeColor="text1"/>
                                <w:sz w:val="18"/>
                                <w:szCs w:val="20"/>
                              </w:rPr>
                              <w:t>:</w:t>
                            </w:r>
                          </w:p>
                          <w:p w14:paraId="0162A573" w14:textId="77777777" w:rsidR="00C9060A"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Records marked as ineligible due to Journal quality (n = 3135)</w:t>
                            </w:r>
                          </w:p>
                          <w:p w14:paraId="4071CD85" w14:textId="77777777" w:rsidR="00C9060A" w:rsidRPr="009B3F4C" w:rsidRDefault="00C9060A" w:rsidP="00C9060A">
                            <w:pPr>
                              <w:ind w:left="284"/>
                              <w:rPr>
                                <w:rFonts w:ascii="Arial" w:hAnsi="Arial" w:cs="Arial"/>
                                <w:color w:val="000000" w:themeColor="text1"/>
                                <w:sz w:val="18"/>
                                <w:szCs w:val="20"/>
                              </w:rPr>
                            </w:pPr>
                            <w:r w:rsidRPr="009B3F4C">
                              <w:rPr>
                                <w:rFonts w:ascii="Arial" w:hAnsi="Arial" w:cs="Arial"/>
                                <w:color w:val="000000" w:themeColor="text1"/>
                                <w:sz w:val="18"/>
                                <w:szCs w:val="20"/>
                              </w:rPr>
                              <w:t>Duplicate records removed (n =</w:t>
                            </w:r>
                            <w:r>
                              <w:rPr>
                                <w:rFonts w:ascii="Arial" w:hAnsi="Arial" w:cs="Arial"/>
                                <w:color w:val="000000" w:themeColor="text1"/>
                                <w:sz w:val="18"/>
                                <w:szCs w:val="20"/>
                              </w:rPr>
                              <w:t xml:space="preserve"> 252</w:t>
                            </w:r>
                            <w:r w:rsidRPr="009B3F4C">
                              <w:rPr>
                                <w:rFonts w:ascii="Arial" w:hAnsi="Arial" w:cs="Arial"/>
                                <w:color w:val="000000" w:themeColor="text1"/>
                                <w:sz w:val="18"/>
                                <w:szCs w:val="20"/>
                              </w:rPr>
                              <w:t>)</w:t>
                            </w:r>
                          </w:p>
                          <w:p w14:paraId="68E64F9E" w14:textId="77777777" w:rsidR="00C9060A" w:rsidRPr="00560609" w:rsidRDefault="00C9060A" w:rsidP="00C9060A">
                            <w:pPr>
                              <w:ind w:left="284"/>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42223F" id="Rectangle 252070438" o:spid="_x0000_s1028" style="position:absolute;margin-left:239.4pt;margin-top:.85pt;width:178.3pt;height:104.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" filled="f" strokecolor="black [3213]" strokeweight="1pt">
                <v:textbox>
                  <w:txbxContent>
                    <w:p w14:paraId="5701F6B7"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removed </w:t>
                      </w:r>
                      <w:r w:rsidRPr="00A85C0A">
                        <w:rPr>
                          <w:rFonts w:ascii="Arial" w:hAnsi="Arial" w:cs="Arial"/>
                          <w:i/>
                          <w:iCs/>
                          <w:color w:val="000000" w:themeColor="text1"/>
                          <w:sz w:val="18"/>
                          <w:szCs w:val="20"/>
                        </w:rPr>
                        <w:t>before screening</w:t>
                      </w:r>
                      <w:r>
                        <w:rPr>
                          <w:rFonts w:ascii="Arial" w:hAnsi="Arial" w:cs="Arial"/>
                          <w:color w:val="000000" w:themeColor="text1"/>
                          <w:sz w:val="18"/>
                          <w:szCs w:val="20"/>
                        </w:rPr>
                        <w:t>:</w:t>
                      </w:r>
                    </w:p>
                    <w:p w14:paraId="0162A573" w14:textId="77777777" w:rsidR="00C9060A"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Records marked as ineligible due to Journal quality (n = 3135)</w:t>
                      </w:r>
                    </w:p>
                    <w:p w14:paraId="4071CD85" w14:textId="77777777" w:rsidR="00C9060A" w:rsidRPr="009B3F4C" w:rsidRDefault="00C9060A" w:rsidP="00C9060A">
                      <w:pPr>
                        <w:ind w:left="284"/>
                        <w:rPr>
                          <w:rFonts w:ascii="Arial" w:hAnsi="Arial" w:cs="Arial"/>
                          <w:color w:val="000000" w:themeColor="text1"/>
                          <w:sz w:val="18"/>
                          <w:szCs w:val="20"/>
                        </w:rPr>
                      </w:pPr>
                      <w:r w:rsidRPr="009B3F4C">
                        <w:rPr>
                          <w:rFonts w:ascii="Arial" w:hAnsi="Arial" w:cs="Arial"/>
                          <w:color w:val="000000" w:themeColor="text1"/>
                          <w:sz w:val="18"/>
                          <w:szCs w:val="20"/>
                        </w:rPr>
                        <w:t>Duplicate records removed (n =</w:t>
                      </w:r>
                      <w:r>
                        <w:rPr>
                          <w:rFonts w:ascii="Arial" w:hAnsi="Arial" w:cs="Arial"/>
                          <w:color w:val="000000" w:themeColor="text1"/>
                          <w:sz w:val="18"/>
                          <w:szCs w:val="20"/>
                        </w:rPr>
                        <w:t xml:space="preserve"> 252</w:t>
                      </w:r>
                      <w:r w:rsidRPr="009B3F4C">
                        <w:rPr>
                          <w:rFonts w:ascii="Arial" w:hAnsi="Arial" w:cs="Arial"/>
                          <w:color w:val="000000" w:themeColor="text1"/>
                          <w:sz w:val="18"/>
                          <w:szCs w:val="20"/>
                        </w:rPr>
                        <w:t>)</w:t>
                      </w:r>
                    </w:p>
                    <w:p w14:paraId="68E64F9E" w14:textId="77777777" w:rsidR="00C9060A" w:rsidRPr="00560609" w:rsidRDefault="00C9060A" w:rsidP="00C9060A">
                      <w:pPr>
                        <w:ind w:left="284"/>
                        <w:rPr>
                          <w:rFonts w:ascii="Arial" w:hAnsi="Arial" w:cs="Arial"/>
                          <w:color w:val="000000" w:themeColor="text1"/>
                          <w:sz w:val="18"/>
                          <w:szCs w:val="20"/>
                        </w:rPr>
                      </w:pPr>
                    </w:p>
                  </w:txbxContent>
                </v:textbox>
              </v:rect>
            </w:pict>
          </mc:Fallback>
        </mc:AlternateContent>
      </w:r>
    </w:p>
    <w:p w14:paraId="2F04B95B"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96128" behindDoc="0" locked="0" layoutInCell="1" allowOverlap="1" wp14:anchorId="42EAFDBE" wp14:editId="4C153292">
                <wp:simplePos x="0" y="0"/>
                <wp:positionH relativeFrom="column">
                  <wp:posOffset>-403543</wp:posOffset>
                </wp:positionH>
                <wp:positionV relativeFrom="paragraph">
                  <wp:posOffset>222567</wp:posOffset>
                </wp:positionV>
                <wp:extent cx="1276985" cy="262890"/>
                <wp:effectExtent l="0" t="7302" r="11112" b="11113"/>
                <wp:wrapNone/>
                <wp:docPr id="1275149529" name="Flowchart: Alternate Process 1275149529"/>
                <wp:cNvGraphicFramePr/>
                <a:graphic xmlns:a="http://schemas.openxmlformats.org/drawingml/2006/main">
                  <a:graphicData uri="http://schemas.microsoft.com/office/word/2010/wordprocessingShape">
                    <wps:wsp>
                      <wps:cNvSpPr/>
                      <wps:spPr>
                        <a:xfrm rot="16200000">
                          <a:off x="0" y="0"/>
                          <a:ext cx="127698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3A5DDE64" w14:textId="77777777" w:rsidR="00C9060A" w:rsidRPr="001502CF" w:rsidRDefault="00C9060A" w:rsidP="00C9060A">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EAFDBE" id="Flowchart: Alternate Process 1275149529" o:spid="_x0000_s1029" type="#_x0000_t176" style="position:absolute;margin-left:-31.8pt;margin-top:17.5pt;width:100.55pt;height:20.7pt;rotation:-9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" fillcolor="#d86dcb [1944]" strokecolor="black [3213]" strokeweight="1pt">
                <v:textbox>
                  <w:txbxContent>
                    <w:p w14:paraId="3A5DDE64" w14:textId="77777777" w:rsidR="00C9060A" w:rsidRPr="001502CF" w:rsidRDefault="00C9060A" w:rsidP="00C9060A">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w:t>
                      </w:r>
                    </w:p>
                  </w:txbxContent>
                </v:textbox>
              </v:shape>
            </w:pict>
          </mc:Fallback>
        </mc:AlternateContent>
      </w:r>
    </w:p>
    <w:p w14:paraId="6347A60F" w14:textId="77777777" w:rsidR="00C9060A" w:rsidRPr="00CC7453" w:rsidRDefault="00C9060A" w:rsidP="00C9060A">
      <w:pPr>
        <w:rPr>
          <w:sz w:val="20"/>
          <w:szCs w:val="20"/>
          <w:highlight w:val="yellow"/>
        </w:rPr>
      </w:pPr>
    </w:p>
    <w:p w14:paraId="4EBA6AA9"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91008" behindDoc="0" locked="0" layoutInCell="1" allowOverlap="1" wp14:anchorId="6441EEFE" wp14:editId="507A6BF3">
                <wp:simplePos x="0" y="0"/>
                <wp:positionH relativeFrom="column">
                  <wp:posOffset>2454250</wp:posOffset>
                </wp:positionH>
                <wp:positionV relativeFrom="paragraph">
                  <wp:posOffset>9550</wp:posOffset>
                </wp:positionV>
                <wp:extent cx="563270" cy="0"/>
                <wp:effectExtent l="0" t="76200" r="27305" b="95250"/>
                <wp:wrapNone/>
                <wp:docPr id="1014772172" name="Straight Arrow Connector 1014772172"/>
                <wp:cNvGraphicFramePr/>
                <a:graphic xmlns:a="http://schemas.openxmlformats.org/drawingml/2006/main">
                  <a:graphicData uri="http://schemas.microsoft.com/office/word/2010/wordprocessingShape">
                    <wps:wsp>
                      <wps:cNvCnPr/>
                      <wps:spPr>
                        <a:xfrm>
                          <a:off x="0" y="0"/>
                          <a:ext cx="56327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AB6AD64" id="_x0000_t32" coordsize="21600,21600" o:spt="32" o:oned="t" path="m,l21600,21600e" filled="f">
                <v:path arrowok="t" fillok="f" o:connecttype="none"/>
                <o:lock v:ext="edit" shapetype="t"/>
              </v:shapetype>
              <v:shape id="Straight Arrow Connector 1014772172" o:spid="_x0000_s1026" type="#_x0000_t32" style="position:absolute;margin-left:193.25pt;margin-top:.75pt;width:44.35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" strokecolor="black [3213]" strokeweight=".5pt">
                <v:stroke endarrow="block" joinstyle="miter"/>
              </v:shape>
            </w:pict>
          </mc:Fallback>
        </mc:AlternateContent>
      </w:r>
    </w:p>
    <w:p w14:paraId="609AADBC" w14:textId="77777777" w:rsidR="00C9060A" w:rsidRPr="00CC7453" w:rsidRDefault="00C9060A" w:rsidP="00C9060A">
      <w:pPr>
        <w:rPr>
          <w:sz w:val="20"/>
          <w:szCs w:val="20"/>
          <w:highlight w:val="yellow"/>
        </w:rPr>
      </w:pPr>
    </w:p>
    <w:p w14:paraId="2907E50F" w14:textId="77777777" w:rsidR="00C9060A" w:rsidRPr="00CC7453" w:rsidRDefault="00C9060A" w:rsidP="00C9060A">
      <w:pPr>
        <w:rPr>
          <w:sz w:val="20"/>
          <w:szCs w:val="20"/>
          <w:highlight w:val="yellow"/>
        </w:rPr>
      </w:pPr>
    </w:p>
    <w:p w14:paraId="2EEB292C" w14:textId="77777777" w:rsidR="00C9060A" w:rsidRPr="00CC7453" w:rsidRDefault="00C9060A" w:rsidP="00C9060A">
      <w:pPr>
        <w:rPr>
          <w:sz w:val="20"/>
          <w:szCs w:val="20"/>
          <w:highlight w:val="yellow"/>
        </w:rPr>
      </w:pPr>
    </w:p>
    <w:p w14:paraId="0E9743B8"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99200" behindDoc="0" locked="0" layoutInCell="1" allowOverlap="1" wp14:anchorId="038C35C7" wp14:editId="34F7C75E">
                <wp:simplePos x="0" y="0"/>
                <wp:positionH relativeFrom="column">
                  <wp:posOffset>1400175</wp:posOffset>
                </wp:positionH>
                <wp:positionV relativeFrom="paragraph">
                  <wp:posOffset>15328</wp:posOffset>
                </wp:positionV>
                <wp:extent cx="0" cy="281305"/>
                <wp:effectExtent l="76200" t="0" r="57150" b="61595"/>
                <wp:wrapNone/>
                <wp:docPr id="1787916010" name="Straight Arrow Connector 1787916010"/>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5EA8D7" id="Straight Arrow Connector 1787916010" o:spid="_x0000_s1026" type="#_x0000_t32" style="position:absolute;margin-left:110.25pt;margin-top:1.2pt;width:0;height:22.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" strokecolor="black [3213]" strokeweight=".5pt">
                <v:stroke endarrow="block" joinstyle="miter"/>
              </v:shape>
            </w:pict>
          </mc:Fallback>
        </mc:AlternateContent>
      </w:r>
    </w:p>
    <w:p w14:paraId="5C0DAF4D"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84864" behindDoc="0" locked="0" layoutInCell="1" allowOverlap="1" wp14:anchorId="20A84435" wp14:editId="724D5DAC">
                <wp:simplePos x="0" y="0"/>
                <wp:positionH relativeFrom="column">
                  <wp:posOffset>3051544</wp:posOffset>
                </wp:positionH>
                <wp:positionV relativeFrom="paragraph">
                  <wp:posOffset>74782</wp:posOffset>
                </wp:positionV>
                <wp:extent cx="1864817" cy="897994"/>
                <wp:effectExtent l="0" t="0" r="21590" b="16510"/>
                <wp:wrapNone/>
                <wp:docPr id="614985903" name="Rectangle 614985903"/>
                <wp:cNvGraphicFramePr/>
                <a:graphic xmlns:a="http://schemas.openxmlformats.org/drawingml/2006/main">
                  <a:graphicData uri="http://schemas.microsoft.com/office/word/2010/wordprocessingShape">
                    <wps:wsp>
                      <wps:cNvSpPr/>
                      <wps:spPr>
                        <a:xfrm>
                          <a:off x="0" y="0"/>
                          <a:ext cx="1864817" cy="89799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64E598"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excluded**</w:t>
                            </w:r>
                          </w:p>
                          <w:p w14:paraId="0EC8CF70"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Non-empirical (n = 35)</w:t>
                            </w:r>
                          </w:p>
                          <w:p w14:paraId="48CABFA6"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Departed from the topic (n = 17)</w:t>
                            </w:r>
                          </w:p>
                          <w:p w14:paraId="2527137B" w14:textId="77777777" w:rsidR="00C9060A" w:rsidRPr="00AE000D" w:rsidRDefault="00C9060A" w:rsidP="00C9060A">
                            <w:pPr>
                              <w:rPr>
                                <w:rFonts w:ascii="Arial" w:hAnsi="Arial" w:cs="Arial"/>
                                <w:b/>
                                <w:bCs/>
                                <w:color w:val="000000" w:themeColor="text1"/>
                                <w:sz w:val="18"/>
                                <w:szCs w:val="20"/>
                              </w:rPr>
                            </w:pPr>
                            <w:r w:rsidRPr="00AE000D">
                              <w:rPr>
                                <w:rFonts w:ascii="Arial" w:hAnsi="Arial" w:cs="Arial"/>
                                <w:b/>
                                <w:bCs/>
                                <w:color w:val="000000" w:themeColor="text1"/>
                                <w:sz w:val="18"/>
                                <w:szCs w:val="20"/>
                              </w:rPr>
                              <w:t xml:space="preserve">Total (n = </w:t>
                            </w:r>
                            <w:r>
                              <w:rPr>
                                <w:rFonts w:ascii="Arial" w:hAnsi="Arial" w:cs="Arial"/>
                                <w:b/>
                                <w:bCs/>
                                <w:color w:val="000000" w:themeColor="text1"/>
                                <w:sz w:val="18"/>
                                <w:szCs w:val="20"/>
                              </w:rPr>
                              <w:t>52</w:t>
                            </w:r>
                            <w:r w:rsidRPr="00AE000D">
                              <w:rPr>
                                <w:rFonts w:ascii="Arial" w:hAnsi="Arial" w:cs="Arial"/>
                                <w:b/>
                                <w:bCs/>
                                <w:color w:val="000000" w:themeColor="text1"/>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A84435" id="Rectangle 614985903" o:spid="_x0000_s1030" style="position:absolute;margin-left:240.3pt;margin-top:5.9pt;width:146.85pt;height:70.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" filled="f" strokecolor="black [3213]" strokeweight="1pt">
                <v:textbox>
                  <w:txbxContent>
                    <w:p w14:paraId="5964E598"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excluded**</w:t>
                      </w:r>
                    </w:p>
                    <w:p w14:paraId="0EC8CF70"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Non-empirical (n = 35)</w:t>
                      </w:r>
                    </w:p>
                    <w:p w14:paraId="48CABFA6"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Departed from the topic (n = 17)</w:t>
                      </w:r>
                    </w:p>
                    <w:p w14:paraId="2527137B" w14:textId="77777777" w:rsidR="00C9060A" w:rsidRPr="00AE000D" w:rsidRDefault="00C9060A" w:rsidP="00C9060A">
                      <w:pPr>
                        <w:rPr>
                          <w:rFonts w:ascii="Arial" w:hAnsi="Arial" w:cs="Arial"/>
                          <w:b/>
                          <w:bCs/>
                          <w:color w:val="000000" w:themeColor="text1"/>
                          <w:sz w:val="18"/>
                          <w:szCs w:val="20"/>
                        </w:rPr>
                      </w:pPr>
                      <w:r w:rsidRPr="00AE000D">
                        <w:rPr>
                          <w:rFonts w:ascii="Arial" w:hAnsi="Arial" w:cs="Arial"/>
                          <w:b/>
                          <w:bCs/>
                          <w:color w:val="000000" w:themeColor="text1"/>
                          <w:sz w:val="18"/>
                          <w:szCs w:val="20"/>
                        </w:rPr>
                        <w:t xml:space="preserve">Total (n = </w:t>
                      </w:r>
                      <w:r>
                        <w:rPr>
                          <w:rFonts w:ascii="Arial" w:hAnsi="Arial" w:cs="Arial"/>
                          <w:b/>
                          <w:bCs/>
                          <w:color w:val="000000" w:themeColor="text1"/>
                          <w:sz w:val="18"/>
                          <w:szCs w:val="20"/>
                        </w:rPr>
                        <w:t>52</w:t>
                      </w:r>
                      <w:r w:rsidRPr="00AE000D">
                        <w:rPr>
                          <w:rFonts w:ascii="Arial" w:hAnsi="Arial" w:cs="Arial"/>
                          <w:b/>
                          <w:bCs/>
                          <w:color w:val="000000" w:themeColor="text1"/>
                          <w:sz w:val="18"/>
                          <w:szCs w:val="20"/>
                        </w:rPr>
                        <w:t>)</w:t>
                      </w:r>
                    </w:p>
                  </w:txbxContent>
                </v:textbox>
              </v:rect>
            </w:pict>
          </mc:Fallback>
        </mc:AlternateContent>
      </w:r>
      <w:r w:rsidRPr="00CC7453">
        <w:rPr>
          <w:noProof/>
          <w:sz w:val="20"/>
          <w:szCs w:val="20"/>
          <w:highlight w:val="yellow"/>
        </w:rPr>
        <mc:AlternateContent>
          <mc:Choice Requires="wps">
            <w:drawing>
              <wp:anchor distT="0" distB="0" distL="114300" distR="114300" simplePos="0" relativeHeight="251692032" behindDoc="0" locked="0" layoutInCell="1" allowOverlap="1" wp14:anchorId="1D0F8713" wp14:editId="77BD937B">
                <wp:simplePos x="0" y="0"/>
                <wp:positionH relativeFrom="column">
                  <wp:posOffset>2453640</wp:posOffset>
                </wp:positionH>
                <wp:positionV relativeFrom="paragraph">
                  <wp:posOffset>328295</wp:posOffset>
                </wp:positionV>
                <wp:extent cx="563245" cy="0"/>
                <wp:effectExtent l="0" t="76200" r="27305" b="95250"/>
                <wp:wrapNone/>
                <wp:docPr id="1659215031" name="Straight Arrow Connector 1659215031"/>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11FCE2" id="Straight Arrow Connector 1659215031" o:spid="_x0000_s1026" type="#_x0000_t32" style="position:absolute;margin-left:193.2pt;margin-top:25.85pt;width:44.35pt;height:0;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" strokecolor="black [3213]" strokeweight=".5pt">
                <v:stroke endarrow="block" joinstyle="miter"/>
              </v:shape>
            </w:pict>
          </mc:Fallback>
        </mc:AlternateContent>
      </w:r>
    </w:p>
    <w:p w14:paraId="140B056D"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83840" behindDoc="0" locked="0" layoutInCell="1" allowOverlap="1" wp14:anchorId="3ECFBCA3" wp14:editId="428482DF">
                <wp:simplePos x="0" y="0"/>
                <wp:positionH relativeFrom="column">
                  <wp:posOffset>559258</wp:posOffset>
                </wp:positionH>
                <wp:positionV relativeFrom="paragraph">
                  <wp:posOffset>14605</wp:posOffset>
                </wp:positionV>
                <wp:extent cx="1887220" cy="526415"/>
                <wp:effectExtent l="0" t="0" r="17780" b="26035"/>
                <wp:wrapNone/>
                <wp:docPr id="1668977724" name="Rectangle 1668977724"/>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2E6407"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screened</w:t>
                            </w:r>
                          </w:p>
                          <w:p w14:paraId="36C04B2B"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176)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CFBCA3" id="Rectangle 1668977724" o:spid="_x0000_s1031" style="position:absolute;margin-left:44.05pt;margin-top:1.15pt;width:148.6pt;height:41.4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" filled="f" strokecolor="black [3213]" strokeweight="1pt">
                <v:textbox>
                  <w:txbxContent>
                    <w:p w14:paraId="482E6407"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screened</w:t>
                      </w:r>
                    </w:p>
                    <w:p w14:paraId="36C04B2B"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176)</w:t>
                      </w:r>
                    </w:p>
                  </w:txbxContent>
                </v:textbox>
              </v:rect>
            </w:pict>
          </mc:Fallback>
        </mc:AlternateContent>
      </w:r>
    </w:p>
    <w:p w14:paraId="05DBE205" w14:textId="77777777" w:rsidR="00C9060A" w:rsidRPr="00CC7453" w:rsidRDefault="00C9060A" w:rsidP="00C9060A">
      <w:pPr>
        <w:rPr>
          <w:sz w:val="20"/>
          <w:szCs w:val="20"/>
          <w:highlight w:val="yellow"/>
        </w:rPr>
      </w:pPr>
    </w:p>
    <w:p w14:paraId="5F7A8EDD"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700224" behindDoc="0" locked="0" layoutInCell="1" allowOverlap="1" wp14:anchorId="709D6DB1" wp14:editId="6286007B">
                <wp:simplePos x="0" y="0"/>
                <wp:positionH relativeFrom="column">
                  <wp:posOffset>1400175</wp:posOffset>
                </wp:positionH>
                <wp:positionV relativeFrom="paragraph">
                  <wp:posOffset>169264</wp:posOffset>
                </wp:positionV>
                <wp:extent cx="0" cy="281305"/>
                <wp:effectExtent l="76200" t="0" r="57150" b="61595"/>
                <wp:wrapNone/>
                <wp:docPr id="930445358" name="Straight Arrow Connector 930445358"/>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AF1256" id="Straight Arrow Connector 930445358" o:spid="_x0000_s1026" type="#_x0000_t32" style="position:absolute;margin-left:110.25pt;margin-top:13.35pt;width:0;height:22.1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" strokecolor="black [3213]" strokeweight=".5pt">
                <v:stroke endarrow="block" joinstyle="miter"/>
              </v:shape>
            </w:pict>
          </mc:Fallback>
        </mc:AlternateContent>
      </w:r>
    </w:p>
    <w:p w14:paraId="7BC7A533" w14:textId="77777777" w:rsidR="00C9060A" w:rsidRPr="00CC7453" w:rsidRDefault="00C9060A" w:rsidP="00C9060A">
      <w:pPr>
        <w:rPr>
          <w:sz w:val="20"/>
          <w:szCs w:val="20"/>
          <w:highlight w:val="yellow"/>
        </w:rPr>
      </w:pPr>
    </w:p>
    <w:p w14:paraId="35198B77"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85888" behindDoc="0" locked="0" layoutInCell="1" allowOverlap="1" wp14:anchorId="49CD5F27" wp14:editId="66C8274B">
                <wp:simplePos x="0" y="0"/>
                <wp:positionH relativeFrom="column">
                  <wp:posOffset>560705</wp:posOffset>
                </wp:positionH>
                <wp:positionV relativeFrom="paragraph">
                  <wp:posOffset>47625</wp:posOffset>
                </wp:positionV>
                <wp:extent cx="1887220" cy="526415"/>
                <wp:effectExtent l="0" t="0" r="17780" b="26035"/>
                <wp:wrapNone/>
                <wp:docPr id="758070166" name="Rectangle 758070166"/>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976554"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sought for retrieval</w:t>
                            </w:r>
                          </w:p>
                          <w:p w14:paraId="2F171CEF"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CD5F27" id="Rectangle 758070166" o:spid="_x0000_s1032" style="position:absolute;margin-left:44.15pt;margin-top:3.75pt;width:148.6pt;height:41.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" filled="f" strokecolor="black [3213]" strokeweight="1pt">
                <v:textbox>
                  <w:txbxContent>
                    <w:p w14:paraId="34976554"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sought for retrieval</w:t>
                      </w:r>
                    </w:p>
                    <w:p w14:paraId="2F171CEF"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txbxContent>
                </v:textbox>
              </v:rect>
            </w:pict>
          </mc:Fallback>
        </mc:AlternateContent>
      </w:r>
      <w:r w:rsidRPr="00CC7453">
        <w:rPr>
          <w:noProof/>
          <w:sz w:val="20"/>
          <w:szCs w:val="20"/>
          <w:highlight w:val="yellow"/>
        </w:rPr>
        <mc:AlternateContent>
          <mc:Choice Requires="wps">
            <w:drawing>
              <wp:anchor distT="0" distB="0" distL="114300" distR="114300" simplePos="0" relativeHeight="251697152" behindDoc="0" locked="0" layoutInCell="1" allowOverlap="1" wp14:anchorId="27985711" wp14:editId="1A50F375">
                <wp:simplePos x="0" y="0"/>
                <wp:positionH relativeFrom="column">
                  <wp:posOffset>-1161097</wp:posOffset>
                </wp:positionH>
                <wp:positionV relativeFrom="paragraph">
                  <wp:posOffset>281711</wp:posOffset>
                </wp:positionV>
                <wp:extent cx="2787335" cy="262890"/>
                <wp:effectExtent l="4763" t="0" r="18097" b="18098"/>
                <wp:wrapNone/>
                <wp:docPr id="953307007" name="Flowchart: Alternate Process 953307007"/>
                <wp:cNvGraphicFramePr/>
                <a:graphic xmlns:a="http://schemas.openxmlformats.org/drawingml/2006/main">
                  <a:graphicData uri="http://schemas.microsoft.com/office/word/2010/wordprocessingShape">
                    <wps:wsp>
                      <wps:cNvSpPr/>
                      <wps:spPr>
                        <a:xfrm rot="16200000">
                          <a:off x="0" y="0"/>
                          <a:ext cx="278733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24884C7" w14:textId="77777777" w:rsidR="00C9060A" w:rsidRDefault="00C9060A" w:rsidP="00C9060A">
                            <w:pPr>
                              <w:jc w:val="center"/>
                              <w:rPr>
                                <w:rFonts w:ascii="Arial" w:hAnsi="Arial" w:cs="Arial"/>
                                <w:b/>
                                <w:color w:val="000000" w:themeColor="text1"/>
                                <w:sz w:val="18"/>
                                <w:szCs w:val="18"/>
                              </w:rPr>
                            </w:pPr>
                            <w:r>
                              <w:rPr>
                                <w:rFonts w:ascii="Arial" w:hAnsi="Arial" w:cs="Arial"/>
                                <w:b/>
                                <w:color w:val="000000" w:themeColor="text1"/>
                                <w:sz w:val="18"/>
                                <w:szCs w:val="18"/>
                              </w:rPr>
                              <w:t>Screening</w:t>
                            </w:r>
                          </w:p>
                          <w:p w14:paraId="531A7E6A" w14:textId="77777777" w:rsidR="00C9060A" w:rsidRPr="001502CF" w:rsidRDefault="00C9060A" w:rsidP="00C9060A">
                            <w:pPr>
                              <w:rPr>
                                <w:rFonts w:ascii="Arial" w:hAnsi="Arial" w:cs="Arial"/>
                                <w:b/>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985711" id="Flowchart: Alternate Process 953307007" o:spid="_x0000_s1033" type="#_x0000_t176" style="position:absolute;margin-left:-91.4pt;margin-top:22.2pt;width:219.5pt;height:20.7pt;rotation:-90;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" fillcolor="#d86dcb [1944]" strokecolor="black [3213]" strokeweight="1pt">
                <v:textbox>
                  <w:txbxContent>
                    <w:p w14:paraId="224884C7" w14:textId="77777777" w:rsidR="00C9060A" w:rsidRDefault="00C9060A" w:rsidP="00C9060A">
                      <w:pPr>
                        <w:jc w:val="center"/>
                        <w:rPr>
                          <w:rFonts w:ascii="Arial" w:hAnsi="Arial" w:cs="Arial"/>
                          <w:b/>
                          <w:color w:val="000000" w:themeColor="text1"/>
                          <w:sz w:val="18"/>
                          <w:szCs w:val="18"/>
                        </w:rPr>
                      </w:pPr>
                      <w:r>
                        <w:rPr>
                          <w:rFonts w:ascii="Arial" w:hAnsi="Arial" w:cs="Arial"/>
                          <w:b/>
                          <w:color w:val="000000" w:themeColor="text1"/>
                          <w:sz w:val="18"/>
                          <w:szCs w:val="18"/>
                        </w:rPr>
                        <w:t>Screening</w:t>
                      </w:r>
                    </w:p>
                    <w:p w14:paraId="531A7E6A" w14:textId="77777777" w:rsidR="00C9060A" w:rsidRPr="001502CF" w:rsidRDefault="00C9060A" w:rsidP="00C9060A">
                      <w:pPr>
                        <w:rPr>
                          <w:rFonts w:ascii="Arial" w:hAnsi="Arial" w:cs="Arial"/>
                          <w:b/>
                          <w:color w:val="000000" w:themeColor="text1"/>
                          <w:sz w:val="18"/>
                          <w:szCs w:val="18"/>
                        </w:rPr>
                      </w:pPr>
                    </w:p>
                  </w:txbxContent>
                </v:textbox>
              </v:shape>
            </w:pict>
          </mc:Fallback>
        </mc:AlternateContent>
      </w:r>
      <w:r w:rsidRPr="00CC7453">
        <w:rPr>
          <w:noProof/>
          <w:sz w:val="20"/>
          <w:szCs w:val="20"/>
          <w:highlight w:val="yellow"/>
        </w:rPr>
        <mc:AlternateContent>
          <mc:Choice Requires="wps">
            <w:drawing>
              <wp:anchor distT="0" distB="0" distL="114300" distR="114300" simplePos="0" relativeHeight="251686912" behindDoc="0" locked="0" layoutInCell="1" allowOverlap="1" wp14:anchorId="2E987F89" wp14:editId="2B616ECE">
                <wp:simplePos x="0" y="0"/>
                <wp:positionH relativeFrom="column">
                  <wp:posOffset>3049270</wp:posOffset>
                </wp:positionH>
                <wp:positionV relativeFrom="paragraph">
                  <wp:posOffset>139827</wp:posOffset>
                </wp:positionV>
                <wp:extent cx="1887220" cy="526415"/>
                <wp:effectExtent l="0" t="0" r="17780" b="26035"/>
                <wp:wrapNone/>
                <wp:docPr id="663639145" name="Rectangle 663639145"/>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8D3EC6"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not retrieved</w:t>
                            </w:r>
                          </w:p>
                          <w:p w14:paraId="0AADF106"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987F89" id="Rectangle 663639145" o:spid="_x0000_s1034" style="position:absolute;margin-left:240.1pt;margin-top:11pt;width:148.6pt;height:41.4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" filled="f" strokecolor="black [3213]" strokeweight="1pt">
                <v:textbox>
                  <w:txbxContent>
                    <w:p w14:paraId="098D3EC6"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not retrieved</w:t>
                      </w:r>
                    </w:p>
                    <w:p w14:paraId="0AADF106"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0)</w:t>
                      </w:r>
                    </w:p>
                  </w:txbxContent>
                </v:textbox>
              </v:rect>
            </w:pict>
          </mc:Fallback>
        </mc:AlternateContent>
      </w:r>
      <w:r w:rsidRPr="00CC7453">
        <w:rPr>
          <w:noProof/>
          <w:sz w:val="20"/>
          <w:szCs w:val="20"/>
          <w:highlight w:val="yellow"/>
        </w:rPr>
        <mc:AlternateContent>
          <mc:Choice Requires="wps">
            <w:drawing>
              <wp:anchor distT="0" distB="0" distL="114300" distR="114300" simplePos="0" relativeHeight="251693056" behindDoc="0" locked="0" layoutInCell="1" allowOverlap="1" wp14:anchorId="53E4ABFA" wp14:editId="06A6792E">
                <wp:simplePos x="0" y="0"/>
                <wp:positionH relativeFrom="column">
                  <wp:posOffset>2463165</wp:posOffset>
                </wp:positionH>
                <wp:positionV relativeFrom="paragraph">
                  <wp:posOffset>320675</wp:posOffset>
                </wp:positionV>
                <wp:extent cx="563245" cy="0"/>
                <wp:effectExtent l="0" t="76200" r="27305" b="95250"/>
                <wp:wrapNone/>
                <wp:docPr id="598454288" name="Straight Arrow Connector 598454288"/>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2CA7F8" id="Straight Arrow Connector 598454288" o:spid="_x0000_s1026" type="#_x0000_t32" style="position:absolute;margin-left:193.95pt;margin-top:25.25pt;width:44.35pt;height:0;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" strokecolor="black [3213]" strokeweight=".5pt">
                <v:stroke endarrow="block" joinstyle="miter"/>
              </v:shape>
            </w:pict>
          </mc:Fallback>
        </mc:AlternateContent>
      </w:r>
    </w:p>
    <w:p w14:paraId="30082A79" w14:textId="77777777" w:rsidR="00C9060A" w:rsidRPr="00CC7453" w:rsidRDefault="00C9060A" w:rsidP="00C9060A">
      <w:pPr>
        <w:rPr>
          <w:sz w:val="20"/>
          <w:szCs w:val="20"/>
          <w:highlight w:val="yellow"/>
        </w:rPr>
      </w:pPr>
    </w:p>
    <w:p w14:paraId="4452406B" w14:textId="77777777" w:rsidR="00C9060A" w:rsidRPr="00CC7453" w:rsidRDefault="00C9060A" w:rsidP="00C9060A">
      <w:pPr>
        <w:rPr>
          <w:sz w:val="20"/>
          <w:szCs w:val="20"/>
          <w:highlight w:val="yellow"/>
        </w:rPr>
      </w:pPr>
    </w:p>
    <w:p w14:paraId="227E2842"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701248" behindDoc="0" locked="0" layoutInCell="1" allowOverlap="1" wp14:anchorId="3B8387A5" wp14:editId="3FF785AE">
                <wp:simplePos x="0" y="0"/>
                <wp:positionH relativeFrom="column">
                  <wp:posOffset>1409700</wp:posOffset>
                </wp:positionH>
                <wp:positionV relativeFrom="paragraph">
                  <wp:posOffset>56515</wp:posOffset>
                </wp:positionV>
                <wp:extent cx="0" cy="281305"/>
                <wp:effectExtent l="76200" t="0" r="57150" b="61595"/>
                <wp:wrapNone/>
                <wp:docPr id="1952356132" name="Straight Arrow Connector 1952356132"/>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D17FA5" id="Straight Arrow Connector 1952356132" o:spid="_x0000_s1026" type="#_x0000_t32" style="position:absolute;margin-left:111pt;margin-top:4.45pt;width:0;height:22.1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" strokecolor="black [3213]" strokeweight=".5pt">
                <v:stroke endarrow="block" joinstyle="miter"/>
              </v:shape>
            </w:pict>
          </mc:Fallback>
        </mc:AlternateContent>
      </w:r>
    </w:p>
    <w:p w14:paraId="5CDB2838" w14:textId="77777777" w:rsidR="00C9060A" w:rsidRPr="00CC7453" w:rsidRDefault="00C9060A" w:rsidP="00C9060A">
      <w:pPr>
        <w:rPr>
          <w:sz w:val="20"/>
          <w:szCs w:val="20"/>
          <w:highlight w:val="yellow"/>
        </w:rPr>
      </w:pPr>
    </w:p>
    <w:p w14:paraId="5EA2C7AE"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88960" behindDoc="0" locked="0" layoutInCell="1" allowOverlap="1" wp14:anchorId="15D03BA8" wp14:editId="708D4E88">
                <wp:simplePos x="0" y="0"/>
                <wp:positionH relativeFrom="column">
                  <wp:posOffset>3053715</wp:posOffset>
                </wp:positionH>
                <wp:positionV relativeFrom="paragraph">
                  <wp:posOffset>107112</wp:posOffset>
                </wp:positionV>
                <wp:extent cx="1887220" cy="475488"/>
                <wp:effectExtent l="0" t="0" r="17780" b="20320"/>
                <wp:wrapNone/>
                <wp:docPr id="877149364" name="Rectangle 877149364"/>
                <wp:cNvGraphicFramePr/>
                <a:graphic xmlns:a="http://schemas.openxmlformats.org/drawingml/2006/main">
                  <a:graphicData uri="http://schemas.microsoft.com/office/word/2010/wordprocessingShape">
                    <wps:wsp>
                      <wps:cNvSpPr/>
                      <wps:spPr>
                        <a:xfrm>
                          <a:off x="0" y="0"/>
                          <a:ext cx="1887220" cy="47548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F59096"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w:t>
                            </w:r>
                          </w:p>
                          <w:p w14:paraId="5AB8860F" w14:textId="77777777" w:rsidR="00C9060A" w:rsidRPr="00560609"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No further exclusions.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D03BA8" id="Rectangle 877149364" o:spid="_x0000_s1035" style="position:absolute;margin-left:240.45pt;margin-top:8.45pt;width:148.6pt;height:37.4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" filled="f" strokecolor="black [3213]" strokeweight="1pt">
                <v:textbox>
                  <w:txbxContent>
                    <w:p w14:paraId="0FF59096"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w:t>
                      </w:r>
                    </w:p>
                    <w:p w14:paraId="5AB8860F" w14:textId="77777777" w:rsidR="00C9060A" w:rsidRPr="00560609"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No further exclusions.</w:t>
                      </w:r>
                    </w:p>
                  </w:txbxContent>
                </v:textbox>
              </v:rect>
            </w:pict>
          </mc:Fallback>
        </mc:AlternateContent>
      </w:r>
      <w:r w:rsidRPr="00CC7453">
        <w:rPr>
          <w:noProof/>
          <w:sz w:val="20"/>
          <w:szCs w:val="20"/>
          <w:highlight w:val="yellow"/>
        </w:rPr>
        <mc:AlternateContent>
          <mc:Choice Requires="wps">
            <w:drawing>
              <wp:anchor distT="0" distB="0" distL="114300" distR="114300" simplePos="0" relativeHeight="251694080" behindDoc="0" locked="0" layoutInCell="1" allowOverlap="1" wp14:anchorId="780AA194" wp14:editId="4AE59371">
                <wp:simplePos x="0" y="0"/>
                <wp:positionH relativeFrom="column">
                  <wp:posOffset>2476500</wp:posOffset>
                </wp:positionH>
                <wp:positionV relativeFrom="paragraph">
                  <wp:posOffset>294640</wp:posOffset>
                </wp:positionV>
                <wp:extent cx="563245" cy="0"/>
                <wp:effectExtent l="0" t="76200" r="27305" b="95250"/>
                <wp:wrapNone/>
                <wp:docPr id="694072453" name="Straight Arrow Connector 694072453"/>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110FE5" id="Straight Arrow Connector 694072453" o:spid="_x0000_s1026" type="#_x0000_t32" style="position:absolute;margin-left:195pt;margin-top:23.2pt;width:44.35pt;height:0;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" strokecolor="black [3213]" strokeweight=".5pt">
                <v:stroke endarrow="block" joinstyle="miter"/>
              </v:shape>
            </w:pict>
          </mc:Fallback>
        </mc:AlternateContent>
      </w:r>
      <w:r w:rsidRPr="00CC7453">
        <w:rPr>
          <w:noProof/>
          <w:sz w:val="20"/>
          <w:szCs w:val="20"/>
          <w:highlight w:val="yellow"/>
        </w:rPr>
        <mc:AlternateContent>
          <mc:Choice Requires="wps">
            <w:drawing>
              <wp:anchor distT="0" distB="0" distL="114300" distR="114300" simplePos="0" relativeHeight="251687936" behindDoc="0" locked="0" layoutInCell="1" allowOverlap="1" wp14:anchorId="64562672" wp14:editId="580DDFCB">
                <wp:simplePos x="0" y="0"/>
                <wp:positionH relativeFrom="column">
                  <wp:posOffset>561975</wp:posOffset>
                </wp:positionH>
                <wp:positionV relativeFrom="paragraph">
                  <wp:posOffset>13335</wp:posOffset>
                </wp:positionV>
                <wp:extent cx="1887220" cy="526415"/>
                <wp:effectExtent l="0" t="0" r="17780" b="26035"/>
                <wp:wrapNone/>
                <wp:docPr id="146801596" name="Rectangle 146801596"/>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6C38C9"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assessed for eligibility</w:t>
                            </w:r>
                          </w:p>
                          <w:p w14:paraId="15CB476C"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562672" id="Rectangle 146801596" o:spid="_x0000_s1036" style="position:absolute;margin-left:44.25pt;margin-top:1.05pt;width:148.6pt;height:41.4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" filled="f" strokecolor="black [3213]" strokeweight="1pt">
                <v:textbox>
                  <w:txbxContent>
                    <w:p w14:paraId="1F6C38C9"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assessed for eligibility</w:t>
                      </w:r>
                    </w:p>
                    <w:p w14:paraId="15CB476C"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txbxContent>
                </v:textbox>
              </v:rect>
            </w:pict>
          </mc:Fallback>
        </mc:AlternateContent>
      </w:r>
    </w:p>
    <w:p w14:paraId="25D34829" w14:textId="77777777" w:rsidR="00C9060A" w:rsidRPr="00CC7453" w:rsidRDefault="00C9060A" w:rsidP="00C9060A">
      <w:pPr>
        <w:rPr>
          <w:sz w:val="20"/>
          <w:szCs w:val="20"/>
          <w:highlight w:val="yellow"/>
        </w:rPr>
      </w:pPr>
    </w:p>
    <w:p w14:paraId="35842097" w14:textId="77777777" w:rsidR="00C9060A" w:rsidRPr="00CC7453" w:rsidRDefault="00C9060A" w:rsidP="00C9060A">
      <w:pPr>
        <w:rPr>
          <w:sz w:val="20"/>
          <w:szCs w:val="20"/>
          <w:highlight w:val="yellow"/>
        </w:rPr>
      </w:pPr>
    </w:p>
    <w:p w14:paraId="28E31693"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702272" behindDoc="0" locked="0" layoutInCell="1" allowOverlap="1" wp14:anchorId="274F5CAB" wp14:editId="2AA2D182">
                <wp:simplePos x="0" y="0"/>
                <wp:positionH relativeFrom="column">
                  <wp:posOffset>1400861</wp:posOffset>
                </wp:positionH>
                <wp:positionV relativeFrom="paragraph">
                  <wp:posOffset>29667</wp:posOffset>
                </wp:positionV>
                <wp:extent cx="0" cy="746151"/>
                <wp:effectExtent l="76200" t="0" r="57150" b="53975"/>
                <wp:wrapNone/>
                <wp:docPr id="1921870019" name="Straight Arrow Connector 1921870019"/>
                <wp:cNvGraphicFramePr/>
                <a:graphic xmlns:a="http://schemas.openxmlformats.org/drawingml/2006/main">
                  <a:graphicData uri="http://schemas.microsoft.com/office/word/2010/wordprocessingShape">
                    <wps:wsp>
                      <wps:cNvCnPr/>
                      <wps:spPr>
                        <a:xfrm>
                          <a:off x="0" y="0"/>
                          <a:ext cx="0" cy="74615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005DED" id="Straight Arrow Connector 1921870019" o:spid="_x0000_s1026" type="#_x0000_t32" style="position:absolute;margin-left:110.3pt;margin-top:2.35pt;width:0;height:58.7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" strokecolor="black [3213]" strokeweight=".5pt">
                <v:stroke endarrow="block" joinstyle="miter"/>
              </v:shape>
            </w:pict>
          </mc:Fallback>
        </mc:AlternateContent>
      </w:r>
    </w:p>
    <w:p w14:paraId="2AE5D773" w14:textId="77777777" w:rsidR="00C9060A" w:rsidRPr="00CC7453" w:rsidRDefault="00C9060A" w:rsidP="00C9060A">
      <w:pPr>
        <w:rPr>
          <w:sz w:val="20"/>
          <w:szCs w:val="20"/>
          <w:highlight w:val="yellow"/>
        </w:rPr>
      </w:pPr>
    </w:p>
    <w:p w14:paraId="4E872CA5" w14:textId="77777777" w:rsidR="00C9060A" w:rsidRPr="00CC7453" w:rsidRDefault="00C9060A" w:rsidP="00C9060A">
      <w:pPr>
        <w:rPr>
          <w:sz w:val="20"/>
          <w:szCs w:val="20"/>
          <w:highlight w:val="yellow"/>
        </w:rPr>
      </w:pPr>
    </w:p>
    <w:p w14:paraId="32C895ED" w14:textId="77777777" w:rsidR="00C9060A" w:rsidRPr="00CC7453" w:rsidRDefault="00C9060A" w:rsidP="00C9060A">
      <w:pPr>
        <w:rPr>
          <w:sz w:val="20"/>
          <w:szCs w:val="20"/>
          <w:highlight w:val="yellow"/>
        </w:rPr>
      </w:pPr>
    </w:p>
    <w:p w14:paraId="542C72B9"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89984" behindDoc="0" locked="0" layoutInCell="1" allowOverlap="1" wp14:anchorId="434C2358" wp14:editId="5AF4CCDF">
                <wp:simplePos x="0" y="0"/>
                <wp:positionH relativeFrom="column">
                  <wp:posOffset>542260</wp:posOffset>
                </wp:positionH>
                <wp:positionV relativeFrom="paragraph">
                  <wp:posOffset>109160</wp:posOffset>
                </wp:positionV>
                <wp:extent cx="1887220" cy="935665"/>
                <wp:effectExtent l="0" t="0" r="17780" b="17145"/>
                <wp:wrapNone/>
                <wp:docPr id="367046537" name="Rectangle 367046537"/>
                <wp:cNvGraphicFramePr/>
                <a:graphic xmlns:a="http://schemas.openxmlformats.org/drawingml/2006/main">
                  <a:graphicData uri="http://schemas.microsoft.com/office/word/2010/wordprocessingShape">
                    <wps:wsp>
                      <wps:cNvSpPr/>
                      <wps:spPr>
                        <a:xfrm>
                          <a:off x="0" y="0"/>
                          <a:ext cx="1887220" cy="93566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A55762"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Studies included in review</w:t>
                            </w:r>
                          </w:p>
                          <w:p w14:paraId="70163659"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p w14:paraId="1F2FD5D1"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Reports of included studies</w:t>
                            </w:r>
                          </w:p>
                          <w:p w14:paraId="092A728B"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4C2358" id="Rectangle 367046537" o:spid="_x0000_s1037" style="position:absolute;margin-left:42.7pt;margin-top:8.6pt;width:148.6pt;height:73.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" filled="f" strokecolor="black [3213]" strokeweight="1pt">
                <v:textbox>
                  <w:txbxContent>
                    <w:p w14:paraId="66A55762"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Studies included in review</w:t>
                      </w:r>
                    </w:p>
                    <w:p w14:paraId="70163659"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p w14:paraId="1F2FD5D1"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Reports of included studies</w:t>
                      </w:r>
                    </w:p>
                    <w:p w14:paraId="092A728B"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txbxContent>
                </v:textbox>
              </v:rect>
            </w:pict>
          </mc:Fallback>
        </mc:AlternateContent>
      </w:r>
    </w:p>
    <w:p w14:paraId="483A03F0"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98176" behindDoc="0" locked="0" layoutInCell="1" allowOverlap="1" wp14:anchorId="7C64620C" wp14:editId="32125ACD">
                <wp:simplePos x="0" y="0"/>
                <wp:positionH relativeFrom="column">
                  <wp:posOffset>-133509</wp:posOffset>
                </wp:positionH>
                <wp:positionV relativeFrom="paragraph">
                  <wp:posOffset>170656</wp:posOffset>
                </wp:positionV>
                <wp:extent cx="764223" cy="262890"/>
                <wp:effectExtent l="2858" t="0" r="20002" b="20003"/>
                <wp:wrapNone/>
                <wp:docPr id="109439728" name="Flowchart: Alternate Process 109439728"/>
                <wp:cNvGraphicFramePr/>
                <a:graphic xmlns:a="http://schemas.openxmlformats.org/drawingml/2006/main">
                  <a:graphicData uri="http://schemas.microsoft.com/office/word/2010/wordprocessingShape">
                    <wps:wsp>
                      <wps:cNvSpPr/>
                      <wps:spPr>
                        <a:xfrm rot="16200000">
                          <a:off x="0" y="0"/>
                          <a:ext cx="764223"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08210109" w14:textId="77777777" w:rsidR="00C9060A" w:rsidRPr="001502CF" w:rsidRDefault="00C9060A" w:rsidP="00C9060A">
                            <w:pPr>
                              <w:jc w:val="center"/>
                              <w:rPr>
                                <w:rFonts w:ascii="Arial" w:hAnsi="Arial" w:cs="Arial"/>
                                <w:b/>
                                <w:color w:val="000000" w:themeColor="text1"/>
                                <w:sz w:val="18"/>
                                <w:szCs w:val="18"/>
                              </w:rPr>
                            </w:pPr>
                            <w:r>
                              <w:rPr>
                                <w:rFonts w:ascii="Arial" w:hAnsi="Arial" w:cs="Arial"/>
                                <w:b/>
                                <w:color w:val="000000" w:themeColor="text1"/>
                                <w:sz w:val="18"/>
                                <w:szCs w:val="18"/>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64620C" id="Flowchart: Alternate Process 109439728" o:spid="_x0000_s1038" type="#_x0000_t176" style="position:absolute;margin-left:-10.5pt;margin-top:13.45pt;width:60.2pt;height:20.7pt;rotation:-90;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" fillcolor="#d86dcb [1944]" strokecolor="black [3213]" strokeweight="1pt">
                <v:textbox>
                  <w:txbxContent>
                    <w:p w14:paraId="08210109" w14:textId="77777777" w:rsidR="00C9060A" w:rsidRPr="001502CF" w:rsidRDefault="00C9060A" w:rsidP="00C9060A">
                      <w:pPr>
                        <w:jc w:val="center"/>
                        <w:rPr>
                          <w:rFonts w:ascii="Arial" w:hAnsi="Arial" w:cs="Arial"/>
                          <w:b/>
                          <w:color w:val="000000" w:themeColor="text1"/>
                          <w:sz w:val="18"/>
                          <w:szCs w:val="18"/>
                        </w:rPr>
                      </w:pPr>
                      <w:r>
                        <w:rPr>
                          <w:rFonts w:ascii="Arial" w:hAnsi="Arial" w:cs="Arial"/>
                          <w:b/>
                          <w:color w:val="000000" w:themeColor="text1"/>
                          <w:sz w:val="18"/>
                          <w:szCs w:val="18"/>
                        </w:rPr>
                        <w:t>Included</w:t>
                      </w:r>
                    </w:p>
                  </w:txbxContent>
                </v:textbox>
              </v:shape>
            </w:pict>
          </mc:Fallback>
        </mc:AlternateContent>
      </w:r>
    </w:p>
    <w:p w14:paraId="74B5FB21" w14:textId="77777777" w:rsidR="00C9060A" w:rsidRPr="00CC7453" w:rsidRDefault="00C9060A" w:rsidP="00C9060A">
      <w:pPr>
        <w:rPr>
          <w:sz w:val="20"/>
          <w:szCs w:val="20"/>
          <w:highlight w:val="yellow"/>
        </w:rPr>
      </w:pPr>
    </w:p>
    <w:p w14:paraId="0470253E" w14:textId="77777777" w:rsidR="00C9060A" w:rsidRPr="00CC7453" w:rsidRDefault="00C9060A" w:rsidP="00C9060A">
      <w:pPr>
        <w:rPr>
          <w:sz w:val="20"/>
          <w:szCs w:val="20"/>
          <w:highlight w:val="yellow"/>
        </w:rPr>
      </w:pPr>
    </w:p>
    <w:p w14:paraId="5D515F90" w14:textId="77777777" w:rsidR="00C9060A" w:rsidRPr="00382579" w:rsidRDefault="00C9060A" w:rsidP="00C9060A">
      <w:pPr>
        <w:rPr>
          <w:highlight w:val="yellow"/>
        </w:rPr>
      </w:pPr>
    </w:p>
    <w:p w14:paraId="15CBFF51" w14:textId="77777777" w:rsidR="00C9060A" w:rsidRPr="00382579" w:rsidRDefault="00C9060A" w:rsidP="00C9060A"/>
    <w:p w14:paraId="324C0576" w14:textId="4E0E7E66" w:rsidR="0066752B" w:rsidRPr="00382579" w:rsidRDefault="00C9060A" w:rsidP="00A83C0D">
      <w:pPr>
        <w:pStyle w:val="ListParagraph"/>
        <w:ind w:left="360"/>
        <w:jc w:val="both"/>
        <w:rPr>
          <w:i/>
          <w:iCs/>
        </w:rPr>
      </w:pPr>
      <w:r w:rsidRPr="00382579">
        <w:rPr>
          <w:rFonts w:hint="eastAsia"/>
          <w:b/>
          <w:bCs/>
        </w:rPr>
        <w:t xml:space="preserve">Figure 1: </w:t>
      </w:r>
      <w:r w:rsidRPr="00382579">
        <w:rPr>
          <w:b/>
          <w:bCs/>
        </w:rPr>
        <w:t>Prisma flowchart of the</w:t>
      </w:r>
      <w:r w:rsidRPr="00382579">
        <w:rPr>
          <w:rFonts w:hint="eastAsia"/>
          <w:b/>
          <w:bCs/>
        </w:rPr>
        <w:t xml:space="preserve"> </w:t>
      </w:r>
      <w:r w:rsidRPr="00382579">
        <w:rPr>
          <w:b/>
          <w:bCs/>
        </w:rPr>
        <w:t>article search and</w:t>
      </w:r>
      <w:r w:rsidRPr="00382579">
        <w:rPr>
          <w:rFonts w:hint="eastAsia"/>
          <w:b/>
          <w:bCs/>
        </w:rPr>
        <w:t xml:space="preserve"> </w:t>
      </w:r>
      <w:r w:rsidRPr="00382579">
        <w:rPr>
          <w:b/>
          <w:bCs/>
        </w:rPr>
        <w:t>selection process for</w:t>
      </w:r>
      <w:r w:rsidRPr="00382579">
        <w:rPr>
          <w:rFonts w:hint="eastAsia"/>
          <w:b/>
          <w:bCs/>
        </w:rPr>
        <w:t xml:space="preserve"> </w:t>
      </w:r>
      <w:r w:rsidRPr="00382579">
        <w:rPr>
          <w:b/>
          <w:bCs/>
        </w:rPr>
        <w:t>systematic review</w:t>
      </w:r>
      <w:r w:rsidRPr="00382579">
        <w:br/>
      </w:r>
      <w:r w:rsidRPr="00382579">
        <w:rPr>
          <w:i/>
          <w:iCs/>
        </w:rPr>
        <w:t xml:space="preserve">Source: </w:t>
      </w:r>
      <w:r w:rsidRPr="00382579">
        <w:rPr>
          <w:rFonts w:hint="eastAsia"/>
          <w:i/>
          <w:iCs/>
        </w:rPr>
        <w:t>Figure by author, a</w:t>
      </w:r>
      <w:r w:rsidRPr="00382579">
        <w:rPr>
          <w:i/>
          <w:iCs/>
        </w:rPr>
        <w:t xml:space="preserve">dapted from Page et al. (2021). </w:t>
      </w:r>
      <w:r w:rsidRPr="00382579">
        <w:rPr>
          <w:i/>
          <w:iCs/>
        </w:rPr>
        <w:br/>
        <w:t>Licensed under CC BY 4.0</w:t>
      </w:r>
    </w:p>
    <w:p w14:paraId="568B1E05" w14:textId="77777777" w:rsidR="0066752B" w:rsidRPr="00382579" w:rsidRDefault="0066752B" w:rsidP="00AF6699">
      <w:pPr>
        <w:pStyle w:val="ListParagraph"/>
        <w:ind w:left="360" w:firstLine="491"/>
        <w:jc w:val="both"/>
      </w:pPr>
    </w:p>
    <w:p w14:paraId="68756256" w14:textId="6251024F" w:rsidR="00C4632A" w:rsidRPr="00382579" w:rsidRDefault="0066752B" w:rsidP="00E54FEE">
      <w:pPr>
        <w:jc w:val="both"/>
        <w:rPr>
          <w:i/>
          <w:iCs/>
        </w:rPr>
      </w:pPr>
      <w:r w:rsidRPr="00382579">
        <w:tab/>
        <w:t>The following section presents the descriptive results of the systematic literature review, providing an overview of the temporal distribution, publication outlets, methodological approaches and topical focus of empirical NFIA research (RQ1).</w:t>
      </w:r>
      <w:r w:rsidR="00C4632A" w:rsidRPr="00382579">
        <w:rPr>
          <w:i/>
          <w:iCs/>
        </w:rPr>
        <w:br w:type="page"/>
      </w:r>
    </w:p>
    <w:p w14:paraId="1F477E18" w14:textId="30E22B94" w:rsidR="008C19D6" w:rsidRPr="00382579" w:rsidRDefault="008C19D6" w:rsidP="008C19D6">
      <w:pPr>
        <w:jc w:val="both"/>
        <w:rPr>
          <w:i/>
          <w:iCs/>
        </w:rPr>
      </w:pPr>
      <w:r w:rsidRPr="008B0133">
        <w:rPr>
          <w:i/>
          <w:iCs/>
        </w:rPr>
        <w:lastRenderedPageBreak/>
        <w:t>Descriptive Results</w:t>
      </w:r>
    </w:p>
    <w:p w14:paraId="0824CE11" w14:textId="72E77C23" w:rsidR="0085291E" w:rsidRPr="00382579" w:rsidRDefault="0085291E" w:rsidP="00A844A0">
      <w:pPr>
        <w:jc w:val="both"/>
        <w:rPr>
          <w:i/>
          <w:iCs/>
        </w:rPr>
      </w:pPr>
      <w:r w:rsidRPr="00382579">
        <w:rPr>
          <w:noProof/>
        </w:rPr>
        <w:drawing>
          <wp:inline distT="0" distB="0" distL="0" distR="0" wp14:anchorId="35924898" wp14:editId="14DA55C2">
            <wp:extent cx="5731510" cy="3701415"/>
            <wp:effectExtent l="0" t="0" r="2540" b="13335"/>
            <wp:docPr id="2044400816" name="Chart 1">
              <a:extLst xmlns:a="http://schemas.openxmlformats.org/drawingml/2006/main">
                <a:ext uri="{FF2B5EF4-FFF2-40B4-BE49-F238E27FC236}">
                  <a16:creationId xmlns:a16="http://schemas.microsoft.com/office/drawing/2014/main" id="{977CC578-97A0-ED14-7A84-AEBDE5ABF0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3ECD9E0" w14:textId="0DC13869" w:rsidR="00B07C64" w:rsidRPr="00382579" w:rsidRDefault="00B07C64" w:rsidP="00B07C64">
      <w:pPr>
        <w:pStyle w:val="ListParagraph"/>
        <w:ind w:left="0"/>
        <w:jc w:val="both"/>
        <w:rPr>
          <w:i/>
          <w:iCs/>
        </w:rPr>
      </w:pPr>
      <w:r w:rsidRPr="00382579">
        <w:rPr>
          <w:rFonts w:hint="eastAsia"/>
          <w:b/>
          <w:bCs/>
        </w:rPr>
        <w:t xml:space="preserve">Figure </w:t>
      </w:r>
      <w:r w:rsidRPr="00382579">
        <w:rPr>
          <w:b/>
          <w:bCs/>
        </w:rPr>
        <w:t>2</w:t>
      </w:r>
      <w:r w:rsidRPr="00382579">
        <w:rPr>
          <w:rFonts w:hint="eastAsia"/>
          <w:b/>
          <w:bCs/>
        </w:rPr>
        <w:t xml:space="preserve">: </w:t>
      </w:r>
      <w:r w:rsidRPr="00382579">
        <w:rPr>
          <w:b/>
          <w:bCs/>
        </w:rPr>
        <w:t xml:space="preserve">annual publication counts by major NFIA research </w:t>
      </w:r>
      <w:r w:rsidR="003178A2" w:rsidRPr="00382579">
        <w:rPr>
          <w:b/>
          <w:bCs/>
        </w:rPr>
        <w:t>subject domains</w:t>
      </w:r>
      <w:r w:rsidRPr="00382579">
        <w:rPr>
          <w:b/>
          <w:bCs/>
        </w:rPr>
        <w:t xml:space="preserve"> in top accounting journals (1990 – 2025)</w:t>
      </w:r>
      <w:r w:rsidRPr="00382579">
        <w:br/>
      </w:r>
      <w:r w:rsidRPr="00382579">
        <w:rPr>
          <w:i/>
          <w:iCs/>
        </w:rPr>
        <w:t>Source: Author’s analysis</w:t>
      </w:r>
    </w:p>
    <w:p w14:paraId="77B1C611" w14:textId="77777777" w:rsidR="0085291E" w:rsidRPr="00382579" w:rsidRDefault="0085291E" w:rsidP="00A844A0">
      <w:pPr>
        <w:jc w:val="both"/>
        <w:rPr>
          <w:i/>
          <w:iCs/>
        </w:rPr>
      </w:pPr>
    </w:p>
    <w:p w14:paraId="322265F6" w14:textId="78CD3117" w:rsidR="00057D6F" w:rsidRPr="00057D6F" w:rsidRDefault="00057D6F" w:rsidP="00057D6F">
      <w:pPr>
        <w:ind w:firstLine="420"/>
        <w:jc w:val="both"/>
      </w:pPr>
      <w:r w:rsidRPr="00057D6F">
        <w:t>The annual distribution of NFIA publications (1990–2025) reveals two dominant trajectories (see Figure 2). First, performance auditing represents the field's most persistent strand, appearing consistently since the late 1990s. This stability underscores its foundational role in the expansion of audit beyond financial reporting, particularly within public-sector accountability research.</w:t>
      </w:r>
      <w:r>
        <w:t xml:space="preserve"> </w:t>
      </w:r>
      <w:r w:rsidRPr="00057D6F">
        <w:t xml:space="preserve">Second, CSR, ESG, and sustainability assurance research experienced exponential growth starting in 2011, becoming the literature's dominant stream. </w:t>
      </w:r>
      <w:r w:rsidR="009D10C0" w:rsidRPr="009D10C0">
        <w:t>This expansion accelerated post-2015 and peaked in the late 2010s, a pattern consistent with intensified global climate-policy attention and corporate responsibility agendas (Perego &amp; Kolk, 2012). Publication volumes dipped during 2022–2023, which may reflect COVID-19–related disruptions to research production and publication processes (Page et al., 2021).</w:t>
      </w:r>
      <w:r w:rsidR="009D10C0">
        <w:t xml:space="preserve"> </w:t>
      </w:r>
      <w:proofErr w:type="gramStart"/>
      <w:r w:rsidRPr="00057D6F">
        <w:t>Notably</w:t>
      </w:r>
      <w:proofErr w:type="gramEnd"/>
      <w:r w:rsidRPr="00057D6F">
        <w:t>, sustainability-related assurance remains at historically high levels, while emerging domains like carbon and GHG auditing persist as significant but smaller niche streams.</w:t>
      </w:r>
    </w:p>
    <w:p w14:paraId="6D7326C6" w14:textId="77777777" w:rsidR="0039582D" w:rsidRPr="00382579" w:rsidRDefault="0039582D" w:rsidP="007C385A">
      <w:pPr>
        <w:ind w:firstLine="420"/>
        <w:jc w:val="both"/>
      </w:pPr>
    </w:p>
    <w:tbl>
      <w:tblPr>
        <w:tblW w:w="9680" w:type="dxa"/>
        <w:tblLook w:val="04A0" w:firstRow="1" w:lastRow="0" w:firstColumn="1" w:lastColumn="0" w:noHBand="0" w:noVBand="1"/>
      </w:tblPr>
      <w:tblGrid>
        <w:gridCol w:w="2037"/>
        <w:gridCol w:w="864"/>
        <w:gridCol w:w="1110"/>
        <w:gridCol w:w="779"/>
        <w:gridCol w:w="636"/>
        <w:gridCol w:w="636"/>
        <w:gridCol w:w="1289"/>
        <w:gridCol w:w="1341"/>
        <w:gridCol w:w="988"/>
      </w:tblGrid>
      <w:tr w:rsidR="004F60A2" w:rsidRPr="00382579" w14:paraId="0E6C4806" w14:textId="77777777" w:rsidTr="004F60A2">
        <w:trPr>
          <w:trHeight w:val="1200"/>
        </w:trPr>
        <w:tc>
          <w:tcPr>
            <w:tcW w:w="2810" w:type="dxa"/>
            <w:tcBorders>
              <w:top w:val="single" w:sz="8" w:space="0" w:color="auto"/>
              <w:left w:val="single" w:sz="8" w:space="0" w:color="auto"/>
              <w:bottom w:val="single" w:sz="4" w:space="0" w:color="9BC2E6"/>
              <w:right w:val="nil"/>
            </w:tcBorders>
            <w:shd w:val="clear" w:color="DDEBF7" w:fill="BFBFBF"/>
            <w:vAlign w:val="bottom"/>
            <w:hideMark/>
          </w:tcPr>
          <w:p w14:paraId="722D1B18" w14:textId="77777777" w:rsidR="004F60A2" w:rsidRPr="00382579" w:rsidRDefault="004F60A2">
            <w:pPr>
              <w:rPr>
                <w:rFonts w:ascii="Calibri" w:hAnsi="Calibri" w:cs="Calibri"/>
                <w:b/>
                <w:bCs/>
                <w:color w:val="000000"/>
              </w:rPr>
            </w:pPr>
            <w:r w:rsidRPr="00382579">
              <w:rPr>
                <w:rFonts w:ascii="Calibri" w:hAnsi="Calibri" w:cs="Calibri"/>
                <w:b/>
                <w:bCs/>
                <w:color w:val="000000"/>
              </w:rPr>
              <w:t>Journal / Jurisdiction of Study</w:t>
            </w:r>
          </w:p>
        </w:tc>
        <w:tc>
          <w:tcPr>
            <w:tcW w:w="716" w:type="dxa"/>
            <w:tcBorders>
              <w:top w:val="single" w:sz="8" w:space="0" w:color="auto"/>
              <w:left w:val="nil"/>
              <w:bottom w:val="single" w:sz="4" w:space="0" w:color="9BC2E6"/>
              <w:right w:val="nil"/>
            </w:tcBorders>
            <w:shd w:val="clear" w:color="DDEBF7" w:fill="BFBFBF"/>
            <w:noWrap/>
            <w:vAlign w:val="bottom"/>
            <w:hideMark/>
          </w:tcPr>
          <w:p w14:paraId="47755484" w14:textId="77777777" w:rsidR="004F60A2" w:rsidRPr="00382579" w:rsidRDefault="004F60A2">
            <w:pPr>
              <w:rPr>
                <w:rFonts w:ascii="Calibri" w:hAnsi="Calibri" w:cs="Calibri"/>
                <w:b/>
                <w:bCs/>
                <w:color w:val="000000"/>
              </w:rPr>
            </w:pPr>
            <w:r w:rsidRPr="00382579">
              <w:rPr>
                <w:rFonts w:ascii="Calibri" w:hAnsi="Calibri" w:cs="Calibri"/>
                <w:b/>
                <w:bCs/>
                <w:color w:val="000000"/>
              </w:rPr>
              <w:t>Global</w:t>
            </w:r>
          </w:p>
        </w:tc>
        <w:tc>
          <w:tcPr>
            <w:tcW w:w="896" w:type="dxa"/>
            <w:tcBorders>
              <w:top w:val="single" w:sz="8" w:space="0" w:color="auto"/>
              <w:left w:val="nil"/>
              <w:bottom w:val="single" w:sz="4" w:space="0" w:color="9BC2E6"/>
              <w:right w:val="nil"/>
            </w:tcBorders>
            <w:shd w:val="clear" w:color="DDEBF7" w:fill="BFBFBF"/>
            <w:noWrap/>
            <w:vAlign w:val="bottom"/>
            <w:hideMark/>
          </w:tcPr>
          <w:p w14:paraId="7B381BE6" w14:textId="77777777" w:rsidR="004F60A2" w:rsidRPr="00382579" w:rsidRDefault="004F60A2">
            <w:pPr>
              <w:rPr>
                <w:rFonts w:ascii="Calibri" w:hAnsi="Calibri" w:cs="Calibri"/>
                <w:b/>
                <w:bCs/>
                <w:color w:val="000000"/>
              </w:rPr>
            </w:pPr>
            <w:r w:rsidRPr="00382579">
              <w:rPr>
                <w:rFonts w:ascii="Calibri" w:hAnsi="Calibri" w:cs="Calibri"/>
                <w:b/>
                <w:bCs/>
                <w:color w:val="000000"/>
              </w:rPr>
              <w:t>Australia</w:t>
            </w:r>
          </w:p>
        </w:tc>
        <w:tc>
          <w:tcPr>
            <w:tcW w:w="596" w:type="dxa"/>
            <w:tcBorders>
              <w:top w:val="single" w:sz="8" w:space="0" w:color="auto"/>
              <w:left w:val="nil"/>
              <w:bottom w:val="single" w:sz="4" w:space="0" w:color="9BC2E6"/>
              <w:right w:val="nil"/>
            </w:tcBorders>
            <w:shd w:val="clear" w:color="DDEBF7" w:fill="BFBFBF"/>
            <w:noWrap/>
            <w:vAlign w:val="bottom"/>
            <w:hideMark/>
          </w:tcPr>
          <w:p w14:paraId="32933F7D" w14:textId="77777777" w:rsidR="004F60A2" w:rsidRPr="00382579" w:rsidRDefault="004F60A2">
            <w:pPr>
              <w:rPr>
                <w:rFonts w:ascii="Calibri" w:hAnsi="Calibri" w:cs="Calibri"/>
                <w:b/>
                <w:bCs/>
                <w:color w:val="000000"/>
              </w:rPr>
            </w:pPr>
            <w:r w:rsidRPr="00382579">
              <w:rPr>
                <w:rFonts w:ascii="Calibri" w:hAnsi="Calibri" w:cs="Calibri"/>
                <w:b/>
                <w:bCs/>
                <w:color w:val="000000"/>
              </w:rPr>
              <w:t>China</w:t>
            </w:r>
          </w:p>
        </w:tc>
        <w:tc>
          <w:tcPr>
            <w:tcW w:w="636" w:type="dxa"/>
            <w:tcBorders>
              <w:top w:val="single" w:sz="8" w:space="0" w:color="auto"/>
              <w:left w:val="nil"/>
              <w:bottom w:val="single" w:sz="4" w:space="0" w:color="9BC2E6"/>
              <w:right w:val="nil"/>
            </w:tcBorders>
            <w:shd w:val="clear" w:color="DDEBF7" w:fill="BFBFBF"/>
            <w:noWrap/>
            <w:vAlign w:val="bottom"/>
            <w:hideMark/>
          </w:tcPr>
          <w:p w14:paraId="55F77ED8" w14:textId="77777777" w:rsidR="004F60A2" w:rsidRPr="00382579" w:rsidRDefault="004F60A2">
            <w:pPr>
              <w:rPr>
                <w:rFonts w:ascii="Calibri" w:hAnsi="Calibri" w:cs="Calibri"/>
                <w:b/>
                <w:bCs/>
                <w:color w:val="000000"/>
              </w:rPr>
            </w:pPr>
            <w:r w:rsidRPr="00382579">
              <w:rPr>
                <w:rFonts w:ascii="Calibri" w:hAnsi="Calibri" w:cs="Calibri"/>
                <w:b/>
                <w:bCs/>
                <w:color w:val="000000"/>
              </w:rPr>
              <w:t>UK</w:t>
            </w:r>
          </w:p>
        </w:tc>
        <w:tc>
          <w:tcPr>
            <w:tcW w:w="636" w:type="dxa"/>
            <w:tcBorders>
              <w:top w:val="single" w:sz="8" w:space="0" w:color="auto"/>
              <w:left w:val="nil"/>
              <w:bottom w:val="single" w:sz="4" w:space="0" w:color="9BC2E6"/>
              <w:right w:val="nil"/>
            </w:tcBorders>
            <w:shd w:val="clear" w:color="DDEBF7" w:fill="BFBFBF"/>
            <w:noWrap/>
            <w:vAlign w:val="bottom"/>
            <w:hideMark/>
          </w:tcPr>
          <w:p w14:paraId="12C9F58B" w14:textId="77777777" w:rsidR="004F60A2" w:rsidRPr="00382579" w:rsidRDefault="004F60A2">
            <w:pPr>
              <w:rPr>
                <w:rFonts w:ascii="Calibri" w:hAnsi="Calibri" w:cs="Calibri"/>
                <w:b/>
                <w:bCs/>
                <w:color w:val="000000"/>
              </w:rPr>
            </w:pPr>
            <w:r w:rsidRPr="00382579">
              <w:rPr>
                <w:rFonts w:ascii="Calibri" w:hAnsi="Calibri" w:cs="Calibri"/>
                <w:b/>
                <w:bCs/>
                <w:color w:val="000000"/>
              </w:rPr>
              <w:t>US</w:t>
            </w:r>
          </w:p>
        </w:tc>
        <w:tc>
          <w:tcPr>
            <w:tcW w:w="1286" w:type="dxa"/>
            <w:tcBorders>
              <w:top w:val="single" w:sz="8" w:space="0" w:color="auto"/>
              <w:left w:val="nil"/>
              <w:bottom w:val="single" w:sz="4" w:space="0" w:color="9BC2E6"/>
              <w:right w:val="nil"/>
            </w:tcBorders>
            <w:shd w:val="clear" w:color="DDEBF7" w:fill="BFBFBF"/>
            <w:vAlign w:val="bottom"/>
            <w:hideMark/>
          </w:tcPr>
          <w:p w14:paraId="68DD9D80" w14:textId="77777777" w:rsidR="004F60A2" w:rsidRPr="00382579" w:rsidRDefault="004F60A2">
            <w:pPr>
              <w:rPr>
                <w:rFonts w:ascii="Calibri" w:hAnsi="Calibri" w:cs="Calibri"/>
                <w:b/>
                <w:bCs/>
                <w:color w:val="000000"/>
              </w:rPr>
            </w:pPr>
            <w:r w:rsidRPr="00382579">
              <w:rPr>
                <w:rFonts w:ascii="Calibri" w:hAnsi="Calibri" w:cs="Calibri"/>
                <w:b/>
                <w:bCs/>
                <w:color w:val="000000"/>
              </w:rPr>
              <w:t>Other Developed Countries</w:t>
            </w:r>
          </w:p>
        </w:tc>
        <w:tc>
          <w:tcPr>
            <w:tcW w:w="1116" w:type="dxa"/>
            <w:tcBorders>
              <w:top w:val="single" w:sz="8" w:space="0" w:color="auto"/>
              <w:left w:val="nil"/>
              <w:bottom w:val="single" w:sz="4" w:space="0" w:color="9BC2E6"/>
              <w:right w:val="nil"/>
            </w:tcBorders>
            <w:shd w:val="clear" w:color="DDEBF7" w:fill="BFBFBF"/>
            <w:vAlign w:val="bottom"/>
            <w:hideMark/>
          </w:tcPr>
          <w:p w14:paraId="18F026B2" w14:textId="77777777" w:rsidR="004F60A2" w:rsidRPr="00382579" w:rsidRDefault="004F60A2">
            <w:pPr>
              <w:rPr>
                <w:rFonts w:ascii="Calibri" w:hAnsi="Calibri" w:cs="Calibri"/>
                <w:b/>
                <w:bCs/>
                <w:color w:val="000000"/>
              </w:rPr>
            </w:pPr>
            <w:r w:rsidRPr="00382579">
              <w:rPr>
                <w:rFonts w:ascii="Calibri" w:hAnsi="Calibri" w:cs="Calibri"/>
                <w:b/>
                <w:bCs/>
                <w:color w:val="000000"/>
              </w:rPr>
              <w:t>Other Developing Countries</w:t>
            </w:r>
          </w:p>
        </w:tc>
        <w:tc>
          <w:tcPr>
            <w:tcW w:w="988" w:type="dxa"/>
            <w:tcBorders>
              <w:top w:val="single" w:sz="8" w:space="0" w:color="auto"/>
              <w:left w:val="nil"/>
              <w:bottom w:val="single" w:sz="4" w:space="0" w:color="9BC2E6"/>
              <w:right w:val="single" w:sz="8" w:space="0" w:color="auto"/>
            </w:tcBorders>
            <w:shd w:val="clear" w:color="DDEBF7" w:fill="BFBFBF"/>
            <w:noWrap/>
            <w:vAlign w:val="bottom"/>
            <w:hideMark/>
          </w:tcPr>
          <w:p w14:paraId="5009436B" w14:textId="77777777" w:rsidR="004F60A2" w:rsidRPr="00382579" w:rsidRDefault="004F60A2">
            <w:pPr>
              <w:rPr>
                <w:rFonts w:ascii="Calibri" w:hAnsi="Calibri" w:cs="Calibri"/>
                <w:b/>
                <w:bCs/>
                <w:color w:val="000000"/>
              </w:rPr>
            </w:pPr>
            <w:r w:rsidRPr="00382579">
              <w:rPr>
                <w:rFonts w:ascii="Calibri" w:hAnsi="Calibri" w:cs="Calibri"/>
                <w:b/>
                <w:bCs/>
                <w:color w:val="000000"/>
              </w:rPr>
              <w:t>Total</w:t>
            </w:r>
          </w:p>
        </w:tc>
      </w:tr>
      <w:tr w:rsidR="004F60A2" w:rsidRPr="00382579" w14:paraId="1A45C0B0" w14:textId="77777777" w:rsidTr="004F60A2">
        <w:trPr>
          <w:trHeight w:val="300"/>
        </w:trPr>
        <w:tc>
          <w:tcPr>
            <w:tcW w:w="2810" w:type="dxa"/>
            <w:tcBorders>
              <w:top w:val="nil"/>
              <w:left w:val="single" w:sz="8" w:space="0" w:color="auto"/>
              <w:bottom w:val="nil"/>
              <w:right w:val="nil"/>
            </w:tcBorders>
            <w:vAlign w:val="center"/>
            <w:hideMark/>
          </w:tcPr>
          <w:p w14:paraId="6B13D416" w14:textId="77777777" w:rsidR="004F60A2" w:rsidRPr="00382579" w:rsidRDefault="004F60A2">
            <w:pPr>
              <w:rPr>
                <w:rFonts w:ascii="Calibri" w:hAnsi="Calibri" w:cs="Calibri"/>
                <w:color w:val="000000"/>
              </w:rPr>
            </w:pPr>
            <w:r w:rsidRPr="00382579">
              <w:rPr>
                <w:rFonts w:ascii="Calibri" w:hAnsi="Calibri" w:cs="Calibri"/>
                <w:color w:val="000000"/>
              </w:rPr>
              <w:t>Abacus</w:t>
            </w:r>
          </w:p>
        </w:tc>
        <w:tc>
          <w:tcPr>
            <w:tcW w:w="716" w:type="dxa"/>
            <w:tcBorders>
              <w:top w:val="nil"/>
              <w:left w:val="nil"/>
              <w:bottom w:val="nil"/>
              <w:right w:val="nil"/>
            </w:tcBorders>
            <w:shd w:val="clear" w:color="000000" w:fill="F2F2F2"/>
            <w:noWrap/>
            <w:vAlign w:val="center"/>
            <w:hideMark/>
          </w:tcPr>
          <w:p w14:paraId="72BC3BE3"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3A5262E2"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05A855D7"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25F1D580" w14:textId="77777777" w:rsidR="004F60A2" w:rsidRPr="00382579" w:rsidRDefault="004F60A2">
            <w:pPr>
              <w:jc w:val="center"/>
            </w:pPr>
          </w:p>
        </w:tc>
        <w:tc>
          <w:tcPr>
            <w:tcW w:w="636" w:type="dxa"/>
            <w:tcBorders>
              <w:top w:val="nil"/>
              <w:left w:val="nil"/>
              <w:bottom w:val="nil"/>
              <w:right w:val="nil"/>
            </w:tcBorders>
            <w:noWrap/>
            <w:vAlign w:val="center"/>
            <w:hideMark/>
          </w:tcPr>
          <w:p w14:paraId="49985269"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739E67D9"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1F02EAA4"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4DF06454"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279821FD" w14:textId="77777777" w:rsidTr="004F60A2">
        <w:trPr>
          <w:trHeight w:val="300"/>
        </w:trPr>
        <w:tc>
          <w:tcPr>
            <w:tcW w:w="2810" w:type="dxa"/>
            <w:tcBorders>
              <w:top w:val="nil"/>
              <w:left w:val="single" w:sz="8" w:space="0" w:color="auto"/>
              <w:bottom w:val="nil"/>
              <w:right w:val="nil"/>
            </w:tcBorders>
            <w:vAlign w:val="center"/>
            <w:hideMark/>
          </w:tcPr>
          <w:p w14:paraId="00FDCF12" w14:textId="77777777" w:rsidR="004F60A2" w:rsidRPr="00382579" w:rsidRDefault="004F60A2">
            <w:pPr>
              <w:rPr>
                <w:rFonts w:ascii="Calibri" w:hAnsi="Calibri" w:cs="Calibri"/>
                <w:color w:val="000000"/>
              </w:rPr>
            </w:pPr>
            <w:r w:rsidRPr="00382579">
              <w:rPr>
                <w:rFonts w:ascii="Calibri" w:hAnsi="Calibri" w:cs="Calibri"/>
                <w:color w:val="000000"/>
              </w:rPr>
              <w:t>Accounting &amp; Finance</w:t>
            </w:r>
          </w:p>
        </w:tc>
        <w:tc>
          <w:tcPr>
            <w:tcW w:w="716" w:type="dxa"/>
            <w:tcBorders>
              <w:top w:val="nil"/>
              <w:left w:val="nil"/>
              <w:bottom w:val="nil"/>
              <w:right w:val="nil"/>
            </w:tcBorders>
            <w:shd w:val="clear" w:color="000000" w:fill="F2F2F2"/>
            <w:noWrap/>
            <w:vAlign w:val="center"/>
            <w:hideMark/>
          </w:tcPr>
          <w:p w14:paraId="23FDA2AF"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896" w:type="dxa"/>
            <w:tcBorders>
              <w:top w:val="nil"/>
              <w:left w:val="nil"/>
              <w:bottom w:val="nil"/>
              <w:right w:val="nil"/>
            </w:tcBorders>
            <w:noWrap/>
            <w:vAlign w:val="center"/>
            <w:hideMark/>
          </w:tcPr>
          <w:p w14:paraId="5456CF71"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21610C6A" w14:textId="77777777" w:rsidR="004F60A2" w:rsidRPr="00382579" w:rsidRDefault="004F60A2">
            <w:pPr>
              <w:jc w:val="center"/>
            </w:pPr>
          </w:p>
        </w:tc>
        <w:tc>
          <w:tcPr>
            <w:tcW w:w="636" w:type="dxa"/>
            <w:tcBorders>
              <w:top w:val="nil"/>
              <w:left w:val="nil"/>
              <w:bottom w:val="nil"/>
              <w:right w:val="nil"/>
            </w:tcBorders>
            <w:noWrap/>
            <w:vAlign w:val="center"/>
            <w:hideMark/>
          </w:tcPr>
          <w:p w14:paraId="2325FEF3" w14:textId="77777777" w:rsidR="004F60A2" w:rsidRPr="00382579" w:rsidRDefault="004F60A2">
            <w:pPr>
              <w:jc w:val="center"/>
            </w:pPr>
          </w:p>
        </w:tc>
        <w:tc>
          <w:tcPr>
            <w:tcW w:w="636" w:type="dxa"/>
            <w:tcBorders>
              <w:top w:val="nil"/>
              <w:left w:val="nil"/>
              <w:bottom w:val="nil"/>
              <w:right w:val="nil"/>
            </w:tcBorders>
            <w:noWrap/>
            <w:vAlign w:val="center"/>
            <w:hideMark/>
          </w:tcPr>
          <w:p w14:paraId="03B26BD9"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6EE026D1"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283E089A"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6EDCCC57"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3</w:t>
            </w:r>
          </w:p>
        </w:tc>
      </w:tr>
      <w:tr w:rsidR="004F60A2" w:rsidRPr="00382579" w14:paraId="229B8E6E" w14:textId="77777777" w:rsidTr="004F60A2">
        <w:trPr>
          <w:trHeight w:val="585"/>
        </w:trPr>
        <w:tc>
          <w:tcPr>
            <w:tcW w:w="2810" w:type="dxa"/>
            <w:tcBorders>
              <w:top w:val="nil"/>
              <w:left w:val="single" w:sz="8" w:space="0" w:color="auto"/>
              <w:bottom w:val="nil"/>
              <w:right w:val="nil"/>
            </w:tcBorders>
            <w:vAlign w:val="center"/>
            <w:hideMark/>
          </w:tcPr>
          <w:p w14:paraId="125CAE78" w14:textId="77777777" w:rsidR="004F60A2" w:rsidRPr="00382579" w:rsidRDefault="004F60A2">
            <w:pPr>
              <w:rPr>
                <w:rFonts w:ascii="Calibri" w:hAnsi="Calibri" w:cs="Calibri"/>
                <w:color w:val="000000"/>
              </w:rPr>
            </w:pPr>
            <w:r w:rsidRPr="00382579">
              <w:rPr>
                <w:rFonts w:ascii="Calibri" w:hAnsi="Calibri" w:cs="Calibri"/>
                <w:color w:val="000000"/>
              </w:rPr>
              <w:lastRenderedPageBreak/>
              <w:t>Accounting &amp; Business Research</w:t>
            </w:r>
          </w:p>
        </w:tc>
        <w:tc>
          <w:tcPr>
            <w:tcW w:w="716" w:type="dxa"/>
            <w:tcBorders>
              <w:top w:val="nil"/>
              <w:left w:val="nil"/>
              <w:bottom w:val="nil"/>
              <w:right w:val="nil"/>
            </w:tcBorders>
            <w:shd w:val="clear" w:color="000000" w:fill="F2F2F2"/>
            <w:noWrap/>
            <w:vAlign w:val="center"/>
            <w:hideMark/>
          </w:tcPr>
          <w:p w14:paraId="089DF6FB"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2F18B64E"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62168DE0"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164DA56A" w14:textId="77777777" w:rsidR="004F60A2" w:rsidRPr="00382579" w:rsidRDefault="004F60A2">
            <w:pPr>
              <w:jc w:val="center"/>
            </w:pPr>
          </w:p>
        </w:tc>
        <w:tc>
          <w:tcPr>
            <w:tcW w:w="636" w:type="dxa"/>
            <w:tcBorders>
              <w:top w:val="nil"/>
              <w:left w:val="nil"/>
              <w:bottom w:val="nil"/>
              <w:right w:val="nil"/>
            </w:tcBorders>
            <w:noWrap/>
            <w:vAlign w:val="center"/>
            <w:hideMark/>
          </w:tcPr>
          <w:p w14:paraId="3BCFA195"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2776B54F"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1116" w:type="dxa"/>
            <w:tcBorders>
              <w:top w:val="nil"/>
              <w:left w:val="nil"/>
              <w:bottom w:val="nil"/>
              <w:right w:val="nil"/>
            </w:tcBorders>
            <w:noWrap/>
            <w:vAlign w:val="center"/>
            <w:hideMark/>
          </w:tcPr>
          <w:p w14:paraId="10166BEC"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988" w:type="dxa"/>
            <w:tcBorders>
              <w:top w:val="nil"/>
              <w:left w:val="nil"/>
              <w:bottom w:val="nil"/>
              <w:right w:val="single" w:sz="8" w:space="0" w:color="auto"/>
            </w:tcBorders>
            <w:noWrap/>
            <w:vAlign w:val="center"/>
            <w:hideMark/>
          </w:tcPr>
          <w:p w14:paraId="4736F681"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4</w:t>
            </w:r>
          </w:p>
        </w:tc>
      </w:tr>
      <w:tr w:rsidR="004F60A2" w:rsidRPr="00382579" w14:paraId="717BDBCE" w14:textId="77777777" w:rsidTr="004F60A2">
        <w:trPr>
          <w:trHeight w:val="300"/>
        </w:trPr>
        <w:tc>
          <w:tcPr>
            <w:tcW w:w="2810" w:type="dxa"/>
            <w:tcBorders>
              <w:top w:val="nil"/>
              <w:left w:val="single" w:sz="8" w:space="0" w:color="auto"/>
              <w:bottom w:val="nil"/>
              <w:right w:val="nil"/>
            </w:tcBorders>
            <w:vAlign w:val="center"/>
            <w:hideMark/>
          </w:tcPr>
          <w:p w14:paraId="44B3C417" w14:textId="77777777" w:rsidR="004F60A2" w:rsidRPr="00382579" w:rsidRDefault="004F60A2">
            <w:pPr>
              <w:rPr>
                <w:rFonts w:ascii="Calibri" w:hAnsi="Calibri" w:cs="Calibri"/>
                <w:color w:val="000000"/>
              </w:rPr>
            </w:pPr>
            <w:r w:rsidRPr="00382579">
              <w:rPr>
                <w:rFonts w:ascii="Calibri" w:hAnsi="Calibri" w:cs="Calibri"/>
                <w:color w:val="000000"/>
              </w:rPr>
              <w:t>Accounting Horizons</w:t>
            </w:r>
          </w:p>
        </w:tc>
        <w:tc>
          <w:tcPr>
            <w:tcW w:w="716" w:type="dxa"/>
            <w:tcBorders>
              <w:top w:val="nil"/>
              <w:left w:val="nil"/>
              <w:bottom w:val="nil"/>
              <w:right w:val="nil"/>
            </w:tcBorders>
            <w:shd w:val="clear" w:color="000000" w:fill="F2F2F2"/>
            <w:noWrap/>
            <w:vAlign w:val="center"/>
            <w:hideMark/>
          </w:tcPr>
          <w:p w14:paraId="3F766DB0"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3D5ACFC8"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5FE1F323"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7A396A7D"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07B74961"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1D86CD68"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5782C6FA"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4F184780"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04B7BE04" w14:textId="77777777" w:rsidTr="004F60A2">
        <w:trPr>
          <w:trHeight w:val="300"/>
        </w:trPr>
        <w:tc>
          <w:tcPr>
            <w:tcW w:w="2810" w:type="dxa"/>
            <w:tcBorders>
              <w:top w:val="nil"/>
              <w:left w:val="single" w:sz="8" w:space="0" w:color="auto"/>
              <w:bottom w:val="nil"/>
              <w:right w:val="nil"/>
            </w:tcBorders>
            <w:vAlign w:val="center"/>
            <w:hideMark/>
          </w:tcPr>
          <w:p w14:paraId="37AC53AA" w14:textId="77777777" w:rsidR="004F60A2" w:rsidRPr="00382579" w:rsidRDefault="004F60A2">
            <w:pPr>
              <w:rPr>
                <w:rFonts w:ascii="Calibri" w:hAnsi="Calibri" w:cs="Calibri"/>
                <w:color w:val="000000"/>
              </w:rPr>
            </w:pPr>
            <w:r w:rsidRPr="00382579">
              <w:rPr>
                <w:rFonts w:ascii="Calibri" w:hAnsi="Calibri" w:cs="Calibri"/>
                <w:color w:val="000000"/>
              </w:rPr>
              <w:t>Accounting in Europe</w:t>
            </w:r>
          </w:p>
        </w:tc>
        <w:tc>
          <w:tcPr>
            <w:tcW w:w="716" w:type="dxa"/>
            <w:tcBorders>
              <w:top w:val="nil"/>
              <w:left w:val="nil"/>
              <w:bottom w:val="nil"/>
              <w:right w:val="nil"/>
            </w:tcBorders>
            <w:shd w:val="clear" w:color="000000" w:fill="F2F2F2"/>
            <w:noWrap/>
            <w:vAlign w:val="center"/>
            <w:hideMark/>
          </w:tcPr>
          <w:p w14:paraId="691274E6"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041B9B16"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32195450" w14:textId="77777777" w:rsidR="004F60A2" w:rsidRPr="00382579" w:rsidRDefault="004F60A2">
            <w:pPr>
              <w:jc w:val="center"/>
            </w:pPr>
          </w:p>
        </w:tc>
        <w:tc>
          <w:tcPr>
            <w:tcW w:w="636" w:type="dxa"/>
            <w:tcBorders>
              <w:top w:val="nil"/>
              <w:left w:val="nil"/>
              <w:bottom w:val="nil"/>
              <w:right w:val="nil"/>
            </w:tcBorders>
            <w:noWrap/>
            <w:vAlign w:val="center"/>
            <w:hideMark/>
          </w:tcPr>
          <w:p w14:paraId="10C4592E" w14:textId="77777777" w:rsidR="004F60A2" w:rsidRPr="00382579" w:rsidRDefault="004F60A2">
            <w:pPr>
              <w:jc w:val="center"/>
            </w:pPr>
          </w:p>
        </w:tc>
        <w:tc>
          <w:tcPr>
            <w:tcW w:w="636" w:type="dxa"/>
            <w:tcBorders>
              <w:top w:val="nil"/>
              <w:left w:val="nil"/>
              <w:bottom w:val="nil"/>
              <w:right w:val="nil"/>
            </w:tcBorders>
            <w:noWrap/>
            <w:vAlign w:val="center"/>
            <w:hideMark/>
          </w:tcPr>
          <w:p w14:paraId="579E0490"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6421F3C2"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05914574"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31221CCD"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4858E5A0" w14:textId="77777777" w:rsidTr="004F60A2">
        <w:trPr>
          <w:trHeight w:val="585"/>
        </w:trPr>
        <w:tc>
          <w:tcPr>
            <w:tcW w:w="2810" w:type="dxa"/>
            <w:tcBorders>
              <w:top w:val="nil"/>
              <w:left w:val="single" w:sz="8" w:space="0" w:color="auto"/>
              <w:bottom w:val="nil"/>
              <w:right w:val="nil"/>
            </w:tcBorders>
            <w:shd w:val="clear" w:color="000000" w:fill="F2F2F2"/>
            <w:vAlign w:val="center"/>
            <w:hideMark/>
          </w:tcPr>
          <w:p w14:paraId="18015541" w14:textId="77777777" w:rsidR="004F60A2" w:rsidRPr="00382579" w:rsidRDefault="004F60A2">
            <w:pPr>
              <w:rPr>
                <w:rFonts w:ascii="Calibri" w:hAnsi="Calibri" w:cs="Calibri"/>
                <w:color w:val="000000"/>
              </w:rPr>
            </w:pPr>
            <w:r w:rsidRPr="00382579">
              <w:rPr>
                <w:rFonts w:ascii="Calibri" w:hAnsi="Calibri" w:cs="Calibri"/>
                <w:color w:val="000000"/>
              </w:rPr>
              <w:t>Accounting, Auditing &amp; Accountability Journal</w:t>
            </w:r>
          </w:p>
        </w:tc>
        <w:tc>
          <w:tcPr>
            <w:tcW w:w="716" w:type="dxa"/>
            <w:tcBorders>
              <w:top w:val="nil"/>
              <w:left w:val="nil"/>
              <w:bottom w:val="nil"/>
              <w:right w:val="nil"/>
            </w:tcBorders>
            <w:shd w:val="clear" w:color="000000" w:fill="F2F2F2"/>
            <w:noWrap/>
            <w:vAlign w:val="center"/>
            <w:hideMark/>
          </w:tcPr>
          <w:p w14:paraId="06306221" w14:textId="77777777" w:rsidR="004F60A2" w:rsidRPr="00382579" w:rsidRDefault="004F60A2">
            <w:pPr>
              <w:jc w:val="center"/>
              <w:rPr>
                <w:rFonts w:ascii="Calibri" w:hAnsi="Calibri" w:cs="Calibri"/>
                <w:color w:val="000000"/>
              </w:rPr>
            </w:pPr>
            <w:r w:rsidRPr="00382579">
              <w:rPr>
                <w:rFonts w:ascii="Calibri" w:hAnsi="Calibri" w:cs="Calibri"/>
                <w:color w:val="000000"/>
              </w:rPr>
              <w:t>3</w:t>
            </w:r>
          </w:p>
        </w:tc>
        <w:tc>
          <w:tcPr>
            <w:tcW w:w="896" w:type="dxa"/>
            <w:tcBorders>
              <w:top w:val="nil"/>
              <w:left w:val="nil"/>
              <w:bottom w:val="nil"/>
              <w:right w:val="nil"/>
            </w:tcBorders>
            <w:shd w:val="clear" w:color="000000" w:fill="F2F2F2"/>
            <w:noWrap/>
            <w:vAlign w:val="center"/>
            <w:hideMark/>
          </w:tcPr>
          <w:p w14:paraId="0931325B" w14:textId="77777777" w:rsidR="004F60A2" w:rsidRPr="00382579" w:rsidRDefault="004F60A2">
            <w:pPr>
              <w:jc w:val="center"/>
              <w:rPr>
                <w:rFonts w:ascii="Calibri" w:hAnsi="Calibri" w:cs="Calibri"/>
                <w:color w:val="000000"/>
              </w:rPr>
            </w:pPr>
            <w:r w:rsidRPr="00382579">
              <w:rPr>
                <w:rFonts w:ascii="Calibri" w:hAnsi="Calibri" w:cs="Calibri"/>
                <w:color w:val="000000"/>
              </w:rPr>
              <w:t>4</w:t>
            </w:r>
          </w:p>
        </w:tc>
        <w:tc>
          <w:tcPr>
            <w:tcW w:w="596" w:type="dxa"/>
            <w:tcBorders>
              <w:top w:val="nil"/>
              <w:left w:val="nil"/>
              <w:bottom w:val="nil"/>
              <w:right w:val="nil"/>
            </w:tcBorders>
            <w:shd w:val="clear" w:color="000000" w:fill="F2F2F2"/>
            <w:noWrap/>
            <w:vAlign w:val="center"/>
            <w:hideMark/>
          </w:tcPr>
          <w:p w14:paraId="3F658089"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636" w:type="dxa"/>
            <w:tcBorders>
              <w:top w:val="nil"/>
              <w:left w:val="nil"/>
              <w:bottom w:val="nil"/>
              <w:right w:val="nil"/>
            </w:tcBorders>
            <w:shd w:val="clear" w:color="000000" w:fill="F2F2F2"/>
            <w:noWrap/>
            <w:vAlign w:val="center"/>
            <w:hideMark/>
          </w:tcPr>
          <w:p w14:paraId="3400D971"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shd w:val="clear" w:color="000000" w:fill="F2F2F2"/>
            <w:noWrap/>
            <w:vAlign w:val="center"/>
            <w:hideMark/>
          </w:tcPr>
          <w:p w14:paraId="1FA29D71"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286" w:type="dxa"/>
            <w:tcBorders>
              <w:top w:val="nil"/>
              <w:left w:val="nil"/>
              <w:bottom w:val="nil"/>
              <w:right w:val="nil"/>
            </w:tcBorders>
            <w:shd w:val="clear" w:color="000000" w:fill="F2F2F2"/>
            <w:noWrap/>
            <w:vAlign w:val="center"/>
            <w:hideMark/>
          </w:tcPr>
          <w:p w14:paraId="3C7EC647" w14:textId="77777777" w:rsidR="004F60A2" w:rsidRPr="00382579" w:rsidRDefault="004F60A2">
            <w:pPr>
              <w:jc w:val="center"/>
              <w:rPr>
                <w:rFonts w:ascii="Calibri" w:hAnsi="Calibri" w:cs="Calibri"/>
                <w:color w:val="000000"/>
              </w:rPr>
            </w:pPr>
            <w:r w:rsidRPr="00382579">
              <w:rPr>
                <w:rFonts w:ascii="Calibri" w:hAnsi="Calibri" w:cs="Calibri"/>
                <w:color w:val="000000"/>
              </w:rPr>
              <w:t>4</w:t>
            </w:r>
          </w:p>
        </w:tc>
        <w:tc>
          <w:tcPr>
            <w:tcW w:w="1116" w:type="dxa"/>
            <w:tcBorders>
              <w:top w:val="nil"/>
              <w:left w:val="nil"/>
              <w:bottom w:val="nil"/>
              <w:right w:val="nil"/>
            </w:tcBorders>
            <w:shd w:val="clear" w:color="000000" w:fill="F2F2F2"/>
            <w:noWrap/>
            <w:vAlign w:val="center"/>
            <w:hideMark/>
          </w:tcPr>
          <w:p w14:paraId="66895D8B"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988" w:type="dxa"/>
            <w:tcBorders>
              <w:top w:val="nil"/>
              <w:left w:val="nil"/>
              <w:bottom w:val="nil"/>
              <w:right w:val="single" w:sz="8" w:space="0" w:color="auto"/>
            </w:tcBorders>
            <w:shd w:val="clear" w:color="000000" w:fill="F2F2F2"/>
            <w:noWrap/>
            <w:vAlign w:val="center"/>
            <w:hideMark/>
          </w:tcPr>
          <w:p w14:paraId="3ED68FD6"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13</w:t>
            </w:r>
          </w:p>
        </w:tc>
      </w:tr>
      <w:tr w:rsidR="004F60A2" w:rsidRPr="00382579" w14:paraId="78232BD2" w14:textId="77777777" w:rsidTr="004F60A2">
        <w:trPr>
          <w:trHeight w:val="585"/>
        </w:trPr>
        <w:tc>
          <w:tcPr>
            <w:tcW w:w="2810" w:type="dxa"/>
            <w:tcBorders>
              <w:top w:val="nil"/>
              <w:left w:val="single" w:sz="8" w:space="0" w:color="auto"/>
              <w:bottom w:val="nil"/>
              <w:right w:val="nil"/>
            </w:tcBorders>
            <w:vAlign w:val="center"/>
            <w:hideMark/>
          </w:tcPr>
          <w:p w14:paraId="156DFFA6" w14:textId="77777777" w:rsidR="004F60A2" w:rsidRPr="00382579" w:rsidRDefault="004F60A2">
            <w:pPr>
              <w:rPr>
                <w:rFonts w:ascii="Calibri" w:hAnsi="Calibri" w:cs="Calibri"/>
                <w:color w:val="000000"/>
              </w:rPr>
            </w:pPr>
            <w:r w:rsidRPr="00382579">
              <w:rPr>
                <w:rFonts w:ascii="Calibri" w:hAnsi="Calibri" w:cs="Calibri"/>
                <w:color w:val="000000"/>
              </w:rPr>
              <w:t>Accounting, Organizations and Society</w:t>
            </w:r>
          </w:p>
        </w:tc>
        <w:tc>
          <w:tcPr>
            <w:tcW w:w="716" w:type="dxa"/>
            <w:tcBorders>
              <w:top w:val="nil"/>
              <w:left w:val="nil"/>
              <w:bottom w:val="nil"/>
              <w:right w:val="nil"/>
            </w:tcBorders>
            <w:shd w:val="clear" w:color="000000" w:fill="F2F2F2"/>
            <w:noWrap/>
            <w:vAlign w:val="center"/>
            <w:hideMark/>
          </w:tcPr>
          <w:p w14:paraId="37F53296"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noWrap/>
            <w:vAlign w:val="center"/>
            <w:hideMark/>
          </w:tcPr>
          <w:p w14:paraId="54A26F92"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769F0E06" w14:textId="77777777" w:rsidR="004F60A2" w:rsidRPr="00382579" w:rsidRDefault="004F60A2">
            <w:pPr>
              <w:jc w:val="center"/>
            </w:pPr>
          </w:p>
        </w:tc>
        <w:tc>
          <w:tcPr>
            <w:tcW w:w="636" w:type="dxa"/>
            <w:tcBorders>
              <w:top w:val="nil"/>
              <w:left w:val="nil"/>
              <w:bottom w:val="nil"/>
              <w:right w:val="nil"/>
            </w:tcBorders>
            <w:noWrap/>
            <w:vAlign w:val="center"/>
            <w:hideMark/>
          </w:tcPr>
          <w:p w14:paraId="4EEA0227" w14:textId="77777777" w:rsidR="004F60A2" w:rsidRPr="00382579" w:rsidRDefault="004F60A2">
            <w:pPr>
              <w:jc w:val="center"/>
            </w:pPr>
          </w:p>
        </w:tc>
        <w:tc>
          <w:tcPr>
            <w:tcW w:w="636" w:type="dxa"/>
            <w:tcBorders>
              <w:top w:val="nil"/>
              <w:left w:val="nil"/>
              <w:bottom w:val="nil"/>
              <w:right w:val="nil"/>
            </w:tcBorders>
            <w:noWrap/>
            <w:vAlign w:val="center"/>
            <w:hideMark/>
          </w:tcPr>
          <w:p w14:paraId="02616352"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1286" w:type="dxa"/>
            <w:tcBorders>
              <w:top w:val="nil"/>
              <w:left w:val="nil"/>
              <w:bottom w:val="nil"/>
              <w:right w:val="nil"/>
            </w:tcBorders>
            <w:shd w:val="clear" w:color="000000" w:fill="F2F2F2"/>
            <w:noWrap/>
            <w:vAlign w:val="center"/>
            <w:hideMark/>
          </w:tcPr>
          <w:p w14:paraId="6D2BE966"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1116" w:type="dxa"/>
            <w:tcBorders>
              <w:top w:val="nil"/>
              <w:left w:val="nil"/>
              <w:bottom w:val="nil"/>
              <w:right w:val="nil"/>
            </w:tcBorders>
            <w:noWrap/>
            <w:vAlign w:val="center"/>
            <w:hideMark/>
          </w:tcPr>
          <w:p w14:paraId="48A5D921"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1D87A720"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5</w:t>
            </w:r>
          </w:p>
        </w:tc>
      </w:tr>
      <w:tr w:rsidR="004F60A2" w:rsidRPr="00382579" w14:paraId="7D948F84" w14:textId="77777777" w:rsidTr="004F60A2">
        <w:trPr>
          <w:trHeight w:val="585"/>
        </w:trPr>
        <w:tc>
          <w:tcPr>
            <w:tcW w:w="2810" w:type="dxa"/>
            <w:tcBorders>
              <w:top w:val="nil"/>
              <w:left w:val="single" w:sz="8" w:space="0" w:color="auto"/>
              <w:bottom w:val="nil"/>
              <w:right w:val="nil"/>
            </w:tcBorders>
            <w:vAlign w:val="center"/>
            <w:hideMark/>
          </w:tcPr>
          <w:p w14:paraId="78551624" w14:textId="0B1434E4" w:rsidR="004F60A2" w:rsidRPr="00382579" w:rsidRDefault="004F60A2">
            <w:pPr>
              <w:rPr>
                <w:rFonts w:ascii="Calibri" w:hAnsi="Calibri" w:cs="Calibri"/>
                <w:color w:val="000000"/>
              </w:rPr>
            </w:pPr>
            <w:r w:rsidRPr="00382579">
              <w:rPr>
                <w:rFonts w:ascii="Calibri" w:hAnsi="Calibri" w:cs="Calibri"/>
                <w:color w:val="000000"/>
              </w:rPr>
              <w:t>Auditing: A Journal of Practice &amp; Theory</w:t>
            </w:r>
          </w:p>
        </w:tc>
        <w:tc>
          <w:tcPr>
            <w:tcW w:w="716" w:type="dxa"/>
            <w:tcBorders>
              <w:top w:val="nil"/>
              <w:left w:val="nil"/>
              <w:bottom w:val="nil"/>
              <w:right w:val="nil"/>
            </w:tcBorders>
            <w:shd w:val="clear" w:color="000000" w:fill="F2F2F2"/>
            <w:noWrap/>
            <w:vAlign w:val="center"/>
            <w:hideMark/>
          </w:tcPr>
          <w:p w14:paraId="733F50D8" w14:textId="77777777" w:rsidR="004F60A2" w:rsidRPr="00382579" w:rsidRDefault="004F60A2">
            <w:pPr>
              <w:jc w:val="center"/>
              <w:rPr>
                <w:rFonts w:ascii="Calibri" w:hAnsi="Calibri" w:cs="Calibri"/>
                <w:color w:val="000000"/>
              </w:rPr>
            </w:pPr>
            <w:r w:rsidRPr="00382579">
              <w:rPr>
                <w:rFonts w:ascii="Calibri" w:hAnsi="Calibri" w:cs="Calibri"/>
                <w:color w:val="000000"/>
              </w:rPr>
              <w:t>4</w:t>
            </w:r>
          </w:p>
        </w:tc>
        <w:tc>
          <w:tcPr>
            <w:tcW w:w="896" w:type="dxa"/>
            <w:tcBorders>
              <w:top w:val="nil"/>
              <w:left w:val="nil"/>
              <w:bottom w:val="nil"/>
              <w:right w:val="nil"/>
            </w:tcBorders>
            <w:noWrap/>
            <w:vAlign w:val="center"/>
            <w:hideMark/>
          </w:tcPr>
          <w:p w14:paraId="5F0D72B7"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21F6C740"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1346A3E4"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180A19CD" w14:textId="77777777" w:rsidR="004F60A2" w:rsidRPr="00382579" w:rsidRDefault="004F60A2">
            <w:pPr>
              <w:jc w:val="center"/>
              <w:rPr>
                <w:rFonts w:ascii="Calibri" w:hAnsi="Calibri" w:cs="Calibri"/>
                <w:color w:val="000000"/>
              </w:rPr>
            </w:pPr>
            <w:r w:rsidRPr="00382579">
              <w:rPr>
                <w:rFonts w:ascii="Calibri" w:hAnsi="Calibri" w:cs="Calibri"/>
                <w:color w:val="000000"/>
              </w:rPr>
              <w:t>3</w:t>
            </w:r>
          </w:p>
        </w:tc>
        <w:tc>
          <w:tcPr>
            <w:tcW w:w="1286" w:type="dxa"/>
            <w:tcBorders>
              <w:top w:val="nil"/>
              <w:left w:val="nil"/>
              <w:bottom w:val="nil"/>
              <w:right w:val="nil"/>
            </w:tcBorders>
            <w:shd w:val="clear" w:color="000000" w:fill="F2F2F2"/>
            <w:noWrap/>
            <w:vAlign w:val="center"/>
            <w:hideMark/>
          </w:tcPr>
          <w:p w14:paraId="568C9B3F"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6B2CAE8E"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2C31624B"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9</w:t>
            </w:r>
          </w:p>
        </w:tc>
      </w:tr>
      <w:tr w:rsidR="004F60A2" w:rsidRPr="00382579" w14:paraId="5532ABA2" w14:textId="77777777" w:rsidTr="004F60A2">
        <w:trPr>
          <w:trHeight w:val="585"/>
        </w:trPr>
        <w:tc>
          <w:tcPr>
            <w:tcW w:w="2810" w:type="dxa"/>
            <w:tcBorders>
              <w:top w:val="nil"/>
              <w:left w:val="single" w:sz="8" w:space="0" w:color="auto"/>
              <w:bottom w:val="nil"/>
              <w:right w:val="nil"/>
            </w:tcBorders>
            <w:vAlign w:val="center"/>
            <w:hideMark/>
          </w:tcPr>
          <w:p w14:paraId="4752A49A" w14:textId="77777777" w:rsidR="004F60A2" w:rsidRPr="00382579" w:rsidRDefault="004F60A2">
            <w:pPr>
              <w:rPr>
                <w:rFonts w:ascii="Calibri" w:hAnsi="Calibri" w:cs="Calibri"/>
                <w:color w:val="000000"/>
              </w:rPr>
            </w:pPr>
            <w:proofErr w:type="spellStart"/>
            <w:r w:rsidRPr="00382579">
              <w:rPr>
                <w:rFonts w:ascii="Calibri" w:hAnsi="Calibri" w:cs="Calibri"/>
                <w:color w:val="000000"/>
              </w:rPr>
              <w:t>Behavioral</w:t>
            </w:r>
            <w:proofErr w:type="spellEnd"/>
            <w:r w:rsidRPr="00382579">
              <w:rPr>
                <w:rFonts w:ascii="Calibri" w:hAnsi="Calibri" w:cs="Calibri"/>
                <w:color w:val="000000"/>
              </w:rPr>
              <w:t xml:space="preserve"> Research in Accounting</w:t>
            </w:r>
          </w:p>
        </w:tc>
        <w:tc>
          <w:tcPr>
            <w:tcW w:w="716" w:type="dxa"/>
            <w:tcBorders>
              <w:top w:val="nil"/>
              <w:left w:val="nil"/>
              <w:bottom w:val="nil"/>
              <w:right w:val="nil"/>
            </w:tcBorders>
            <w:shd w:val="clear" w:color="000000" w:fill="F2F2F2"/>
            <w:noWrap/>
            <w:vAlign w:val="center"/>
            <w:hideMark/>
          </w:tcPr>
          <w:p w14:paraId="48818648"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2C0945EF"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7ACCAA20"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18A798B2" w14:textId="77777777" w:rsidR="004F60A2" w:rsidRPr="00382579" w:rsidRDefault="004F60A2">
            <w:pPr>
              <w:jc w:val="center"/>
            </w:pPr>
          </w:p>
        </w:tc>
        <w:tc>
          <w:tcPr>
            <w:tcW w:w="636" w:type="dxa"/>
            <w:tcBorders>
              <w:top w:val="nil"/>
              <w:left w:val="nil"/>
              <w:bottom w:val="nil"/>
              <w:right w:val="nil"/>
            </w:tcBorders>
            <w:noWrap/>
            <w:vAlign w:val="center"/>
            <w:hideMark/>
          </w:tcPr>
          <w:p w14:paraId="70999CEF"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50266679"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6C360E4A"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70CF2105"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6329B3F0" w14:textId="77777777" w:rsidTr="004F60A2">
        <w:trPr>
          <w:trHeight w:val="585"/>
        </w:trPr>
        <w:tc>
          <w:tcPr>
            <w:tcW w:w="2810" w:type="dxa"/>
            <w:tcBorders>
              <w:top w:val="nil"/>
              <w:left w:val="single" w:sz="8" w:space="0" w:color="auto"/>
              <w:bottom w:val="nil"/>
              <w:right w:val="nil"/>
            </w:tcBorders>
            <w:vAlign w:val="center"/>
            <w:hideMark/>
          </w:tcPr>
          <w:p w14:paraId="13EF5892" w14:textId="77777777" w:rsidR="004F60A2" w:rsidRPr="00382579" w:rsidRDefault="004F60A2">
            <w:pPr>
              <w:rPr>
                <w:rFonts w:ascii="Calibri" w:hAnsi="Calibri" w:cs="Calibri"/>
                <w:color w:val="000000"/>
              </w:rPr>
            </w:pPr>
            <w:r w:rsidRPr="00382579">
              <w:rPr>
                <w:rFonts w:ascii="Calibri" w:hAnsi="Calibri" w:cs="Calibri"/>
                <w:color w:val="000000"/>
              </w:rPr>
              <w:t>Contemporary Accounting Research</w:t>
            </w:r>
          </w:p>
        </w:tc>
        <w:tc>
          <w:tcPr>
            <w:tcW w:w="716" w:type="dxa"/>
            <w:tcBorders>
              <w:top w:val="nil"/>
              <w:left w:val="nil"/>
              <w:bottom w:val="nil"/>
              <w:right w:val="nil"/>
            </w:tcBorders>
            <w:shd w:val="clear" w:color="000000" w:fill="F2F2F2"/>
            <w:noWrap/>
            <w:vAlign w:val="center"/>
            <w:hideMark/>
          </w:tcPr>
          <w:p w14:paraId="60259009" w14:textId="77777777" w:rsidR="004F60A2" w:rsidRPr="00382579" w:rsidRDefault="004F60A2">
            <w:pPr>
              <w:jc w:val="center"/>
              <w:rPr>
                <w:rFonts w:ascii="Calibri" w:hAnsi="Calibri" w:cs="Calibri"/>
                <w:color w:val="000000"/>
              </w:rPr>
            </w:pPr>
            <w:r w:rsidRPr="00382579">
              <w:rPr>
                <w:rFonts w:ascii="Calibri" w:hAnsi="Calibri" w:cs="Calibri"/>
                <w:color w:val="000000"/>
              </w:rPr>
              <w:t>4</w:t>
            </w:r>
          </w:p>
        </w:tc>
        <w:tc>
          <w:tcPr>
            <w:tcW w:w="896" w:type="dxa"/>
            <w:tcBorders>
              <w:top w:val="nil"/>
              <w:left w:val="nil"/>
              <w:bottom w:val="nil"/>
              <w:right w:val="nil"/>
            </w:tcBorders>
            <w:noWrap/>
            <w:vAlign w:val="center"/>
            <w:hideMark/>
          </w:tcPr>
          <w:p w14:paraId="1C138F8D"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3576C560" w14:textId="77777777" w:rsidR="004F60A2" w:rsidRPr="00382579" w:rsidRDefault="004F60A2">
            <w:pPr>
              <w:jc w:val="center"/>
            </w:pPr>
          </w:p>
        </w:tc>
        <w:tc>
          <w:tcPr>
            <w:tcW w:w="636" w:type="dxa"/>
            <w:tcBorders>
              <w:top w:val="nil"/>
              <w:left w:val="nil"/>
              <w:bottom w:val="nil"/>
              <w:right w:val="nil"/>
            </w:tcBorders>
            <w:noWrap/>
            <w:vAlign w:val="center"/>
            <w:hideMark/>
          </w:tcPr>
          <w:p w14:paraId="287ED3B6" w14:textId="77777777" w:rsidR="004F60A2" w:rsidRPr="00382579" w:rsidRDefault="004F60A2">
            <w:pPr>
              <w:jc w:val="center"/>
            </w:pPr>
          </w:p>
        </w:tc>
        <w:tc>
          <w:tcPr>
            <w:tcW w:w="636" w:type="dxa"/>
            <w:tcBorders>
              <w:top w:val="nil"/>
              <w:left w:val="nil"/>
              <w:bottom w:val="nil"/>
              <w:right w:val="nil"/>
            </w:tcBorders>
            <w:noWrap/>
            <w:vAlign w:val="center"/>
            <w:hideMark/>
          </w:tcPr>
          <w:p w14:paraId="248CACCF"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43CE43D0"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5B0C4865"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01422FA0"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5</w:t>
            </w:r>
          </w:p>
        </w:tc>
      </w:tr>
      <w:tr w:rsidR="004F60A2" w:rsidRPr="00382579" w14:paraId="4AA50D08" w14:textId="77777777" w:rsidTr="004F60A2">
        <w:trPr>
          <w:trHeight w:val="585"/>
        </w:trPr>
        <w:tc>
          <w:tcPr>
            <w:tcW w:w="2810" w:type="dxa"/>
            <w:tcBorders>
              <w:top w:val="nil"/>
              <w:left w:val="single" w:sz="8" w:space="0" w:color="auto"/>
              <w:bottom w:val="nil"/>
              <w:right w:val="nil"/>
            </w:tcBorders>
            <w:vAlign w:val="center"/>
            <w:hideMark/>
          </w:tcPr>
          <w:p w14:paraId="51E8DB79" w14:textId="77777777" w:rsidR="004F60A2" w:rsidRPr="00382579" w:rsidRDefault="004F60A2">
            <w:pPr>
              <w:rPr>
                <w:rFonts w:ascii="Calibri" w:hAnsi="Calibri" w:cs="Calibri"/>
                <w:color w:val="000000"/>
              </w:rPr>
            </w:pPr>
            <w:r w:rsidRPr="00382579">
              <w:rPr>
                <w:rFonts w:ascii="Calibri" w:hAnsi="Calibri" w:cs="Calibri"/>
                <w:color w:val="000000"/>
              </w:rPr>
              <w:t>Critical Perspectives on Accounting</w:t>
            </w:r>
          </w:p>
        </w:tc>
        <w:tc>
          <w:tcPr>
            <w:tcW w:w="716" w:type="dxa"/>
            <w:tcBorders>
              <w:top w:val="nil"/>
              <w:left w:val="nil"/>
              <w:bottom w:val="nil"/>
              <w:right w:val="nil"/>
            </w:tcBorders>
            <w:shd w:val="clear" w:color="000000" w:fill="F2F2F2"/>
            <w:noWrap/>
            <w:vAlign w:val="center"/>
            <w:hideMark/>
          </w:tcPr>
          <w:p w14:paraId="6D389BBA"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2FBB288E"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3A0F9E56"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043A1F6A" w14:textId="77777777" w:rsidR="004F60A2" w:rsidRPr="00382579" w:rsidRDefault="004F60A2">
            <w:pPr>
              <w:jc w:val="center"/>
            </w:pPr>
          </w:p>
        </w:tc>
        <w:tc>
          <w:tcPr>
            <w:tcW w:w="636" w:type="dxa"/>
            <w:tcBorders>
              <w:top w:val="nil"/>
              <w:left w:val="nil"/>
              <w:bottom w:val="nil"/>
              <w:right w:val="nil"/>
            </w:tcBorders>
            <w:noWrap/>
            <w:vAlign w:val="center"/>
            <w:hideMark/>
          </w:tcPr>
          <w:p w14:paraId="44D3D4A3"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286" w:type="dxa"/>
            <w:tcBorders>
              <w:top w:val="nil"/>
              <w:left w:val="nil"/>
              <w:bottom w:val="nil"/>
              <w:right w:val="nil"/>
            </w:tcBorders>
            <w:shd w:val="clear" w:color="000000" w:fill="F2F2F2"/>
            <w:noWrap/>
            <w:vAlign w:val="center"/>
            <w:hideMark/>
          </w:tcPr>
          <w:p w14:paraId="0D9154B9"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1116" w:type="dxa"/>
            <w:tcBorders>
              <w:top w:val="nil"/>
              <w:left w:val="nil"/>
              <w:bottom w:val="nil"/>
              <w:right w:val="nil"/>
            </w:tcBorders>
            <w:noWrap/>
            <w:vAlign w:val="center"/>
            <w:hideMark/>
          </w:tcPr>
          <w:p w14:paraId="1B6BF914"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988" w:type="dxa"/>
            <w:tcBorders>
              <w:top w:val="nil"/>
              <w:left w:val="nil"/>
              <w:bottom w:val="nil"/>
              <w:right w:val="single" w:sz="8" w:space="0" w:color="auto"/>
            </w:tcBorders>
            <w:noWrap/>
            <w:vAlign w:val="center"/>
            <w:hideMark/>
          </w:tcPr>
          <w:p w14:paraId="183F2CC4"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5</w:t>
            </w:r>
          </w:p>
        </w:tc>
      </w:tr>
      <w:tr w:rsidR="004F60A2" w:rsidRPr="00382579" w14:paraId="622BD411" w14:textId="77777777" w:rsidTr="004F60A2">
        <w:trPr>
          <w:trHeight w:val="300"/>
        </w:trPr>
        <w:tc>
          <w:tcPr>
            <w:tcW w:w="2810" w:type="dxa"/>
            <w:tcBorders>
              <w:top w:val="nil"/>
              <w:left w:val="single" w:sz="8" w:space="0" w:color="auto"/>
              <w:bottom w:val="nil"/>
              <w:right w:val="nil"/>
            </w:tcBorders>
            <w:vAlign w:val="center"/>
            <w:hideMark/>
          </w:tcPr>
          <w:p w14:paraId="38F1BDBB" w14:textId="77777777" w:rsidR="004F60A2" w:rsidRPr="00382579" w:rsidRDefault="004F60A2">
            <w:pPr>
              <w:rPr>
                <w:rFonts w:ascii="Calibri" w:hAnsi="Calibri" w:cs="Calibri"/>
                <w:color w:val="000000"/>
              </w:rPr>
            </w:pPr>
            <w:r w:rsidRPr="00382579">
              <w:rPr>
                <w:rFonts w:ascii="Calibri" w:hAnsi="Calibri" w:cs="Calibri"/>
                <w:color w:val="000000"/>
              </w:rPr>
              <w:t>European Accounting Review</w:t>
            </w:r>
          </w:p>
        </w:tc>
        <w:tc>
          <w:tcPr>
            <w:tcW w:w="716" w:type="dxa"/>
            <w:tcBorders>
              <w:top w:val="nil"/>
              <w:left w:val="nil"/>
              <w:bottom w:val="nil"/>
              <w:right w:val="nil"/>
            </w:tcBorders>
            <w:shd w:val="clear" w:color="000000" w:fill="F2F2F2"/>
            <w:noWrap/>
            <w:vAlign w:val="center"/>
            <w:hideMark/>
          </w:tcPr>
          <w:p w14:paraId="2D086FE6"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noWrap/>
            <w:vAlign w:val="center"/>
            <w:hideMark/>
          </w:tcPr>
          <w:p w14:paraId="37B9908A"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64EACAA2" w14:textId="77777777" w:rsidR="004F60A2" w:rsidRPr="00382579" w:rsidRDefault="004F60A2">
            <w:pPr>
              <w:jc w:val="center"/>
            </w:pPr>
          </w:p>
        </w:tc>
        <w:tc>
          <w:tcPr>
            <w:tcW w:w="636" w:type="dxa"/>
            <w:tcBorders>
              <w:top w:val="nil"/>
              <w:left w:val="nil"/>
              <w:bottom w:val="nil"/>
              <w:right w:val="nil"/>
            </w:tcBorders>
            <w:noWrap/>
            <w:vAlign w:val="center"/>
            <w:hideMark/>
          </w:tcPr>
          <w:p w14:paraId="1E6C9427"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467C53D7" w14:textId="77777777" w:rsidR="004F60A2" w:rsidRPr="00382579" w:rsidRDefault="004F60A2">
            <w:pPr>
              <w:jc w:val="center"/>
              <w:rPr>
                <w:rFonts w:ascii="Calibri" w:hAnsi="Calibri" w:cs="Calibri"/>
                <w:color w:val="000000"/>
              </w:rPr>
            </w:pPr>
          </w:p>
        </w:tc>
        <w:tc>
          <w:tcPr>
            <w:tcW w:w="1286" w:type="dxa"/>
            <w:tcBorders>
              <w:top w:val="nil"/>
              <w:left w:val="nil"/>
              <w:bottom w:val="nil"/>
              <w:right w:val="nil"/>
            </w:tcBorders>
            <w:shd w:val="clear" w:color="000000" w:fill="F2F2F2"/>
            <w:noWrap/>
            <w:vAlign w:val="center"/>
            <w:hideMark/>
          </w:tcPr>
          <w:p w14:paraId="2AA9375F"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38BE104D"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6E843D2D"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3</w:t>
            </w:r>
          </w:p>
        </w:tc>
      </w:tr>
      <w:tr w:rsidR="004F60A2" w:rsidRPr="00382579" w14:paraId="67DD818C" w14:textId="77777777" w:rsidTr="004F60A2">
        <w:trPr>
          <w:trHeight w:val="585"/>
        </w:trPr>
        <w:tc>
          <w:tcPr>
            <w:tcW w:w="2810" w:type="dxa"/>
            <w:tcBorders>
              <w:top w:val="nil"/>
              <w:left w:val="single" w:sz="8" w:space="0" w:color="auto"/>
              <w:bottom w:val="nil"/>
              <w:right w:val="nil"/>
            </w:tcBorders>
            <w:shd w:val="clear" w:color="000000" w:fill="F2F2F2"/>
            <w:vAlign w:val="center"/>
            <w:hideMark/>
          </w:tcPr>
          <w:p w14:paraId="46737F98" w14:textId="77777777" w:rsidR="004F60A2" w:rsidRPr="00382579" w:rsidRDefault="004F60A2">
            <w:pPr>
              <w:rPr>
                <w:rFonts w:ascii="Calibri" w:hAnsi="Calibri" w:cs="Calibri"/>
                <w:color w:val="000000"/>
              </w:rPr>
            </w:pPr>
            <w:r w:rsidRPr="00382579">
              <w:rPr>
                <w:rFonts w:ascii="Calibri" w:hAnsi="Calibri" w:cs="Calibri"/>
                <w:color w:val="000000"/>
              </w:rPr>
              <w:t>Financial Accountability &amp; Management</w:t>
            </w:r>
          </w:p>
        </w:tc>
        <w:tc>
          <w:tcPr>
            <w:tcW w:w="716" w:type="dxa"/>
            <w:tcBorders>
              <w:top w:val="nil"/>
              <w:left w:val="nil"/>
              <w:bottom w:val="nil"/>
              <w:right w:val="nil"/>
            </w:tcBorders>
            <w:shd w:val="clear" w:color="000000" w:fill="F2F2F2"/>
            <w:noWrap/>
            <w:vAlign w:val="center"/>
            <w:hideMark/>
          </w:tcPr>
          <w:p w14:paraId="57F2C7E1"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shd w:val="clear" w:color="000000" w:fill="F2F2F2"/>
            <w:noWrap/>
            <w:vAlign w:val="center"/>
            <w:hideMark/>
          </w:tcPr>
          <w:p w14:paraId="17EADE87" w14:textId="77777777" w:rsidR="004F60A2" w:rsidRPr="00382579" w:rsidRDefault="004F60A2">
            <w:pPr>
              <w:jc w:val="center"/>
              <w:rPr>
                <w:rFonts w:ascii="Calibri" w:hAnsi="Calibri" w:cs="Calibri"/>
                <w:color w:val="000000"/>
              </w:rPr>
            </w:pPr>
            <w:r w:rsidRPr="00382579">
              <w:rPr>
                <w:rFonts w:ascii="Calibri" w:hAnsi="Calibri" w:cs="Calibri"/>
                <w:color w:val="000000"/>
              </w:rPr>
              <w:t>5</w:t>
            </w:r>
          </w:p>
        </w:tc>
        <w:tc>
          <w:tcPr>
            <w:tcW w:w="596" w:type="dxa"/>
            <w:tcBorders>
              <w:top w:val="nil"/>
              <w:left w:val="nil"/>
              <w:bottom w:val="nil"/>
              <w:right w:val="nil"/>
            </w:tcBorders>
            <w:shd w:val="clear" w:color="000000" w:fill="F2F2F2"/>
            <w:noWrap/>
            <w:vAlign w:val="center"/>
            <w:hideMark/>
          </w:tcPr>
          <w:p w14:paraId="2867A814"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636" w:type="dxa"/>
            <w:tcBorders>
              <w:top w:val="nil"/>
              <w:left w:val="nil"/>
              <w:bottom w:val="nil"/>
              <w:right w:val="nil"/>
            </w:tcBorders>
            <w:shd w:val="clear" w:color="000000" w:fill="F2F2F2"/>
            <w:noWrap/>
            <w:vAlign w:val="center"/>
            <w:hideMark/>
          </w:tcPr>
          <w:p w14:paraId="2BA7C23C"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shd w:val="clear" w:color="000000" w:fill="F2F2F2"/>
            <w:noWrap/>
            <w:vAlign w:val="center"/>
            <w:hideMark/>
          </w:tcPr>
          <w:p w14:paraId="5DD34FC3"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286" w:type="dxa"/>
            <w:tcBorders>
              <w:top w:val="nil"/>
              <w:left w:val="nil"/>
              <w:bottom w:val="nil"/>
              <w:right w:val="nil"/>
            </w:tcBorders>
            <w:shd w:val="clear" w:color="000000" w:fill="F2F2F2"/>
            <w:noWrap/>
            <w:vAlign w:val="center"/>
            <w:hideMark/>
          </w:tcPr>
          <w:p w14:paraId="0EA7CF20" w14:textId="77777777" w:rsidR="004F60A2" w:rsidRPr="00382579" w:rsidRDefault="004F60A2">
            <w:pPr>
              <w:jc w:val="center"/>
              <w:rPr>
                <w:rFonts w:ascii="Calibri" w:hAnsi="Calibri" w:cs="Calibri"/>
                <w:color w:val="000000"/>
              </w:rPr>
            </w:pPr>
            <w:r w:rsidRPr="00382579">
              <w:rPr>
                <w:rFonts w:ascii="Calibri" w:hAnsi="Calibri" w:cs="Calibri"/>
                <w:color w:val="000000"/>
              </w:rPr>
              <w:t>6</w:t>
            </w:r>
          </w:p>
        </w:tc>
        <w:tc>
          <w:tcPr>
            <w:tcW w:w="1116" w:type="dxa"/>
            <w:tcBorders>
              <w:top w:val="nil"/>
              <w:left w:val="nil"/>
              <w:bottom w:val="nil"/>
              <w:right w:val="nil"/>
            </w:tcBorders>
            <w:shd w:val="clear" w:color="000000" w:fill="F2F2F2"/>
            <w:noWrap/>
            <w:vAlign w:val="center"/>
            <w:hideMark/>
          </w:tcPr>
          <w:p w14:paraId="56C1A596"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988" w:type="dxa"/>
            <w:tcBorders>
              <w:top w:val="nil"/>
              <w:left w:val="nil"/>
              <w:bottom w:val="nil"/>
              <w:right w:val="single" w:sz="8" w:space="0" w:color="auto"/>
            </w:tcBorders>
            <w:shd w:val="clear" w:color="000000" w:fill="F2F2F2"/>
            <w:noWrap/>
            <w:vAlign w:val="center"/>
            <w:hideMark/>
          </w:tcPr>
          <w:p w14:paraId="5DFA56B7"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15</w:t>
            </w:r>
          </w:p>
        </w:tc>
      </w:tr>
      <w:tr w:rsidR="004F60A2" w:rsidRPr="00382579" w14:paraId="4949B0E3" w14:textId="77777777" w:rsidTr="004F60A2">
        <w:trPr>
          <w:trHeight w:val="585"/>
        </w:trPr>
        <w:tc>
          <w:tcPr>
            <w:tcW w:w="2810" w:type="dxa"/>
            <w:tcBorders>
              <w:top w:val="nil"/>
              <w:left w:val="single" w:sz="8" w:space="0" w:color="auto"/>
              <w:bottom w:val="nil"/>
              <w:right w:val="nil"/>
            </w:tcBorders>
            <w:vAlign w:val="center"/>
            <w:hideMark/>
          </w:tcPr>
          <w:p w14:paraId="37BFB43F" w14:textId="77777777" w:rsidR="004F60A2" w:rsidRPr="00382579" w:rsidRDefault="004F60A2">
            <w:pPr>
              <w:rPr>
                <w:rFonts w:ascii="Calibri" w:hAnsi="Calibri" w:cs="Calibri"/>
                <w:color w:val="000000"/>
              </w:rPr>
            </w:pPr>
            <w:r w:rsidRPr="00382579">
              <w:rPr>
                <w:rFonts w:ascii="Calibri" w:hAnsi="Calibri" w:cs="Calibri"/>
                <w:color w:val="000000"/>
              </w:rPr>
              <w:t>Financial Accountability and Management</w:t>
            </w:r>
          </w:p>
        </w:tc>
        <w:tc>
          <w:tcPr>
            <w:tcW w:w="716" w:type="dxa"/>
            <w:tcBorders>
              <w:top w:val="nil"/>
              <w:left w:val="nil"/>
              <w:bottom w:val="nil"/>
              <w:right w:val="nil"/>
            </w:tcBorders>
            <w:shd w:val="clear" w:color="000000" w:fill="F2F2F2"/>
            <w:noWrap/>
            <w:vAlign w:val="center"/>
            <w:hideMark/>
          </w:tcPr>
          <w:p w14:paraId="5072AD4D"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5A6F49B3"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7A6B32FD" w14:textId="77777777" w:rsidR="004F60A2" w:rsidRPr="00382579" w:rsidRDefault="004F60A2">
            <w:pPr>
              <w:jc w:val="center"/>
            </w:pPr>
          </w:p>
        </w:tc>
        <w:tc>
          <w:tcPr>
            <w:tcW w:w="636" w:type="dxa"/>
            <w:tcBorders>
              <w:top w:val="nil"/>
              <w:left w:val="nil"/>
              <w:bottom w:val="nil"/>
              <w:right w:val="nil"/>
            </w:tcBorders>
            <w:noWrap/>
            <w:vAlign w:val="center"/>
            <w:hideMark/>
          </w:tcPr>
          <w:p w14:paraId="7D900161"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1891CE9E" w14:textId="77777777" w:rsidR="004F60A2" w:rsidRPr="00382579" w:rsidRDefault="004F60A2">
            <w:pPr>
              <w:jc w:val="center"/>
              <w:rPr>
                <w:rFonts w:ascii="Calibri" w:hAnsi="Calibri" w:cs="Calibri"/>
                <w:color w:val="000000"/>
              </w:rPr>
            </w:pPr>
          </w:p>
        </w:tc>
        <w:tc>
          <w:tcPr>
            <w:tcW w:w="1286" w:type="dxa"/>
            <w:tcBorders>
              <w:top w:val="nil"/>
              <w:left w:val="nil"/>
              <w:bottom w:val="nil"/>
              <w:right w:val="nil"/>
            </w:tcBorders>
            <w:shd w:val="clear" w:color="000000" w:fill="F2F2F2"/>
            <w:noWrap/>
            <w:vAlign w:val="center"/>
            <w:hideMark/>
          </w:tcPr>
          <w:p w14:paraId="2CB037ED"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7F5E3F3C"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5DACCD37"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1B7C8266" w14:textId="77777777" w:rsidTr="004F60A2">
        <w:trPr>
          <w:trHeight w:val="585"/>
        </w:trPr>
        <w:tc>
          <w:tcPr>
            <w:tcW w:w="2810" w:type="dxa"/>
            <w:tcBorders>
              <w:top w:val="nil"/>
              <w:left w:val="single" w:sz="8" w:space="0" w:color="auto"/>
              <w:bottom w:val="nil"/>
              <w:right w:val="nil"/>
            </w:tcBorders>
            <w:vAlign w:val="center"/>
            <w:hideMark/>
          </w:tcPr>
          <w:p w14:paraId="2B13E29C" w14:textId="77777777" w:rsidR="004F60A2" w:rsidRPr="00382579" w:rsidRDefault="004F60A2">
            <w:pPr>
              <w:rPr>
                <w:rFonts w:ascii="Calibri" w:hAnsi="Calibri" w:cs="Calibri"/>
                <w:color w:val="000000"/>
              </w:rPr>
            </w:pPr>
            <w:r w:rsidRPr="00382579">
              <w:rPr>
                <w:rFonts w:ascii="Calibri" w:hAnsi="Calibri" w:cs="Calibri"/>
                <w:color w:val="000000"/>
              </w:rPr>
              <w:t>International Journal of Accounting Information Systems</w:t>
            </w:r>
          </w:p>
        </w:tc>
        <w:tc>
          <w:tcPr>
            <w:tcW w:w="716" w:type="dxa"/>
            <w:tcBorders>
              <w:top w:val="nil"/>
              <w:left w:val="nil"/>
              <w:bottom w:val="nil"/>
              <w:right w:val="nil"/>
            </w:tcBorders>
            <w:shd w:val="clear" w:color="000000" w:fill="F2F2F2"/>
            <w:noWrap/>
            <w:vAlign w:val="center"/>
            <w:hideMark/>
          </w:tcPr>
          <w:p w14:paraId="34E954F6"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896" w:type="dxa"/>
            <w:tcBorders>
              <w:top w:val="nil"/>
              <w:left w:val="nil"/>
              <w:bottom w:val="nil"/>
              <w:right w:val="nil"/>
            </w:tcBorders>
            <w:noWrap/>
            <w:vAlign w:val="center"/>
            <w:hideMark/>
          </w:tcPr>
          <w:p w14:paraId="766D367C"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56D01A12" w14:textId="77777777" w:rsidR="004F60A2" w:rsidRPr="00382579" w:rsidRDefault="004F60A2">
            <w:pPr>
              <w:jc w:val="center"/>
            </w:pPr>
          </w:p>
        </w:tc>
        <w:tc>
          <w:tcPr>
            <w:tcW w:w="636" w:type="dxa"/>
            <w:tcBorders>
              <w:top w:val="nil"/>
              <w:left w:val="nil"/>
              <w:bottom w:val="nil"/>
              <w:right w:val="nil"/>
            </w:tcBorders>
            <w:noWrap/>
            <w:vAlign w:val="center"/>
            <w:hideMark/>
          </w:tcPr>
          <w:p w14:paraId="08851B74" w14:textId="77777777" w:rsidR="004F60A2" w:rsidRPr="00382579" w:rsidRDefault="004F60A2">
            <w:pPr>
              <w:jc w:val="center"/>
            </w:pPr>
          </w:p>
        </w:tc>
        <w:tc>
          <w:tcPr>
            <w:tcW w:w="636" w:type="dxa"/>
            <w:tcBorders>
              <w:top w:val="nil"/>
              <w:left w:val="nil"/>
              <w:bottom w:val="nil"/>
              <w:right w:val="nil"/>
            </w:tcBorders>
            <w:noWrap/>
            <w:vAlign w:val="center"/>
            <w:hideMark/>
          </w:tcPr>
          <w:p w14:paraId="757AEEBB"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0825619D"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1D1E8A3F"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37AA4DEE"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2</w:t>
            </w:r>
          </w:p>
        </w:tc>
      </w:tr>
      <w:tr w:rsidR="004F60A2" w:rsidRPr="00382579" w14:paraId="3542F985" w14:textId="77777777" w:rsidTr="004F60A2">
        <w:trPr>
          <w:trHeight w:val="585"/>
        </w:trPr>
        <w:tc>
          <w:tcPr>
            <w:tcW w:w="2810" w:type="dxa"/>
            <w:tcBorders>
              <w:top w:val="nil"/>
              <w:left w:val="single" w:sz="8" w:space="0" w:color="auto"/>
              <w:bottom w:val="nil"/>
              <w:right w:val="nil"/>
            </w:tcBorders>
            <w:shd w:val="clear" w:color="000000" w:fill="F2F2F2"/>
            <w:vAlign w:val="center"/>
            <w:hideMark/>
          </w:tcPr>
          <w:p w14:paraId="12A33BDA" w14:textId="77777777" w:rsidR="004F60A2" w:rsidRPr="00382579" w:rsidRDefault="004F60A2">
            <w:pPr>
              <w:rPr>
                <w:rFonts w:ascii="Calibri" w:hAnsi="Calibri" w:cs="Calibri"/>
                <w:color w:val="000000"/>
              </w:rPr>
            </w:pPr>
            <w:r w:rsidRPr="00382579">
              <w:rPr>
                <w:rFonts w:ascii="Calibri" w:hAnsi="Calibri" w:cs="Calibri"/>
                <w:color w:val="000000"/>
              </w:rPr>
              <w:t>International Journal of Auditing</w:t>
            </w:r>
          </w:p>
        </w:tc>
        <w:tc>
          <w:tcPr>
            <w:tcW w:w="716" w:type="dxa"/>
            <w:tcBorders>
              <w:top w:val="nil"/>
              <w:left w:val="nil"/>
              <w:bottom w:val="nil"/>
              <w:right w:val="nil"/>
            </w:tcBorders>
            <w:shd w:val="clear" w:color="000000" w:fill="F2F2F2"/>
            <w:noWrap/>
            <w:vAlign w:val="center"/>
            <w:hideMark/>
          </w:tcPr>
          <w:p w14:paraId="1B3BE7E6"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896" w:type="dxa"/>
            <w:tcBorders>
              <w:top w:val="nil"/>
              <w:left w:val="nil"/>
              <w:bottom w:val="nil"/>
              <w:right w:val="nil"/>
            </w:tcBorders>
            <w:shd w:val="clear" w:color="000000" w:fill="F2F2F2"/>
            <w:noWrap/>
            <w:vAlign w:val="center"/>
            <w:hideMark/>
          </w:tcPr>
          <w:p w14:paraId="643C23E4"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shd w:val="clear" w:color="000000" w:fill="F2F2F2"/>
            <w:noWrap/>
            <w:vAlign w:val="center"/>
            <w:hideMark/>
          </w:tcPr>
          <w:p w14:paraId="7239CAA6" w14:textId="77777777" w:rsidR="004F60A2" w:rsidRPr="00382579" w:rsidRDefault="004F60A2">
            <w:pPr>
              <w:jc w:val="center"/>
              <w:rPr>
                <w:rFonts w:ascii="Calibri" w:hAnsi="Calibri" w:cs="Calibri"/>
                <w:color w:val="000000"/>
              </w:rPr>
            </w:pPr>
            <w:r w:rsidRPr="00382579">
              <w:rPr>
                <w:rFonts w:ascii="Calibri" w:hAnsi="Calibri" w:cs="Calibri"/>
                <w:color w:val="000000"/>
              </w:rPr>
              <w:t>3</w:t>
            </w:r>
          </w:p>
        </w:tc>
        <w:tc>
          <w:tcPr>
            <w:tcW w:w="636" w:type="dxa"/>
            <w:tcBorders>
              <w:top w:val="nil"/>
              <w:left w:val="nil"/>
              <w:bottom w:val="nil"/>
              <w:right w:val="nil"/>
            </w:tcBorders>
            <w:shd w:val="clear" w:color="000000" w:fill="F2F2F2"/>
            <w:noWrap/>
            <w:vAlign w:val="center"/>
            <w:hideMark/>
          </w:tcPr>
          <w:p w14:paraId="2E2046EE"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636" w:type="dxa"/>
            <w:tcBorders>
              <w:top w:val="nil"/>
              <w:left w:val="nil"/>
              <w:bottom w:val="nil"/>
              <w:right w:val="nil"/>
            </w:tcBorders>
            <w:shd w:val="clear" w:color="000000" w:fill="F2F2F2"/>
            <w:noWrap/>
            <w:vAlign w:val="center"/>
            <w:hideMark/>
          </w:tcPr>
          <w:p w14:paraId="274DDF6B"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286" w:type="dxa"/>
            <w:tcBorders>
              <w:top w:val="nil"/>
              <w:left w:val="nil"/>
              <w:bottom w:val="nil"/>
              <w:right w:val="nil"/>
            </w:tcBorders>
            <w:shd w:val="clear" w:color="000000" w:fill="F2F2F2"/>
            <w:noWrap/>
            <w:vAlign w:val="center"/>
            <w:hideMark/>
          </w:tcPr>
          <w:p w14:paraId="7180E63B" w14:textId="77777777" w:rsidR="004F60A2" w:rsidRPr="00382579" w:rsidRDefault="004F60A2">
            <w:pPr>
              <w:jc w:val="center"/>
              <w:rPr>
                <w:rFonts w:ascii="Calibri" w:hAnsi="Calibri" w:cs="Calibri"/>
                <w:color w:val="000000"/>
              </w:rPr>
            </w:pPr>
            <w:r w:rsidRPr="00382579">
              <w:rPr>
                <w:rFonts w:ascii="Calibri" w:hAnsi="Calibri" w:cs="Calibri"/>
                <w:color w:val="000000"/>
              </w:rPr>
              <w:t>3</w:t>
            </w:r>
          </w:p>
        </w:tc>
        <w:tc>
          <w:tcPr>
            <w:tcW w:w="1116" w:type="dxa"/>
            <w:tcBorders>
              <w:top w:val="nil"/>
              <w:left w:val="nil"/>
              <w:bottom w:val="nil"/>
              <w:right w:val="nil"/>
            </w:tcBorders>
            <w:shd w:val="clear" w:color="000000" w:fill="F2F2F2"/>
            <w:noWrap/>
            <w:vAlign w:val="center"/>
            <w:hideMark/>
          </w:tcPr>
          <w:p w14:paraId="790D67E1"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988" w:type="dxa"/>
            <w:tcBorders>
              <w:top w:val="nil"/>
              <w:left w:val="nil"/>
              <w:bottom w:val="nil"/>
              <w:right w:val="single" w:sz="8" w:space="0" w:color="auto"/>
            </w:tcBorders>
            <w:shd w:val="clear" w:color="000000" w:fill="F2F2F2"/>
            <w:noWrap/>
            <w:vAlign w:val="center"/>
            <w:hideMark/>
          </w:tcPr>
          <w:p w14:paraId="12572C16"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11</w:t>
            </w:r>
          </w:p>
        </w:tc>
      </w:tr>
      <w:tr w:rsidR="004F60A2" w:rsidRPr="00382579" w14:paraId="65D84CE5" w14:textId="77777777" w:rsidTr="004F60A2">
        <w:trPr>
          <w:trHeight w:val="585"/>
        </w:trPr>
        <w:tc>
          <w:tcPr>
            <w:tcW w:w="2810" w:type="dxa"/>
            <w:tcBorders>
              <w:top w:val="nil"/>
              <w:left w:val="single" w:sz="8" w:space="0" w:color="auto"/>
              <w:bottom w:val="nil"/>
              <w:right w:val="nil"/>
            </w:tcBorders>
            <w:vAlign w:val="center"/>
            <w:hideMark/>
          </w:tcPr>
          <w:p w14:paraId="656B3FA0" w14:textId="77777777" w:rsidR="004F60A2" w:rsidRPr="00382579" w:rsidRDefault="004F60A2">
            <w:pPr>
              <w:rPr>
                <w:rFonts w:ascii="Calibri" w:hAnsi="Calibri" w:cs="Calibri"/>
                <w:color w:val="000000"/>
              </w:rPr>
            </w:pPr>
            <w:r w:rsidRPr="00382579">
              <w:rPr>
                <w:rFonts w:ascii="Calibri" w:hAnsi="Calibri" w:cs="Calibri"/>
                <w:color w:val="000000"/>
              </w:rPr>
              <w:lastRenderedPageBreak/>
              <w:t>Journal of Accounting and Public Policy</w:t>
            </w:r>
          </w:p>
        </w:tc>
        <w:tc>
          <w:tcPr>
            <w:tcW w:w="716" w:type="dxa"/>
            <w:tcBorders>
              <w:top w:val="nil"/>
              <w:left w:val="nil"/>
              <w:bottom w:val="nil"/>
              <w:right w:val="nil"/>
            </w:tcBorders>
            <w:shd w:val="clear" w:color="000000" w:fill="F2F2F2"/>
            <w:noWrap/>
            <w:vAlign w:val="center"/>
            <w:hideMark/>
          </w:tcPr>
          <w:p w14:paraId="5E74D4EF"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noWrap/>
            <w:vAlign w:val="center"/>
            <w:hideMark/>
          </w:tcPr>
          <w:p w14:paraId="4319BFAC"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4DDB0412"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66381787"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10EB92F4"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38714640"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6CA0D426"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70F799E8"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2</w:t>
            </w:r>
          </w:p>
        </w:tc>
      </w:tr>
      <w:tr w:rsidR="004F60A2" w:rsidRPr="00382579" w14:paraId="2F1A1637" w14:textId="77777777" w:rsidTr="004F60A2">
        <w:trPr>
          <w:trHeight w:val="585"/>
        </w:trPr>
        <w:tc>
          <w:tcPr>
            <w:tcW w:w="2810" w:type="dxa"/>
            <w:tcBorders>
              <w:top w:val="nil"/>
              <w:left w:val="single" w:sz="8" w:space="0" w:color="auto"/>
              <w:bottom w:val="nil"/>
              <w:right w:val="nil"/>
            </w:tcBorders>
            <w:vAlign w:val="center"/>
            <w:hideMark/>
          </w:tcPr>
          <w:p w14:paraId="360AD185" w14:textId="77777777" w:rsidR="004F60A2" w:rsidRPr="00382579" w:rsidRDefault="004F60A2">
            <w:pPr>
              <w:rPr>
                <w:rFonts w:ascii="Calibri" w:hAnsi="Calibri" w:cs="Calibri"/>
                <w:color w:val="000000"/>
              </w:rPr>
            </w:pPr>
            <w:r w:rsidRPr="00382579">
              <w:rPr>
                <w:rFonts w:ascii="Calibri" w:hAnsi="Calibri" w:cs="Calibri"/>
                <w:color w:val="000000"/>
              </w:rPr>
              <w:t>Journal of Applied Accounting Research</w:t>
            </w:r>
          </w:p>
        </w:tc>
        <w:tc>
          <w:tcPr>
            <w:tcW w:w="716" w:type="dxa"/>
            <w:tcBorders>
              <w:top w:val="nil"/>
              <w:left w:val="nil"/>
              <w:bottom w:val="nil"/>
              <w:right w:val="nil"/>
            </w:tcBorders>
            <w:shd w:val="clear" w:color="000000" w:fill="F2F2F2"/>
            <w:noWrap/>
            <w:vAlign w:val="center"/>
            <w:hideMark/>
          </w:tcPr>
          <w:p w14:paraId="5814BD79"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noWrap/>
            <w:vAlign w:val="center"/>
            <w:hideMark/>
          </w:tcPr>
          <w:p w14:paraId="2EB5A2D9"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09353B26" w14:textId="77777777" w:rsidR="004F60A2" w:rsidRPr="00382579" w:rsidRDefault="004F60A2">
            <w:pPr>
              <w:jc w:val="center"/>
            </w:pPr>
          </w:p>
        </w:tc>
        <w:tc>
          <w:tcPr>
            <w:tcW w:w="636" w:type="dxa"/>
            <w:tcBorders>
              <w:top w:val="nil"/>
              <w:left w:val="nil"/>
              <w:bottom w:val="nil"/>
              <w:right w:val="nil"/>
            </w:tcBorders>
            <w:noWrap/>
            <w:vAlign w:val="center"/>
            <w:hideMark/>
          </w:tcPr>
          <w:p w14:paraId="5A2ACBE3" w14:textId="77777777" w:rsidR="004F60A2" w:rsidRPr="00382579" w:rsidRDefault="004F60A2">
            <w:pPr>
              <w:jc w:val="center"/>
            </w:pPr>
          </w:p>
        </w:tc>
        <w:tc>
          <w:tcPr>
            <w:tcW w:w="636" w:type="dxa"/>
            <w:tcBorders>
              <w:top w:val="nil"/>
              <w:left w:val="nil"/>
              <w:bottom w:val="nil"/>
              <w:right w:val="nil"/>
            </w:tcBorders>
            <w:noWrap/>
            <w:vAlign w:val="center"/>
            <w:hideMark/>
          </w:tcPr>
          <w:p w14:paraId="36DCAE50"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286" w:type="dxa"/>
            <w:tcBorders>
              <w:top w:val="nil"/>
              <w:left w:val="nil"/>
              <w:bottom w:val="nil"/>
              <w:right w:val="nil"/>
            </w:tcBorders>
            <w:shd w:val="clear" w:color="000000" w:fill="F2F2F2"/>
            <w:noWrap/>
            <w:vAlign w:val="center"/>
            <w:hideMark/>
          </w:tcPr>
          <w:p w14:paraId="4B180DA7"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74D08A4B"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988" w:type="dxa"/>
            <w:tcBorders>
              <w:top w:val="nil"/>
              <w:left w:val="nil"/>
              <w:bottom w:val="nil"/>
              <w:right w:val="single" w:sz="8" w:space="0" w:color="auto"/>
            </w:tcBorders>
            <w:noWrap/>
            <w:vAlign w:val="center"/>
            <w:hideMark/>
          </w:tcPr>
          <w:p w14:paraId="7F565C26"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4</w:t>
            </w:r>
          </w:p>
        </w:tc>
      </w:tr>
      <w:tr w:rsidR="004F60A2" w:rsidRPr="00382579" w14:paraId="5D4B8D62" w14:textId="77777777" w:rsidTr="004F60A2">
        <w:trPr>
          <w:trHeight w:val="300"/>
        </w:trPr>
        <w:tc>
          <w:tcPr>
            <w:tcW w:w="2810" w:type="dxa"/>
            <w:tcBorders>
              <w:top w:val="nil"/>
              <w:left w:val="single" w:sz="8" w:space="0" w:color="auto"/>
              <w:bottom w:val="nil"/>
              <w:right w:val="nil"/>
            </w:tcBorders>
            <w:shd w:val="clear" w:color="000000" w:fill="F2F2F2"/>
            <w:vAlign w:val="center"/>
            <w:hideMark/>
          </w:tcPr>
          <w:p w14:paraId="16D311ED" w14:textId="77777777" w:rsidR="004F60A2" w:rsidRPr="00382579" w:rsidRDefault="004F60A2">
            <w:pPr>
              <w:rPr>
                <w:rFonts w:ascii="Calibri" w:hAnsi="Calibri" w:cs="Calibri"/>
                <w:color w:val="000000"/>
              </w:rPr>
            </w:pPr>
            <w:r w:rsidRPr="00382579">
              <w:rPr>
                <w:rFonts w:ascii="Calibri" w:hAnsi="Calibri" w:cs="Calibri"/>
                <w:color w:val="000000"/>
              </w:rPr>
              <w:t>Journal of Business Ethics</w:t>
            </w:r>
          </w:p>
        </w:tc>
        <w:tc>
          <w:tcPr>
            <w:tcW w:w="716" w:type="dxa"/>
            <w:tcBorders>
              <w:top w:val="nil"/>
              <w:left w:val="nil"/>
              <w:bottom w:val="nil"/>
              <w:right w:val="nil"/>
            </w:tcBorders>
            <w:shd w:val="clear" w:color="000000" w:fill="F2F2F2"/>
            <w:noWrap/>
            <w:vAlign w:val="center"/>
            <w:hideMark/>
          </w:tcPr>
          <w:p w14:paraId="3A6371B0" w14:textId="77777777" w:rsidR="004F60A2" w:rsidRPr="00382579" w:rsidRDefault="004F60A2">
            <w:pPr>
              <w:jc w:val="center"/>
              <w:rPr>
                <w:rFonts w:ascii="Calibri" w:hAnsi="Calibri" w:cs="Calibri"/>
                <w:color w:val="000000"/>
              </w:rPr>
            </w:pPr>
            <w:r w:rsidRPr="00382579">
              <w:rPr>
                <w:rFonts w:ascii="Calibri" w:hAnsi="Calibri" w:cs="Calibri"/>
                <w:color w:val="000000"/>
              </w:rPr>
              <w:t>7</w:t>
            </w:r>
          </w:p>
        </w:tc>
        <w:tc>
          <w:tcPr>
            <w:tcW w:w="896" w:type="dxa"/>
            <w:tcBorders>
              <w:top w:val="nil"/>
              <w:left w:val="nil"/>
              <w:bottom w:val="nil"/>
              <w:right w:val="nil"/>
            </w:tcBorders>
            <w:shd w:val="clear" w:color="000000" w:fill="F2F2F2"/>
            <w:noWrap/>
            <w:vAlign w:val="center"/>
            <w:hideMark/>
          </w:tcPr>
          <w:p w14:paraId="140D3672"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596" w:type="dxa"/>
            <w:tcBorders>
              <w:top w:val="nil"/>
              <w:left w:val="nil"/>
              <w:bottom w:val="nil"/>
              <w:right w:val="nil"/>
            </w:tcBorders>
            <w:shd w:val="clear" w:color="000000" w:fill="F2F2F2"/>
            <w:noWrap/>
            <w:vAlign w:val="center"/>
            <w:hideMark/>
          </w:tcPr>
          <w:p w14:paraId="59EE6E28"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shd w:val="clear" w:color="000000" w:fill="F2F2F2"/>
            <w:noWrap/>
            <w:vAlign w:val="center"/>
            <w:hideMark/>
          </w:tcPr>
          <w:p w14:paraId="2B04DDF5"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636" w:type="dxa"/>
            <w:tcBorders>
              <w:top w:val="nil"/>
              <w:left w:val="nil"/>
              <w:bottom w:val="nil"/>
              <w:right w:val="nil"/>
            </w:tcBorders>
            <w:shd w:val="clear" w:color="000000" w:fill="F2F2F2"/>
            <w:noWrap/>
            <w:vAlign w:val="center"/>
            <w:hideMark/>
          </w:tcPr>
          <w:p w14:paraId="74C3C948"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1286" w:type="dxa"/>
            <w:tcBorders>
              <w:top w:val="nil"/>
              <w:left w:val="nil"/>
              <w:bottom w:val="nil"/>
              <w:right w:val="nil"/>
            </w:tcBorders>
            <w:shd w:val="clear" w:color="000000" w:fill="F2F2F2"/>
            <w:noWrap/>
            <w:vAlign w:val="center"/>
            <w:hideMark/>
          </w:tcPr>
          <w:p w14:paraId="160DC1B9"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1116" w:type="dxa"/>
            <w:tcBorders>
              <w:top w:val="nil"/>
              <w:left w:val="nil"/>
              <w:bottom w:val="nil"/>
              <w:right w:val="nil"/>
            </w:tcBorders>
            <w:shd w:val="clear" w:color="000000" w:fill="F2F2F2"/>
            <w:noWrap/>
            <w:vAlign w:val="center"/>
            <w:hideMark/>
          </w:tcPr>
          <w:p w14:paraId="28CDA5B5"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988" w:type="dxa"/>
            <w:tcBorders>
              <w:top w:val="nil"/>
              <w:left w:val="nil"/>
              <w:bottom w:val="nil"/>
              <w:right w:val="single" w:sz="8" w:space="0" w:color="auto"/>
            </w:tcBorders>
            <w:shd w:val="clear" w:color="000000" w:fill="F2F2F2"/>
            <w:noWrap/>
            <w:vAlign w:val="center"/>
            <w:hideMark/>
          </w:tcPr>
          <w:p w14:paraId="745ADFE0"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12</w:t>
            </w:r>
          </w:p>
        </w:tc>
      </w:tr>
      <w:tr w:rsidR="004F60A2" w:rsidRPr="00382579" w14:paraId="3653CE94" w14:textId="77777777" w:rsidTr="004F60A2">
        <w:trPr>
          <w:trHeight w:val="585"/>
        </w:trPr>
        <w:tc>
          <w:tcPr>
            <w:tcW w:w="2810" w:type="dxa"/>
            <w:tcBorders>
              <w:top w:val="nil"/>
              <w:left w:val="single" w:sz="8" w:space="0" w:color="auto"/>
              <w:bottom w:val="nil"/>
              <w:right w:val="nil"/>
            </w:tcBorders>
            <w:vAlign w:val="center"/>
            <w:hideMark/>
          </w:tcPr>
          <w:p w14:paraId="367BCFEE" w14:textId="77777777" w:rsidR="004F60A2" w:rsidRPr="00382579" w:rsidRDefault="004F60A2">
            <w:pPr>
              <w:rPr>
                <w:rFonts w:ascii="Calibri" w:hAnsi="Calibri" w:cs="Calibri"/>
                <w:color w:val="000000"/>
              </w:rPr>
            </w:pPr>
            <w:r w:rsidRPr="00382579">
              <w:rPr>
                <w:rFonts w:ascii="Calibri" w:hAnsi="Calibri" w:cs="Calibri"/>
                <w:color w:val="000000"/>
              </w:rPr>
              <w:t>Journal of Contemporary Accounting &amp; Economics</w:t>
            </w:r>
          </w:p>
        </w:tc>
        <w:tc>
          <w:tcPr>
            <w:tcW w:w="716" w:type="dxa"/>
            <w:tcBorders>
              <w:top w:val="nil"/>
              <w:left w:val="nil"/>
              <w:bottom w:val="nil"/>
              <w:right w:val="nil"/>
            </w:tcBorders>
            <w:shd w:val="clear" w:color="000000" w:fill="F2F2F2"/>
            <w:noWrap/>
            <w:vAlign w:val="center"/>
            <w:hideMark/>
          </w:tcPr>
          <w:p w14:paraId="46E4A372"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4C5F18EA"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774BB44D"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2E50F25F" w14:textId="77777777" w:rsidR="004F60A2" w:rsidRPr="00382579" w:rsidRDefault="004F60A2">
            <w:pPr>
              <w:jc w:val="center"/>
            </w:pPr>
          </w:p>
        </w:tc>
        <w:tc>
          <w:tcPr>
            <w:tcW w:w="636" w:type="dxa"/>
            <w:tcBorders>
              <w:top w:val="nil"/>
              <w:left w:val="nil"/>
              <w:bottom w:val="nil"/>
              <w:right w:val="nil"/>
            </w:tcBorders>
            <w:noWrap/>
            <w:vAlign w:val="center"/>
            <w:hideMark/>
          </w:tcPr>
          <w:p w14:paraId="726EFED9"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2733D0F5"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09E3FFE1"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0ADC090C"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69FC3B5A" w14:textId="77777777" w:rsidTr="004F60A2">
        <w:trPr>
          <w:trHeight w:val="585"/>
        </w:trPr>
        <w:tc>
          <w:tcPr>
            <w:tcW w:w="2810" w:type="dxa"/>
            <w:tcBorders>
              <w:top w:val="nil"/>
              <w:left w:val="single" w:sz="8" w:space="0" w:color="auto"/>
              <w:bottom w:val="nil"/>
              <w:right w:val="nil"/>
            </w:tcBorders>
            <w:vAlign w:val="center"/>
            <w:hideMark/>
          </w:tcPr>
          <w:p w14:paraId="4828C69A" w14:textId="77777777" w:rsidR="004F60A2" w:rsidRPr="00382579" w:rsidRDefault="004F60A2">
            <w:pPr>
              <w:rPr>
                <w:rFonts w:ascii="Calibri" w:hAnsi="Calibri" w:cs="Calibri"/>
                <w:color w:val="000000"/>
              </w:rPr>
            </w:pPr>
            <w:r w:rsidRPr="00382579">
              <w:rPr>
                <w:rFonts w:ascii="Calibri" w:hAnsi="Calibri" w:cs="Calibri"/>
                <w:color w:val="000000"/>
              </w:rPr>
              <w:t>Journal of International Accounting Research</w:t>
            </w:r>
          </w:p>
        </w:tc>
        <w:tc>
          <w:tcPr>
            <w:tcW w:w="716" w:type="dxa"/>
            <w:tcBorders>
              <w:top w:val="nil"/>
              <w:left w:val="nil"/>
              <w:bottom w:val="nil"/>
              <w:right w:val="nil"/>
            </w:tcBorders>
            <w:shd w:val="clear" w:color="000000" w:fill="F2F2F2"/>
            <w:noWrap/>
            <w:vAlign w:val="center"/>
            <w:hideMark/>
          </w:tcPr>
          <w:p w14:paraId="5F57DCAF"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noWrap/>
            <w:vAlign w:val="center"/>
            <w:hideMark/>
          </w:tcPr>
          <w:p w14:paraId="48B9FE24"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22577961" w14:textId="77777777" w:rsidR="004F60A2" w:rsidRPr="00382579" w:rsidRDefault="004F60A2">
            <w:pPr>
              <w:jc w:val="center"/>
            </w:pPr>
          </w:p>
        </w:tc>
        <w:tc>
          <w:tcPr>
            <w:tcW w:w="636" w:type="dxa"/>
            <w:tcBorders>
              <w:top w:val="nil"/>
              <w:left w:val="nil"/>
              <w:bottom w:val="nil"/>
              <w:right w:val="nil"/>
            </w:tcBorders>
            <w:noWrap/>
            <w:vAlign w:val="center"/>
            <w:hideMark/>
          </w:tcPr>
          <w:p w14:paraId="10D850F6" w14:textId="77777777" w:rsidR="004F60A2" w:rsidRPr="00382579" w:rsidRDefault="004F60A2">
            <w:pPr>
              <w:jc w:val="center"/>
            </w:pPr>
          </w:p>
        </w:tc>
        <w:tc>
          <w:tcPr>
            <w:tcW w:w="636" w:type="dxa"/>
            <w:tcBorders>
              <w:top w:val="nil"/>
              <w:left w:val="nil"/>
              <w:bottom w:val="nil"/>
              <w:right w:val="nil"/>
            </w:tcBorders>
            <w:noWrap/>
            <w:vAlign w:val="center"/>
            <w:hideMark/>
          </w:tcPr>
          <w:p w14:paraId="55A6B539"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77832CF6"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7E60D0B9"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6334570B"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72330D5E" w14:textId="77777777" w:rsidTr="004F60A2">
        <w:trPr>
          <w:trHeight w:val="300"/>
        </w:trPr>
        <w:tc>
          <w:tcPr>
            <w:tcW w:w="2810" w:type="dxa"/>
            <w:tcBorders>
              <w:top w:val="nil"/>
              <w:left w:val="single" w:sz="8" w:space="0" w:color="auto"/>
              <w:bottom w:val="nil"/>
              <w:right w:val="nil"/>
            </w:tcBorders>
            <w:vAlign w:val="center"/>
            <w:hideMark/>
          </w:tcPr>
          <w:p w14:paraId="0C7DDD4A" w14:textId="77777777" w:rsidR="004F60A2" w:rsidRPr="00382579" w:rsidRDefault="004F60A2">
            <w:pPr>
              <w:rPr>
                <w:rFonts w:ascii="Calibri" w:hAnsi="Calibri" w:cs="Calibri"/>
                <w:color w:val="000000"/>
              </w:rPr>
            </w:pPr>
            <w:r w:rsidRPr="00382579">
              <w:rPr>
                <w:rFonts w:ascii="Calibri" w:hAnsi="Calibri" w:cs="Calibri"/>
                <w:color w:val="000000"/>
              </w:rPr>
              <w:t>Managerial Auditing Journal</w:t>
            </w:r>
          </w:p>
        </w:tc>
        <w:tc>
          <w:tcPr>
            <w:tcW w:w="716" w:type="dxa"/>
            <w:tcBorders>
              <w:top w:val="nil"/>
              <w:left w:val="nil"/>
              <w:bottom w:val="nil"/>
              <w:right w:val="nil"/>
            </w:tcBorders>
            <w:shd w:val="clear" w:color="000000" w:fill="F2F2F2"/>
            <w:noWrap/>
            <w:vAlign w:val="center"/>
            <w:hideMark/>
          </w:tcPr>
          <w:p w14:paraId="539F2172"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1AD2E9C8" w14:textId="77777777" w:rsidR="004F60A2" w:rsidRPr="00382579" w:rsidRDefault="004F60A2">
            <w:pPr>
              <w:jc w:val="center"/>
              <w:rPr>
                <w:rFonts w:ascii="Calibri" w:hAnsi="Calibri" w:cs="Calibri"/>
                <w:color w:val="000000"/>
              </w:rPr>
            </w:pPr>
            <w:r w:rsidRPr="00382579">
              <w:rPr>
                <w:rFonts w:ascii="Calibri" w:hAnsi="Calibri" w:cs="Calibri"/>
                <w:color w:val="000000"/>
              </w:rPr>
              <w:t>3</w:t>
            </w:r>
          </w:p>
        </w:tc>
        <w:tc>
          <w:tcPr>
            <w:tcW w:w="596" w:type="dxa"/>
            <w:tcBorders>
              <w:top w:val="nil"/>
              <w:left w:val="nil"/>
              <w:bottom w:val="nil"/>
              <w:right w:val="nil"/>
            </w:tcBorders>
            <w:noWrap/>
            <w:vAlign w:val="center"/>
            <w:hideMark/>
          </w:tcPr>
          <w:p w14:paraId="285F6F8E"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70476284"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7D9B4A2D" w14:textId="77777777" w:rsidR="004F60A2" w:rsidRPr="00382579" w:rsidRDefault="004F60A2">
            <w:pPr>
              <w:jc w:val="center"/>
              <w:rPr>
                <w:rFonts w:ascii="Calibri" w:hAnsi="Calibri" w:cs="Calibri"/>
                <w:color w:val="000000"/>
              </w:rPr>
            </w:pPr>
          </w:p>
        </w:tc>
        <w:tc>
          <w:tcPr>
            <w:tcW w:w="1286" w:type="dxa"/>
            <w:tcBorders>
              <w:top w:val="nil"/>
              <w:left w:val="nil"/>
              <w:bottom w:val="nil"/>
              <w:right w:val="nil"/>
            </w:tcBorders>
            <w:shd w:val="clear" w:color="000000" w:fill="F2F2F2"/>
            <w:noWrap/>
            <w:vAlign w:val="center"/>
            <w:hideMark/>
          </w:tcPr>
          <w:p w14:paraId="497993A9" w14:textId="77777777" w:rsidR="004F60A2" w:rsidRPr="00382579" w:rsidRDefault="004F60A2">
            <w:pPr>
              <w:jc w:val="center"/>
              <w:rPr>
                <w:rFonts w:ascii="Calibri" w:hAnsi="Calibri" w:cs="Calibri"/>
                <w:color w:val="000000"/>
              </w:rPr>
            </w:pPr>
            <w:r w:rsidRPr="00382579">
              <w:rPr>
                <w:rFonts w:ascii="Calibri" w:hAnsi="Calibri" w:cs="Calibri"/>
                <w:color w:val="000000"/>
              </w:rPr>
              <w:t>3</w:t>
            </w:r>
          </w:p>
        </w:tc>
        <w:tc>
          <w:tcPr>
            <w:tcW w:w="1116" w:type="dxa"/>
            <w:tcBorders>
              <w:top w:val="nil"/>
              <w:left w:val="nil"/>
              <w:bottom w:val="nil"/>
              <w:right w:val="nil"/>
            </w:tcBorders>
            <w:noWrap/>
            <w:vAlign w:val="center"/>
            <w:hideMark/>
          </w:tcPr>
          <w:p w14:paraId="5822A936"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988" w:type="dxa"/>
            <w:tcBorders>
              <w:top w:val="nil"/>
              <w:left w:val="nil"/>
              <w:bottom w:val="nil"/>
              <w:right w:val="single" w:sz="8" w:space="0" w:color="auto"/>
            </w:tcBorders>
            <w:noWrap/>
            <w:vAlign w:val="center"/>
            <w:hideMark/>
          </w:tcPr>
          <w:p w14:paraId="44C26F42"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9</w:t>
            </w:r>
          </w:p>
        </w:tc>
      </w:tr>
      <w:tr w:rsidR="004F60A2" w:rsidRPr="00382579" w14:paraId="60F6690E" w14:textId="77777777" w:rsidTr="004F60A2">
        <w:trPr>
          <w:trHeight w:val="585"/>
        </w:trPr>
        <w:tc>
          <w:tcPr>
            <w:tcW w:w="2810" w:type="dxa"/>
            <w:tcBorders>
              <w:top w:val="nil"/>
              <w:left w:val="single" w:sz="8" w:space="0" w:color="auto"/>
              <w:bottom w:val="nil"/>
              <w:right w:val="nil"/>
            </w:tcBorders>
            <w:vAlign w:val="center"/>
            <w:hideMark/>
          </w:tcPr>
          <w:p w14:paraId="2B94B98C" w14:textId="77777777" w:rsidR="004F60A2" w:rsidRPr="00382579" w:rsidRDefault="004F60A2">
            <w:pPr>
              <w:rPr>
                <w:rFonts w:ascii="Calibri" w:hAnsi="Calibri" w:cs="Calibri"/>
                <w:color w:val="000000"/>
              </w:rPr>
            </w:pPr>
            <w:proofErr w:type="spellStart"/>
            <w:r w:rsidRPr="00382579">
              <w:rPr>
                <w:rFonts w:ascii="Calibri" w:hAnsi="Calibri" w:cs="Calibri"/>
                <w:color w:val="000000"/>
              </w:rPr>
              <w:t>Meditari</w:t>
            </w:r>
            <w:proofErr w:type="spellEnd"/>
            <w:r w:rsidRPr="00382579">
              <w:rPr>
                <w:rFonts w:ascii="Calibri" w:hAnsi="Calibri" w:cs="Calibri"/>
                <w:color w:val="000000"/>
              </w:rPr>
              <w:t xml:space="preserve"> Accountancy Research</w:t>
            </w:r>
          </w:p>
        </w:tc>
        <w:tc>
          <w:tcPr>
            <w:tcW w:w="716" w:type="dxa"/>
            <w:tcBorders>
              <w:top w:val="nil"/>
              <w:left w:val="nil"/>
              <w:bottom w:val="nil"/>
              <w:right w:val="nil"/>
            </w:tcBorders>
            <w:shd w:val="clear" w:color="000000" w:fill="F2F2F2"/>
            <w:noWrap/>
            <w:vAlign w:val="center"/>
            <w:hideMark/>
          </w:tcPr>
          <w:p w14:paraId="039F0701"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06DC6E5C"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51826D5A"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13A9FCCD" w14:textId="77777777" w:rsidR="004F60A2" w:rsidRPr="00382579" w:rsidRDefault="004F60A2">
            <w:pPr>
              <w:jc w:val="center"/>
            </w:pPr>
          </w:p>
        </w:tc>
        <w:tc>
          <w:tcPr>
            <w:tcW w:w="636" w:type="dxa"/>
            <w:tcBorders>
              <w:top w:val="nil"/>
              <w:left w:val="nil"/>
              <w:bottom w:val="nil"/>
              <w:right w:val="nil"/>
            </w:tcBorders>
            <w:noWrap/>
            <w:vAlign w:val="center"/>
            <w:hideMark/>
          </w:tcPr>
          <w:p w14:paraId="7B53F58C"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5EFFFB16" w14:textId="77777777" w:rsidR="004F60A2" w:rsidRPr="00382579" w:rsidRDefault="004F60A2">
            <w:pPr>
              <w:jc w:val="center"/>
              <w:rPr>
                <w:rFonts w:ascii="Calibri" w:hAnsi="Calibri" w:cs="Calibri"/>
                <w:color w:val="000000"/>
              </w:rPr>
            </w:pPr>
            <w:r w:rsidRPr="00382579">
              <w:rPr>
                <w:rFonts w:ascii="Calibri" w:hAnsi="Calibri" w:cs="Calibri"/>
                <w:color w:val="000000"/>
              </w:rPr>
              <w:t>3</w:t>
            </w:r>
          </w:p>
        </w:tc>
        <w:tc>
          <w:tcPr>
            <w:tcW w:w="1116" w:type="dxa"/>
            <w:tcBorders>
              <w:top w:val="nil"/>
              <w:left w:val="nil"/>
              <w:bottom w:val="nil"/>
              <w:right w:val="nil"/>
            </w:tcBorders>
            <w:noWrap/>
            <w:vAlign w:val="center"/>
            <w:hideMark/>
          </w:tcPr>
          <w:p w14:paraId="1D506551"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988" w:type="dxa"/>
            <w:tcBorders>
              <w:top w:val="nil"/>
              <w:left w:val="nil"/>
              <w:bottom w:val="nil"/>
              <w:right w:val="single" w:sz="8" w:space="0" w:color="auto"/>
            </w:tcBorders>
            <w:noWrap/>
            <w:vAlign w:val="center"/>
            <w:hideMark/>
          </w:tcPr>
          <w:p w14:paraId="304BA49A"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6</w:t>
            </w:r>
          </w:p>
        </w:tc>
      </w:tr>
      <w:tr w:rsidR="004F60A2" w:rsidRPr="00382579" w14:paraId="1D7DD83C" w14:textId="77777777" w:rsidTr="004F60A2">
        <w:trPr>
          <w:trHeight w:val="585"/>
        </w:trPr>
        <w:tc>
          <w:tcPr>
            <w:tcW w:w="2810" w:type="dxa"/>
            <w:tcBorders>
              <w:top w:val="nil"/>
              <w:left w:val="single" w:sz="8" w:space="0" w:color="auto"/>
              <w:bottom w:val="nil"/>
              <w:right w:val="nil"/>
            </w:tcBorders>
            <w:vAlign w:val="center"/>
            <w:hideMark/>
          </w:tcPr>
          <w:p w14:paraId="6829385E" w14:textId="77777777" w:rsidR="004F60A2" w:rsidRPr="00382579" w:rsidRDefault="004F60A2">
            <w:pPr>
              <w:rPr>
                <w:rFonts w:ascii="Calibri" w:hAnsi="Calibri" w:cs="Calibri"/>
                <w:color w:val="000000"/>
              </w:rPr>
            </w:pPr>
            <w:r w:rsidRPr="00382579">
              <w:rPr>
                <w:rFonts w:ascii="Calibri" w:hAnsi="Calibri" w:cs="Calibri"/>
                <w:color w:val="000000"/>
              </w:rPr>
              <w:t>Qualitative Research in Accounting &amp; Management</w:t>
            </w:r>
          </w:p>
        </w:tc>
        <w:tc>
          <w:tcPr>
            <w:tcW w:w="716" w:type="dxa"/>
            <w:tcBorders>
              <w:top w:val="nil"/>
              <w:left w:val="nil"/>
              <w:bottom w:val="nil"/>
              <w:right w:val="nil"/>
            </w:tcBorders>
            <w:shd w:val="clear" w:color="000000" w:fill="F2F2F2"/>
            <w:noWrap/>
            <w:vAlign w:val="center"/>
            <w:hideMark/>
          </w:tcPr>
          <w:p w14:paraId="106458C6"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74AE699C"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62168306" w14:textId="77777777" w:rsidR="004F60A2" w:rsidRPr="00382579" w:rsidRDefault="004F60A2">
            <w:pPr>
              <w:jc w:val="center"/>
            </w:pPr>
          </w:p>
        </w:tc>
        <w:tc>
          <w:tcPr>
            <w:tcW w:w="636" w:type="dxa"/>
            <w:tcBorders>
              <w:top w:val="nil"/>
              <w:left w:val="nil"/>
              <w:bottom w:val="nil"/>
              <w:right w:val="nil"/>
            </w:tcBorders>
            <w:noWrap/>
            <w:vAlign w:val="center"/>
            <w:hideMark/>
          </w:tcPr>
          <w:p w14:paraId="14AD790A" w14:textId="77777777" w:rsidR="004F60A2" w:rsidRPr="00382579" w:rsidRDefault="004F60A2">
            <w:pPr>
              <w:jc w:val="center"/>
            </w:pPr>
          </w:p>
        </w:tc>
        <w:tc>
          <w:tcPr>
            <w:tcW w:w="636" w:type="dxa"/>
            <w:tcBorders>
              <w:top w:val="nil"/>
              <w:left w:val="nil"/>
              <w:bottom w:val="nil"/>
              <w:right w:val="nil"/>
            </w:tcBorders>
            <w:noWrap/>
            <w:vAlign w:val="center"/>
            <w:hideMark/>
          </w:tcPr>
          <w:p w14:paraId="5E0931C6"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21C75B2A"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1116" w:type="dxa"/>
            <w:tcBorders>
              <w:top w:val="nil"/>
              <w:left w:val="nil"/>
              <w:bottom w:val="nil"/>
              <w:right w:val="nil"/>
            </w:tcBorders>
            <w:noWrap/>
            <w:vAlign w:val="center"/>
            <w:hideMark/>
          </w:tcPr>
          <w:p w14:paraId="780112C0"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5C394E4D"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2</w:t>
            </w:r>
          </w:p>
        </w:tc>
      </w:tr>
      <w:tr w:rsidR="004F60A2" w:rsidRPr="00382579" w14:paraId="4D349DEF" w14:textId="77777777" w:rsidTr="004F60A2">
        <w:trPr>
          <w:trHeight w:val="585"/>
        </w:trPr>
        <w:tc>
          <w:tcPr>
            <w:tcW w:w="2810" w:type="dxa"/>
            <w:tcBorders>
              <w:top w:val="nil"/>
              <w:left w:val="single" w:sz="8" w:space="0" w:color="auto"/>
              <w:bottom w:val="nil"/>
              <w:right w:val="nil"/>
            </w:tcBorders>
            <w:vAlign w:val="center"/>
            <w:hideMark/>
          </w:tcPr>
          <w:p w14:paraId="7FDD3DB9" w14:textId="77777777" w:rsidR="004F60A2" w:rsidRPr="00382579" w:rsidRDefault="004F60A2">
            <w:pPr>
              <w:rPr>
                <w:rFonts w:ascii="Calibri" w:hAnsi="Calibri" w:cs="Calibri"/>
                <w:color w:val="000000"/>
              </w:rPr>
            </w:pPr>
            <w:r w:rsidRPr="00382579">
              <w:rPr>
                <w:rFonts w:ascii="Calibri" w:hAnsi="Calibri" w:cs="Calibri"/>
                <w:color w:val="000000"/>
              </w:rPr>
              <w:t>Review of Accounting Studies</w:t>
            </w:r>
          </w:p>
        </w:tc>
        <w:tc>
          <w:tcPr>
            <w:tcW w:w="716" w:type="dxa"/>
            <w:tcBorders>
              <w:top w:val="nil"/>
              <w:left w:val="nil"/>
              <w:bottom w:val="nil"/>
              <w:right w:val="nil"/>
            </w:tcBorders>
            <w:shd w:val="clear" w:color="000000" w:fill="F2F2F2"/>
            <w:noWrap/>
            <w:vAlign w:val="center"/>
            <w:hideMark/>
          </w:tcPr>
          <w:p w14:paraId="6595F0CB"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44438F10"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6ED42131" w14:textId="77777777" w:rsidR="004F60A2" w:rsidRPr="00382579" w:rsidRDefault="004F60A2">
            <w:pPr>
              <w:jc w:val="center"/>
            </w:pPr>
          </w:p>
        </w:tc>
        <w:tc>
          <w:tcPr>
            <w:tcW w:w="636" w:type="dxa"/>
            <w:tcBorders>
              <w:top w:val="nil"/>
              <w:left w:val="nil"/>
              <w:bottom w:val="nil"/>
              <w:right w:val="nil"/>
            </w:tcBorders>
            <w:noWrap/>
            <w:vAlign w:val="center"/>
            <w:hideMark/>
          </w:tcPr>
          <w:p w14:paraId="5B0A4079" w14:textId="77777777" w:rsidR="004F60A2" w:rsidRPr="00382579" w:rsidRDefault="004F60A2">
            <w:pPr>
              <w:jc w:val="center"/>
            </w:pPr>
          </w:p>
        </w:tc>
        <w:tc>
          <w:tcPr>
            <w:tcW w:w="636" w:type="dxa"/>
            <w:tcBorders>
              <w:top w:val="nil"/>
              <w:left w:val="nil"/>
              <w:bottom w:val="nil"/>
              <w:right w:val="nil"/>
            </w:tcBorders>
            <w:noWrap/>
            <w:vAlign w:val="center"/>
            <w:hideMark/>
          </w:tcPr>
          <w:p w14:paraId="33583C8C"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286" w:type="dxa"/>
            <w:tcBorders>
              <w:top w:val="nil"/>
              <w:left w:val="nil"/>
              <w:bottom w:val="nil"/>
              <w:right w:val="nil"/>
            </w:tcBorders>
            <w:shd w:val="clear" w:color="000000" w:fill="F2F2F2"/>
            <w:noWrap/>
            <w:vAlign w:val="center"/>
            <w:hideMark/>
          </w:tcPr>
          <w:p w14:paraId="5B17917D"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32353EF4"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3FBCE89D"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5855D87A" w14:textId="77777777" w:rsidTr="004F60A2">
        <w:trPr>
          <w:trHeight w:val="300"/>
        </w:trPr>
        <w:tc>
          <w:tcPr>
            <w:tcW w:w="2810" w:type="dxa"/>
            <w:tcBorders>
              <w:top w:val="nil"/>
              <w:left w:val="single" w:sz="8" w:space="0" w:color="auto"/>
              <w:bottom w:val="nil"/>
              <w:right w:val="nil"/>
            </w:tcBorders>
            <w:vAlign w:val="center"/>
            <w:hideMark/>
          </w:tcPr>
          <w:p w14:paraId="769BBDED" w14:textId="77777777" w:rsidR="004F60A2" w:rsidRPr="00382579" w:rsidRDefault="004F60A2">
            <w:pPr>
              <w:rPr>
                <w:rFonts w:ascii="Calibri" w:hAnsi="Calibri" w:cs="Calibri"/>
                <w:color w:val="000000"/>
              </w:rPr>
            </w:pPr>
            <w:r w:rsidRPr="00382579">
              <w:rPr>
                <w:rFonts w:ascii="Calibri" w:hAnsi="Calibri" w:cs="Calibri"/>
                <w:color w:val="000000"/>
              </w:rPr>
              <w:t>The Accounting Review</w:t>
            </w:r>
          </w:p>
        </w:tc>
        <w:tc>
          <w:tcPr>
            <w:tcW w:w="716" w:type="dxa"/>
            <w:tcBorders>
              <w:top w:val="nil"/>
              <w:left w:val="nil"/>
              <w:bottom w:val="nil"/>
              <w:right w:val="nil"/>
            </w:tcBorders>
            <w:shd w:val="clear" w:color="000000" w:fill="F2F2F2"/>
            <w:noWrap/>
            <w:vAlign w:val="center"/>
            <w:hideMark/>
          </w:tcPr>
          <w:p w14:paraId="4FD220B6"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4B3DCA72"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1C8C5993" w14:textId="77777777" w:rsidR="004F60A2" w:rsidRPr="00382579" w:rsidRDefault="004F60A2">
            <w:pPr>
              <w:jc w:val="center"/>
            </w:pPr>
          </w:p>
        </w:tc>
        <w:tc>
          <w:tcPr>
            <w:tcW w:w="636" w:type="dxa"/>
            <w:tcBorders>
              <w:top w:val="nil"/>
              <w:left w:val="nil"/>
              <w:bottom w:val="nil"/>
              <w:right w:val="nil"/>
            </w:tcBorders>
            <w:noWrap/>
            <w:vAlign w:val="center"/>
            <w:hideMark/>
          </w:tcPr>
          <w:p w14:paraId="4F550DEE" w14:textId="77777777" w:rsidR="004F60A2" w:rsidRPr="00382579" w:rsidRDefault="004F60A2">
            <w:pPr>
              <w:jc w:val="center"/>
            </w:pPr>
          </w:p>
        </w:tc>
        <w:tc>
          <w:tcPr>
            <w:tcW w:w="636" w:type="dxa"/>
            <w:tcBorders>
              <w:top w:val="nil"/>
              <w:left w:val="nil"/>
              <w:bottom w:val="nil"/>
              <w:right w:val="nil"/>
            </w:tcBorders>
            <w:noWrap/>
            <w:vAlign w:val="center"/>
            <w:hideMark/>
          </w:tcPr>
          <w:p w14:paraId="0D043FC7"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286" w:type="dxa"/>
            <w:tcBorders>
              <w:top w:val="nil"/>
              <w:left w:val="nil"/>
              <w:bottom w:val="nil"/>
              <w:right w:val="nil"/>
            </w:tcBorders>
            <w:shd w:val="clear" w:color="000000" w:fill="F2F2F2"/>
            <w:noWrap/>
            <w:vAlign w:val="center"/>
            <w:hideMark/>
          </w:tcPr>
          <w:p w14:paraId="770F6060"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23F12DBA"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7673ECF1"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15A977B8" w14:textId="77777777" w:rsidTr="004F60A2">
        <w:trPr>
          <w:trHeight w:val="585"/>
        </w:trPr>
        <w:tc>
          <w:tcPr>
            <w:tcW w:w="2810" w:type="dxa"/>
            <w:tcBorders>
              <w:top w:val="nil"/>
              <w:left w:val="single" w:sz="8" w:space="0" w:color="auto"/>
              <w:bottom w:val="nil"/>
              <w:right w:val="nil"/>
            </w:tcBorders>
            <w:vAlign w:val="center"/>
            <w:hideMark/>
          </w:tcPr>
          <w:p w14:paraId="705EB522" w14:textId="77777777" w:rsidR="004F60A2" w:rsidRPr="00382579" w:rsidRDefault="004F60A2">
            <w:pPr>
              <w:rPr>
                <w:rFonts w:ascii="Calibri" w:hAnsi="Calibri" w:cs="Calibri"/>
                <w:color w:val="000000"/>
              </w:rPr>
            </w:pPr>
            <w:r w:rsidRPr="00382579">
              <w:rPr>
                <w:rFonts w:ascii="Calibri" w:hAnsi="Calibri" w:cs="Calibri"/>
                <w:color w:val="000000"/>
              </w:rPr>
              <w:t>The British Accounting Review</w:t>
            </w:r>
          </w:p>
        </w:tc>
        <w:tc>
          <w:tcPr>
            <w:tcW w:w="716" w:type="dxa"/>
            <w:tcBorders>
              <w:top w:val="nil"/>
              <w:left w:val="nil"/>
              <w:bottom w:val="nil"/>
              <w:right w:val="nil"/>
            </w:tcBorders>
            <w:shd w:val="clear" w:color="000000" w:fill="F2F2F2"/>
            <w:noWrap/>
            <w:vAlign w:val="center"/>
            <w:hideMark/>
          </w:tcPr>
          <w:p w14:paraId="7C57BA01"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4C87C4DA"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0F97CF37"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636" w:type="dxa"/>
            <w:tcBorders>
              <w:top w:val="nil"/>
              <w:left w:val="nil"/>
              <w:bottom w:val="nil"/>
              <w:right w:val="nil"/>
            </w:tcBorders>
            <w:noWrap/>
            <w:vAlign w:val="center"/>
            <w:hideMark/>
          </w:tcPr>
          <w:p w14:paraId="4DF539A9"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53B1E993" w14:textId="77777777" w:rsidR="004F60A2" w:rsidRPr="00382579" w:rsidRDefault="004F60A2">
            <w:pPr>
              <w:jc w:val="center"/>
              <w:rPr>
                <w:rFonts w:ascii="Calibri" w:hAnsi="Calibri" w:cs="Calibri"/>
                <w:color w:val="000000"/>
              </w:rPr>
            </w:pPr>
          </w:p>
        </w:tc>
        <w:tc>
          <w:tcPr>
            <w:tcW w:w="1286" w:type="dxa"/>
            <w:tcBorders>
              <w:top w:val="nil"/>
              <w:left w:val="nil"/>
              <w:bottom w:val="nil"/>
              <w:right w:val="nil"/>
            </w:tcBorders>
            <w:shd w:val="clear" w:color="000000" w:fill="F2F2F2"/>
            <w:noWrap/>
            <w:vAlign w:val="center"/>
            <w:hideMark/>
          </w:tcPr>
          <w:p w14:paraId="6B5A9CCB"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0E3E0346"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7C103AB7"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5</w:t>
            </w:r>
          </w:p>
        </w:tc>
      </w:tr>
      <w:tr w:rsidR="004F60A2" w:rsidRPr="00382579" w14:paraId="7D60A0FD" w14:textId="77777777" w:rsidTr="004F60A2">
        <w:trPr>
          <w:trHeight w:val="315"/>
        </w:trPr>
        <w:tc>
          <w:tcPr>
            <w:tcW w:w="2810" w:type="dxa"/>
            <w:tcBorders>
              <w:top w:val="single" w:sz="8" w:space="0" w:color="auto"/>
              <w:left w:val="single" w:sz="8" w:space="0" w:color="auto"/>
              <w:bottom w:val="single" w:sz="8" w:space="0" w:color="auto"/>
              <w:right w:val="nil"/>
            </w:tcBorders>
            <w:shd w:val="clear" w:color="DDEBF7" w:fill="BFBFBF"/>
            <w:vAlign w:val="bottom"/>
            <w:hideMark/>
          </w:tcPr>
          <w:p w14:paraId="21627D6D" w14:textId="77777777" w:rsidR="004F60A2" w:rsidRPr="00382579" w:rsidRDefault="004F60A2">
            <w:pPr>
              <w:rPr>
                <w:rFonts w:ascii="Calibri" w:hAnsi="Calibri" w:cs="Calibri"/>
                <w:b/>
                <w:bCs/>
                <w:color w:val="000000"/>
              </w:rPr>
            </w:pPr>
            <w:r w:rsidRPr="00382579">
              <w:rPr>
                <w:rFonts w:ascii="Calibri" w:hAnsi="Calibri" w:cs="Calibri"/>
                <w:b/>
                <w:bCs/>
                <w:color w:val="000000"/>
              </w:rPr>
              <w:t>Grand Total</w:t>
            </w:r>
          </w:p>
        </w:tc>
        <w:tc>
          <w:tcPr>
            <w:tcW w:w="716" w:type="dxa"/>
            <w:tcBorders>
              <w:top w:val="single" w:sz="8" w:space="0" w:color="auto"/>
              <w:left w:val="nil"/>
              <w:bottom w:val="single" w:sz="8" w:space="0" w:color="auto"/>
              <w:right w:val="nil"/>
            </w:tcBorders>
            <w:shd w:val="clear" w:color="DDEBF7" w:fill="BFBFBF"/>
            <w:noWrap/>
            <w:vAlign w:val="center"/>
            <w:hideMark/>
          </w:tcPr>
          <w:p w14:paraId="5A727F2F"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30</w:t>
            </w:r>
          </w:p>
        </w:tc>
        <w:tc>
          <w:tcPr>
            <w:tcW w:w="896" w:type="dxa"/>
            <w:tcBorders>
              <w:top w:val="single" w:sz="8" w:space="0" w:color="auto"/>
              <w:left w:val="nil"/>
              <w:bottom w:val="single" w:sz="8" w:space="0" w:color="auto"/>
              <w:right w:val="nil"/>
            </w:tcBorders>
            <w:shd w:val="clear" w:color="DDEBF7" w:fill="BFBFBF"/>
            <w:noWrap/>
            <w:vAlign w:val="center"/>
            <w:hideMark/>
          </w:tcPr>
          <w:p w14:paraId="75861DF0"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21</w:t>
            </w:r>
          </w:p>
        </w:tc>
        <w:tc>
          <w:tcPr>
            <w:tcW w:w="596" w:type="dxa"/>
            <w:tcBorders>
              <w:top w:val="single" w:sz="8" w:space="0" w:color="auto"/>
              <w:left w:val="nil"/>
              <w:bottom w:val="single" w:sz="8" w:space="0" w:color="auto"/>
              <w:right w:val="nil"/>
            </w:tcBorders>
            <w:shd w:val="clear" w:color="DDEBF7" w:fill="BFBFBF"/>
            <w:noWrap/>
            <w:vAlign w:val="center"/>
            <w:hideMark/>
          </w:tcPr>
          <w:p w14:paraId="353787A9"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10</w:t>
            </w:r>
          </w:p>
        </w:tc>
        <w:tc>
          <w:tcPr>
            <w:tcW w:w="636" w:type="dxa"/>
            <w:tcBorders>
              <w:top w:val="single" w:sz="8" w:space="0" w:color="auto"/>
              <w:left w:val="nil"/>
              <w:bottom w:val="single" w:sz="8" w:space="0" w:color="auto"/>
              <w:right w:val="nil"/>
            </w:tcBorders>
            <w:shd w:val="clear" w:color="DDEBF7" w:fill="BFBFBF"/>
            <w:noWrap/>
            <w:vAlign w:val="center"/>
            <w:hideMark/>
          </w:tcPr>
          <w:p w14:paraId="2E5C2175"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6</w:t>
            </w:r>
          </w:p>
        </w:tc>
        <w:tc>
          <w:tcPr>
            <w:tcW w:w="636" w:type="dxa"/>
            <w:tcBorders>
              <w:top w:val="single" w:sz="8" w:space="0" w:color="auto"/>
              <w:left w:val="nil"/>
              <w:bottom w:val="single" w:sz="8" w:space="0" w:color="auto"/>
              <w:right w:val="nil"/>
            </w:tcBorders>
            <w:shd w:val="clear" w:color="DDEBF7" w:fill="BFBFBF"/>
            <w:noWrap/>
            <w:vAlign w:val="center"/>
            <w:hideMark/>
          </w:tcPr>
          <w:p w14:paraId="1F7C4EC9"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11</w:t>
            </w:r>
          </w:p>
        </w:tc>
        <w:tc>
          <w:tcPr>
            <w:tcW w:w="1286" w:type="dxa"/>
            <w:tcBorders>
              <w:top w:val="single" w:sz="8" w:space="0" w:color="auto"/>
              <w:left w:val="nil"/>
              <w:bottom w:val="single" w:sz="8" w:space="0" w:color="auto"/>
              <w:right w:val="nil"/>
            </w:tcBorders>
            <w:shd w:val="clear" w:color="DDEBF7" w:fill="BFBFBF"/>
            <w:noWrap/>
            <w:vAlign w:val="center"/>
            <w:hideMark/>
          </w:tcPr>
          <w:p w14:paraId="7EE74138"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35</w:t>
            </w:r>
          </w:p>
        </w:tc>
        <w:tc>
          <w:tcPr>
            <w:tcW w:w="1116" w:type="dxa"/>
            <w:tcBorders>
              <w:top w:val="single" w:sz="8" w:space="0" w:color="auto"/>
              <w:left w:val="nil"/>
              <w:bottom w:val="single" w:sz="8" w:space="0" w:color="auto"/>
              <w:right w:val="nil"/>
            </w:tcBorders>
            <w:shd w:val="clear" w:color="DDEBF7" w:fill="BFBFBF"/>
            <w:noWrap/>
            <w:vAlign w:val="center"/>
            <w:hideMark/>
          </w:tcPr>
          <w:p w14:paraId="08BDF722"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11</w:t>
            </w:r>
          </w:p>
        </w:tc>
        <w:tc>
          <w:tcPr>
            <w:tcW w:w="988" w:type="dxa"/>
            <w:tcBorders>
              <w:top w:val="single" w:sz="8" w:space="0" w:color="auto"/>
              <w:left w:val="nil"/>
              <w:bottom w:val="single" w:sz="8" w:space="0" w:color="auto"/>
              <w:right w:val="single" w:sz="8" w:space="0" w:color="auto"/>
            </w:tcBorders>
            <w:shd w:val="clear" w:color="DDEBF7" w:fill="BFBFBF"/>
            <w:noWrap/>
            <w:vAlign w:val="center"/>
            <w:hideMark/>
          </w:tcPr>
          <w:p w14:paraId="7ABE9B81"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124</w:t>
            </w:r>
          </w:p>
        </w:tc>
      </w:tr>
    </w:tbl>
    <w:p w14:paraId="4C6CFBD4" w14:textId="42F65B81" w:rsidR="0097313B" w:rsidRPr="00382579" w:rsidRDefault="00B07C64" w:rsidP="0097313B">
      <w:pPr>
        <w:jc w:val="both"/>
        <w:rPr>
          <w:i/>
          <w:iCs/>
        </w:rPr>
      </w:pPr>
      <w:r w:rsidRPr="00382579">
        <w:rPr>
          <w:b/>
          <w:bCs/>
          <w:lang w:val="en-US"/>
        </w:rPr>
        <w:t>Table 3. Distribution of empirical NFIA studies by journal outlet and jurisdiction of study</w:t>
      </w:r>
      <w:r w:rsidR="0097313B" w:rsidRPr="00382579">
        <w:br/>
      </w:r>
      <w:r w:rsidR="0097313B" w:rsidRPr="00382579">
        <w:rPr>
          <w:i/>
          <w:iCs/>
        </w:rPr>
        <w:t>Source: Author’s analysis</w:t>
      </w:r>
    </w:p>
    <w:p w14:paraId="40FBB9CD" w14:textId="77777777" w:rsidR="00EF62E0" w:rsidRPr="00382579" w:rsidRDefault="00EF62E0" w:rsidP="0097313B">
      <w:pPr>
        <w:jc w:val="both"/>
        <w:rPr>
          <w:b/>
          <w:bCs/>
          <w:lang w:val="en-US"/>
        </w:rPr>
      </w:pPr>
    </w:p>
    <w:p w14:paraId="2891B1F5" w14:textId="59E5B7BD" w:rsidR="006E1A9A" w:rsidRPr="006E1A9A" w:rsidRDefault="006E1A9A" w:rsidP="006E1A9A">
      <w:pPr>
        <w:widowControl w:val="0"/>
        <w:spacing w:after="160"/>
        <w:ind w:firstLine="420"/>
        <w:jc w:val="both"/>
      </w:pPr>
      <w:r w:rsidRPr="006E1A9A">
        <w:t>Table 3 summari</w:t>
      </w:r>
      <w:r w:rsidR="006A6E0A">
        <w:t>s</w:t>
      </w:r>
      <w:r w:rsidRPr="006E1A9A">
        <w:t xml:space="preserve">es the journal and jurisdictional distribution of NFIA studies, revealing high concentration among a few key outlets. </w:t>
      </w:r>
      <w:r w:rsidRPr="006E1A9A">
        <w:rPr>
          <w:i/>
          <w:iCs/>
        </w:rPr>
        <w:t>Financial Accountability &amp; Management</w:t>
      </w:r>
      <w:r w:rsidRPr="006E1A9A">
        <w:t xml:space="preserve">, </w:t>
      </w:r>
      <w:r w:rsidRPr="006E1A9A">
        <w:rPr>
          <w:i/>
          <w:iCs/>
        </w:rPr>
        <w:t>AAAJ</w:t>
      </w:r>
      <w:r w:rsidRPr="006E1A9A">
        <w:t xml:space="preserve">, </w:t>
      </w:r>
      <w:r w:rsidRPr="006E1A9A">
        <w:rPr>
          <w:i/>
          <w:iCs/>
        </w:rPr>
        <w:t>Journal of Business Ethics</w:t>
      </w:r>
      <w:r w:rsidRPr="006E1A9A">
        <w:t xml:space="preserve">, and </w:t>
      </w:r>
      <w:r w:rsidRPr="006E1A9A">
        <w:rPr>
          <w:i/>
          <w:iCs/>
        </w:rPr>
        <w:t>International Journal of Auditing</w:t>
      </w:r>
      <w:r w:rsidRPr="006E1A9A">
        <w:t xml:space="preserve"> dominate the corpus. This concentration underscores these journals’ established leadership in public-sector accountability and sustainability governance.</w:t>
      </w:r>
    </w:p>
    <w:p w14:paraId="7864DAEB" w14:textId="3E78CD47" w:rsidR="006E1A9A" w:rsidRPr="006E1A9A" w:rsidRDefault="00153742" w:rsidP="006E1A9A">
      <w:pPr>
        <w:widowControl w:val="0"/>
        <w:spacing w:after="160"/>
        <w:ind w:firstLine="420"/>
        <w:jc w:val="both"/>
      </w:pPr>
      <w:r w:rsidRPr="00153742">
        <w:lastRenderedPageBreak/>
        <w:t>Geographically, Australia is a dominant empirical setting in this corpus, surpassing the UK; this concentration is consistent with the prominence of performance audit within Australian public-sector accountability research (Guthrie &amp; Parker, 1999; Parker et al., 2019)</w:t>
      </w:r>
      <w:r>
        <w:t xml:space="preserve"> </w:t>
      </w:r>
      <w:r w:rsidR="006E1A9A" w:rsidRPr="006E1A9A">
        <w:t xml:space="preserve">Developed European contexts (e.g., France and Germany) drive a large share of research </w:t>
      </w:r>
      <w:proofErr w:type="spellStart"/>
      <w:r w:rsidR="006E1A9A" w:rsidRPr="006E1A9A">
        <w:t>centered</w:t>
      </w:r>
      <w:proofErr w:type="spellEnd"/>
      <w:r w:rsidR="006E1A9A" w:rsidRPr="006E1A9A">
        <w:t xml:space="preserve"> on carbon and public-sector audits. Notably, China has emerged as a distinct cluster, with ten studies focused exclusively on CSR and sustainability assurance.</w:t>
      </w:r>
    </w:p>
    <w:p w14:paraId="431714C4" w14:textId="1DDD7C7A" w:rsidR="00EB53C9" w:rsidRPr="00382579" w:rsidRDefault="00EB53C9" w:rsidP="00EF62E0">
      <w:pPr>
        <w:widowControl w:val="0"/>
        <w:spacing w:after="160"/>
        <w:ind w:firstLine="420"/>
        <w:jc w:val="both"/>
      </w:pPr>
    </w:p>
    <w:tbl>
      <w:tblPr>
        <w:tblW w:w="8960" w:type="dxa"/>
        <w:tblLook w:val="04A0" w:firstRow="1" w:lastRow="0" w:firstColumn="1" w:lastColumn="0" w:noHBand="0" w:noVBand="1"/>
      </w:tblPr>
      <w:tblGrid>
        <w:gridCol w:w="2671"/>
        <w:gridCol w:w="1565"/>
        <w:gridCol w:w="1504"/>
        <w:gridCol w:w="1420"/>
        <w:gridCol w:w="820"/>
        <w:gridCol w:w="980"/>
      </w:tblGrid>
      <w:tr w:rsidR="00643350" w:rsidRPr="00382579" w14:paraId="297C0CCC" w14:textId="77777777" w:rsidTr="0071264D">
        <w:trPr>
          <w:trHeight w:val="585"/>
        </w:trPr>
        <w:tc>
          <w:tcPr>
            <w:tcW w:w="2891" w:type="dxa"/>
            <w:tcBorders>
              <w:top w:val="single" w:sz="8" w:space="0" w:color="auto"/>
              <w:left w:val="single" w:sz="8" w:space="0" w:color="auto"/>
              <w:bottom w:val="single" w:sz="4" w:space="0" w:color="9BC2E6"/>
              <w:right w:val="nil"/>
            </w:tcBorders>
            <w:shd w:val="clear" w:color="DDEBF7" w:fill="BFBFBF"/>
            <w:vAlign w:val="center"/>
            <w:hideMark/>
          </w:tcPr>
          <w:p w14:paraId="53D3CFFD" w14:textId="77777777" w:rsidR="00643350" w:rsidRPr="00382579" w:rsidRDefault="00643350">
            <w:pPr>
              <w:rPr>
                <w:rFonts w:ascii="Calibri" w:hAnsi="Calibri" w:cs="Calibri"/>
                <w:b/>
                <w:bCs/>
                <w:color w:val="000000"/>
              </w:rPr>
            </w:pPr>
            <w:r w:rsidRPr="00382579">
              <w:rPr>
                <w:rFonts w:ascii="Calibri" w:hAnsi="Calibri" w:cs="Calibri"/>
                <w:b/>
                <w:bCs/>
                <w:color w:val="000000"/>
              </w:rPr>
              <w:t>Main Research Method / Subject Domains</w:t>
            </w:r>
          </w:p>
        </w:tc>
        <w:tc>
          <w:tcPr>
            <w:tcW w:w="1452" w:type="dxa"/>
            <w:tcBorders>
              <w:top w:val="single" w:sz="8" w:space="0" w:color="auto"/>
              <w:left w:val="nil"/>
              <w:bottom w:val="single" w:sz="4" w:space="0" w:color="9BC2E6"/>
              <w:right w:val="nil"/>
            </w:tcBorders>
            <w:shd w:val="clear" w:color="DDEBF7" w:fill="BFBFBF"/>
            <w:vAlign w:val="center"/>
            <w:hideMark/>
          </w:tcPr>
          <w:p w14:paraId="7FDEF3E7"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CSR/ESG/ Sustainability</w:t>
            </w:r>
          </w:p>
        </w:tc>
        <w:tc>
          <w:tcPr>
            <w:tcW w:w="1397" w:type="dxa"/>
            <w:tcBorders>
              <w:top w:val="single" w:sz="8" w:space="0" w:color="auto"/>
              <w:left w:val="nil"/>
              <w:bottom w:val="single" w:sz="4" w:space="0" w:color="9BC2E6"/>
              <w:right w:val="nil"/>
            </w:tcBorders>
            <w:shd w:val="clear" w:color="DDEBF7" w:fill="BFBFBF"/>
            <w:vAlign w:val="center"/>
            <w:hideMark/>
          </w:tcPr>
          <w:p w14:paraId="273FD157"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Performance Audit</w:t>
            </w:r>
          </w:p>
        </w:tc>
        <w:tc>
          <w:tcPr>
            <w:tcW w:w="1420" w:type="dxa"/>
            <w:tcBorders>
              <w:top w:val="single" w:sz="8" w:space="0" w:color="auto"/>
              <w:left w:val="nil"/>
              <w:bottom w:val="single" w:sz="4" w:space="0" w:color="9BC2E6"/>
              <w:right w:val="nil"/>
            </w:tcBorders>
            <w:shd w:val="clear" w:color="DDEBF7" w:fill="BFBFBF"/>
            <w:vAlign w:val="center"/>
            <w:hideMark/>
          </w:tcPr>
          <w:p w14:paraId="564ECA26"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Carbon (GHG)</w:t>
            </w:r>
          </w:p>
        </w:tc>
        <w:tc>
          <w:tcPr>
            <w:tcW w:w="820" w:type="dxa"/>
            <w:tcBorders>
              <w:top w:val="single" w:sz="8" w:space="0" w:color="auto"/>
              <w:left w:val="nil"/>
              <w:bottom w:val="single" w:sz="4" w:space="0" w:color="9BC2E6"/>
              <w:right w:val="nil"/>
            </w:tcBorders>
            <w:shd w:val="clear" w:color="DDEBF7" w:fill="BFBFBF"/>
            <w:vAlign w:val="center"/>
            <w:hideMark/>
          </w:tcPr>
          <w:p w14:paraId="27AE01F3"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Other</w:t>
            </w:r>
          </w:p>
        </w:tc>
        <w:tc>
          <w:tcPr>
            <w:tcW w:w="980" w:type="dxa"/>
            <w:tcBorders>
              <w:top w:val="single" w:sz="8" w:space="0" w:color="auto"/>
              <w:left w:val="nil"/>
              <w:bottom w:val="single" w:sz="4" w:space="0" w:color="9BC2E6"/>
              <w:right w:val="single" w:sz="8" w:space="0" w:color="auto"/>
            </w:tcBorders>
            <w:shd w:val="clear" w:color="DDEBF7" w:fill="BFBFBF"/>
            <w:vAlign w:val="center"/>
            <w:hideMark/>
          </w:tcPr>
          <w:p w14:paraId="598DA191"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Total</w:t>
            </w:r>
          </w:p>
        </w:tc>
      </w:tr>
      <w:tr w:rsidR="00643350" w:rsidRPr="00382579" w14:paraId="361AC797" w14:textId="77777777" w:rsidTr="0071264D">
        <w:trPr>
          <w:trHeight w:val="300"/>
        </w:trPr>
        <w:tc>
          <w:tcPr>
            <w:tcW w:w="2891" w:type="dxa"/>
            <w:tcBorders>
              <w:top w:val="nil"/>
              <w:left w:val="single" w:sz="8" w:space="0" w:color="auto"/>
              <w:bottom w:val="nil"/>
              <w:right w:val="nil"/>
            </w:tcBorders>
            <w:vAlign w:val="bottom"/>
            <w:hideMark/>
          </w:tcPr>
          <w:p w14:paraId="1703AEC6" w14:textId="77777777" w:rsidR="00643350" w:rsidRPr="00382579" w:rsidRDefault="00643350">
            <w:pPr>
              <w:rPr>
                <w:rFonts w:ascii="Calibri" w:hAnsi="Calibri" w:cs="Calibri"/>
                <w:color w:val="000000"/>
              </w:rPr>
            </w:pPr>
            <w:r w:rsidRPr="00382579">
              <w:rPr>
                <w:rFonts w:ascii="Calibri" w:hAnsi="Calibri" w:cs="Calibri"/>
                <w:color w:val="000000"/>
              </w:rPr>
              <w:t>Archival / statistical analysis</w:t>
            </w:r>
          </w:p>
        </w:tc>
        <w:tc>
          <w:tcPr>
            <w:tcW w:w="1452" w:type="dxa"/>
            <w:tcBorders>
              <w:top w:val="nil"/>
              <w:left w:val="nil"/>
              <w:bottom w:val="nil"/>
              <w:right w:val="nil"/>
            </w:tcBorders>
            <w:shd w:val="clear" w:color="000000" w:fill="D9D9D9"/>
            <w:noWrap/>
            <w:vAlign w:val="center"/>
            <w:hideMark/>
          </w:tcPr>
          <w:p w14:paraId="0354B268" w14:textId="77777777" w:rsidR="00643350" w:rsidRPr="00382579" w:rsidRDefault="00643350">
            <w:pPr>
              <w:jc w:val="center"/>
              <w:rPr>
                <w:rFonts w:ascii="Calibri" w:hAnsi="Calibri" w:cs="Calibri"/>
                <w:color w:val="000000"/>
              </w:rPr>
            </w:pPr>
            <w:r w:rsidRPr="00382579">
              <w:rPr>
                <w:rFonts w:ascii="Calibri" w:hAnsi="Calibri" w:cs="Calibri"/>
                <w:color w:val="000000"/>
              </w:rPr>
              <w:t>33</w:t>
            </w:r>
          </w:p>
        </w:tc>
        <w:tc>
          <w:tcPr>
            <w:tcW w:w="1397" w:type="dxa"/>
            <w:tcBorders>
              <w:top w:val="nil"/>
              <w:left w:val="nil"/>
              <w:bottom w:val="nil"/>
              <w:right w:val="nil"/>
            </w:tcBorders>
            <w:noWrap/>
            <w:vAlign w:val="center"/>
            <w:hideMark/>
          </w:tcPr>
          <w:p w14:paraId="634CF667" w14:textId="77777777" w:rsidR="00643350" w:rsidRPr="00382579" w:rsidRDefault="00643350">
            <w:pPr>
              <w:jc w:val="center"/>
              <w:rPr>
                <w:rFonts w:ascii="Calibri" w:hAnsi="Calibri" w:cs="Calibri"/>
                <w:color w:val="000000"/>
              </w:rPr>
            </w:pPr>
            <w:r w:rsidRPr="00382579">
              <w:rPr>
                <w:rFonts w:ascii="Calibri" w:hAnsi="Calibri" w:cs="Calibri"/>
                <w:color w:val="000000"/>
              </w:rPr>
              <w:t>3</w:t>
            </w:r>
          </w:p>
        </w:tc>
        <w:tc>
          <w:tcPr>
            <w:tcW w:w="1420" w:type="dxa"/>
            <w:tcBorders>
              <w:top w:val="nil"/>
              <w:left w:val="nil"/>
              <w:bottom w:val="nil"/>
              <w:right w:val="nil"/>
            </w:tcBorders>
            <w:noWrap/>
            <w:vAlign w:val="center"/>
            <w:hideMark/>
          </w:tcPr>
          <w:p w14:paraId="1A95B739" w14:textId="77777777" w:rsidR="00643350" w:rsidRPr="00382579" w:rsidRDefault="00643350">
            <w:pPr>
              <w:jc w:val="center"/>
              <w:rPr>
                <w:rFonts w:ascii="Calibri" w:hAnsi="Calibri" w:cs="Calibri"/>
                <w:color w:val="000000"/>
              </w:rPr>
            </w:pPr>
            <w:r w:rsidRPr="00382579">
              <w:rPr>
                <w:rFonts w:ascii="Calibri" w:hAnsi="Calibri" w:cs="Calibri"/>
                <w:color w:val="000000"/>
              </w:rPr>
              <w:t>3</w:t>
            </w:r>
          </w:p>
        </w:tc>
        <w:tc>
          <w:tcPr>
            <w:tcW w:w="820" w:type="dxa"/>
            <w:tcBorders>
              <w:top w:val="nil"/>
              <w:left w:val="nil"/>
              <w:bottom w:val="nil"/>
              <w:right w:val="nil"/>
            </w:tcBorders>
            <w:noWrap/>
            <w:vAlign w:val="center"/>
            <w:hideMark/>
          </w:tcPr>
          <w:p w14:paraId="7CA2BC1A" w14:textId="77777777" w:rsidR="00643350" w:rsidRPr="00382579" w:rsidRDefault="00643350">
            <w:pPr>
              <w:jc w:val="center"/>
              <w:rPr>
                <w:rFonts w:ascii="Calibri" w:hAnsi="Calibri" w:cs="Calibri"/>
                <w:color w:val="000000"/>
              </w:rPr>
            </w:pPr>
          </w:p>
        </w:tc>
        <w:tc>
          <w:tcPr>
            <w:tcW w:w="980" w:type="dxa"/>
            <w:tcBorders>
              <w:top w:val="nil"/>
              <w:left w:val="nil"/>
              <w:bottom w:val="nil"/>
              <w:right w:val="single" w:sz="8" w:space="0" w:color="auto"/>
            </w:tcBorders>
            <w:noWrap/>
            <w:vAlign w:val="center"/>
            <w:hideMark/>
          </w:tcPr>
          <w:p w14:paraId="0A172CB5"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39</w:t>
            </w:r>
          </w:p>
        </w:tc>
      </w:tr>
      <w:tr w:rsidR="00643350" w:rsidRPr="00382579" w14:paraId="3EF5DC3D" w14:textId="77777777" w:rsidTr="0071264D">
        <w:trPr>
          <w:trHeight w:val="300"/>
        </w:trPr>
        <w:tc>
          <w:tcPr>
            <w:tcW w:w="2891" w:type="dxa"/>
            <w:tcBorders>
              <w:top w:val="nil"/>
              <w:left w:val="single" w:sz="8" w:space="0" w:color="auto"/>
              <w:bottom w:val="nil"/>
              <w:right w:val="nil"/>
            </w:tcBorders>
            <w:vAlign w:val="bottom"/>
            <w:hideMark/>
          </w:tcPr>
          <w:p w14:paraId="3C67A94C" w14:textId="77777777" w:rsidR="00643350" w:rsidRPr="00382579" w:rsidRDefault="00643350">
            <w:pPr>
              <w:rPr>
                <w:rFonts w:ascii="Calibri" w:hAnsi="Calibri" w:cs="Calibri"/>
                <w:color w:val="000000"/>
              </w:rPr>
            </w:pPr>
            <w:r w:rsidRPr="00382579">
              <w:rPr>
                <w:rFonts w:ascii="Calibri" w:hAnsi="Calibri" w:cs="Calibri"/>
                <w:color w:val="000000"/>
              </w:rPr>
              <w:t>Case study</w:t>
            </w:r>
          </w:p>
        </w:tc>
        <w:tc>
          <w:tcPr>
            <w:tcW w:w="1452" w:type="dxa"/>
            <w:tcBorders>
              <w:top w:val="nil"/>
              <w:left w:val="nil"/>
              <w:bottom w:val="nil"/>
              <w:right w:val="nil"/>
            </w:tcBorders>
            <w:shd w:val="clear" w:color="000000" w:fill="D9D9D9"/>
            <w:noWrap/>
            <w:vAlign w:val="center"/>
            <w:hideMark/>
          </w:tcPr>
          <w:p w14:paraId="6FD6A059" w14:textId="77777777" w:rsidR="00643350" w:rsidRPr="00382579" w:rsidRDefault="00643350">
            <w:pPr>
              <w:jc w:val="center"/>
              <w:rPr>
                <w:rFonts w:ascii="Calibri" w:hAnsi="Calibri" w:cs="Calibri"/>
                <w:color w:val="000000"/>
              </w:rPr>
            </w:pPr>
            <w:r w:rsidRPr="00382579">
              <w:rPr>
                <w:rFonts w:ascii="Calibri" w:hAnsi="Calibri" w:cs="Calibri"/>
                <w:color w:val="000000"/>
              </w:rPr>
              <w:t>7</w:t>
            </w:r>
          </w:p>
        </w:tc>
        <w:tc>
          <w:tcPr>
            <w:tcW w:w="1397" w:type="dxa"/>
            <w:tcBorders>
              <w:top w:val="nil"/>
              <w:left w:val="nil"/>
              <w:bottom w:val="nil"/>
              <w:right w:val="nil"/>
            </w:tcBorders>
            <w:shd w:val="clear" w:color="000000" w:fill="D9D9D9"/>
            <w:noWrap/>
            <w:vAlign w:val="center"/>
            <w:hideMark/>
          </w:tcPr>
          <w:p w14:paraId="17D26B13" w14:textId="77777777" w:rsidR="00643350" w:rsidRPr="00382579" w:rsidRDefault="00643350">
            <w:pPr>
              <w:jc w:val="center"/>
              <w:rPr>
                <w:rFonts w:ascii="Calibri" w:hAnsi="Calibri" w:cs="Calibri"/>
                <w:color w:val="000000"/>
              </w:rPr>
            </w:pPr>
            <w:r w:rsidRPr="00382579">
              <w:rPr>
                <w:rFonts w:ascii="Calibri" w:hAnsi="Calibri" w:cs="Calibri"/>
                <w:color w:val="000000"/>
              </w:rPr>
              <w:t>11</w:t>
            </w:r>
          </w:p>
        </w:tc>
        <w:tc>
          <w:tcPr>
            <w:tcW w:w="1420" w:type="dxa"/>
            <w:tcBorders>
              <w:top w:val="nil"/>
              <w:left w:val="nil"/>
              <w:bottom w:val="nil"/>
              <w:right w:val="nil"/>
            </w:tcBorders>
            <w:noWrap/>
            <w:vAlign w:val="center"/>
            <w:hideMark/>
          </w:tcPr>
          <w:p w14:paraId="7E626B60" w14:textId="77777777" w:rsidR="00643350" w:rsidRPr="00382579" w:rsidRDefault="00643350">
            <w:pPr>
              <w:jc w:val="center"/>
              <w:rPr>
                <w:rFonts w:ascii="Calibri" w:hAnsi="Calibri" w:cs="Calibri"/>
                <w:color w:val="000000"/>
              </w:rPr>
            </w:pPr>
          </w:p>
        </w:tc>
        <w:tc>
          <w:tcPr>
            <w:tcW w:w="820" w:type="dxa"/>
            <w:tcBorders>
              <w:top w:val="nil"/>
              <w:left w:val="nil"/>
              <w:bottom w:val="nil"/>
              <w:right w:val="nil"/>
            </w:tcBorders>
            <w:noWrap/>
            <w:vAlign w:val="center"/>
            <w:hideMark/>
          </w:tcPr>
          <w:p w14:paraId="20BE39EA" w14:textId="77777777" w:rsidR="00643350" w:rsidRPr="00382579" w:rsidRDefault="00643350">
            <w:pPr>
              <w:jc w:val="center"/>
              <w:rPr>
                <w:rFonts w:ascii="Calibri" w:hAnsi="Calibri" w:cs="Calibri"/>
                <w:color w:val="000000"/>
              </w:rPr>
            </w:pPr>
            <w:r w:rsidRPr="00382579">
              <w:rPr>
                <w:rFonts w:ascii="Calibri" w:hAnsi="Calibri" w:cs="Calibri"/>
                <w:color w:val="000000"/>
              </w:rPr>
              <w:t>2</w:t>
            </w:r>
          </w:p>
        </w:tc>
        <w:tc>
          <w:tcPr>
            <w:tcW w:w="980" w:type="dxa"/>
            <w:tcBorders>
              <w:top w:val="nil"/>
              <w:left w:val="nil"/>
              <w:bottom w:val="nil"/>
              <w:right w:val="single" w:sz="8" w:space="0" w:color="auto"/>
            </w:tcBorders>
            <w:noWrap/>
            <w:vAlign w:val="center"/>
            <w:hideMark/>
          </w:tcPr>
          <w:p w14:paraId="3CC0792F"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20</w:t>
            </w:r>
          </w:p>
        </w:tc>
      </w:tr>
      <w:tr w:rsidR="00643350" w:rsidRPr="00382579" w14:paraId="68403437" w14:textId="77777777" w:rsidTr="0071264D">
        <w:trPr>
          <w:trHeight w:val="300"/>
        </w:trPr>
        <w:tc>
          <w:tcPr>
            <w:tcW w:w="2891" w:type="dxa"/>
            <w:tcBorders>
              <w:top w:val="nil"/>
              <w:left w:val="single" w:sz="8" w:space="0" w:color="auto"/>
              <w:bottom w:val="nil"/>
              <w:right w:val="nil"/>
            </w:tcBorders>
            <w:vAlign w:val="bottom"/>
            <w:hideMark/>
          </w:tcPr>
          <w:p w14:paraId="790ED3AB" w14:textId="77777777" w:rsidR="00643350" w:rsidRPr="00382579" w:rsidRDefault="00643350">
            <w:pPr>
              <w:rPr>
                <w:rFonts w:ascii="Calibri" w:hAnsi="Calibri" w:cs="Calibri"/>
                <w:color w:val="000000"/>
              </w:rPr>
            </w:pPr>
            <w:r w:rsidRPr="00382579">
              <w:rPr>
                <w:rFonts w:ascii="Calibri" w:hAnsi="Calibri" w:cs="Calibri"/>
                <w:color w:val="000000"/>
              </w:rPr>
              <w:t>Discourse / content analysis</w:t>
            </w:r>
          </w:p>
        </w:tc>
        <w:tc>
          <w:tcPr>
            <w:tcW w:w="1452" w:type="dxa"/>
            <w:tcBorders>
              <w:top w:val="nil"/>
              <w:left w:val="nil"/>
              <w:bottom w:val="nil"/>
              <w:right w:val="nil"/>
            </w:tcBorders>
            <w:noWrap/>
            <w:vAlign w:val="center"/>
            <w:hideMark/>
          </w:tcPr>
          <w:p w14:paraId="48DB3A36" w14:textId="77777777" w:rsidR="00643350" w:rsidRPr="00382579" w:rsidRDefault="00643350">
            <w:pPr>
              <w:jc w:val="center"/>
              <w:rPr>
                <w:rFonts w:ascii="Calibri" w:hAnsi="Calibri" w:cs="Calibri"/>
                <w:color w:val="000000"/>
              </w:rPr>
            </w:pPr>
            <w:r w:rsidRPr="00382579">
              <w:rPr>
                <w:rFonts w:ascii="Calibri" w:hAnsi="Calibri" w:cs="Calibri"/>
                <w:color w:val="000000"/>
              </w:rPr>
              <w:t>5</w:t>
            </w:r>
          </w:p>
        </w:tc>
        <w:tc>
          <w:tcPr>
            <w:tcW w:w="1397" w:type="dxa"/>
            <w:tcBorders>
              <w:top w:val="nil"/>
              <w:left w:val="nil"/>
              <w:bottom w:val="nil"/>
              <w:right w:val="nil"/>
            </w:tcBorders>
            <w:noWrap/>
            <w:vAlign w:val="center"/>
            <w:hideMark/>
          </w:tcPr>
          <w:p w14:paraId="1D550375" w14:textId="77777777" w:rsidR="00643350" w:rsidRPr="00382579" w:rsidRDefault="00643350">
            <w:pPr>
              <w:jc w:val="center"/>
              <w:rPr>
                <w:rFonts w:ascii="Calibri" w:hAnsi="Calibri" w:cs="Calibri"/>
                <w:color w:val="000000"/>
              </w:rPr>
            </w:pPr>
            <w:r w:rsidRPr="00382579">
              <w:rPr>
                <w:rFonts w:ascii="Calibri" w:hAnsi="Calibri" w:cs="Calibri"/>
                <w:color w:val="000000"/>
              </w:rPr>
              <w:t>1</w:t>
            </w:r>
          </w:p>
        </w:tc>
        <w:tc>
          <w:tcPr>
            <w:tcW w:w="1420" w:type="dxa"/>
            <w:tcBorders>
              <w:top w:val="nil"/>
              <w:left w:val="nil"/>
              <w:bottom w:val="nil"/>
              <w:right w:val="nil"/>
            </w:tcBorders>
            <w:noWrap/>
            <w:vAlign w:val="center"/>
            <w:hideMark/>
          </w:tcPr>
          <w:p w14:paraId="6172712D" w14:textId="77777777" w:rsidR="00643350" w:rsidRPr="00382579" w:rsidRDefault="00643350">
            <w:pPr>
              <w:jc w:val="center"/>
              <w:rPr>
                <w:rFonts w:ascii="Calibri" w:hAnsi="Calibri" w:cs="Calibri"/>
                <w:color w:val="000000"/>
              </w:rPr>
            </w:pPr>
          </w:p>
        </w:tc>
        <w:tc>
          <w:tcPr>
            <w:tcW w:w="820" w:type="dxa"/>
            <w:tcBorders>
              <w:top w:val="nil"/>
              <w:left w:val="nil"/>
              <w:bottom w:val="nil"/>
              <w:right w:val="nil"/>
            </w:tcBorders>
            <w:noWrap/>
            <w:vAlign w:val="center"/>
            <w:hideMark/>
          </w:tcPr>
          <w:p w14:paraId="7E6CA4BC" w14:textId="77777777" w:rsidR="00643350" w:rsidRPr="00382579" w:rsidRDefault="00643350">
            <w:pPr>
              <w:jc w:val="center"/>
            </w:pPr>
          </w:p>
        </w:tc>
        <w:tc>
          <w:tcPr>
            <w:tcW w:w="980" w:type="dxa"/>
            <w:tcBorders>
              <w:top w:val="nil"/>
              <w:left w:val="nil"/>
              <w:bottom w:val="nil"/>
              <w:right w:val="single" w:sz="8" w:space="0" w:color="auto"/>
            </w:tcBorders>
            <w:noWrap/>
            <w:vAlign w:val="center"/>
            <w:hideMark/>
          </w:tcPr>
          <w:p w14:paraId="28F8B4E3"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6</w:t>
            </w:r>
          </w:p>
        </w:tc>
      </w:tr>
      <w:tr w:rsidR="00643350" w:rsidRPr="00382579" w14:paraId="123C942A" w14:textId="77777777" w:rsidTr="0071264D">
        <w:trPr>
          <w:trHeight w:val="300"/>
        </w:trPr>
        <w:tc>
          <w:tcPr>
            <w:tcW w:w="2891" w:type="dxa"/>
            <w:tcBorders>
              <w:top w:val="nil"/>
              <w:left w:val="single" w:sz="8" w:space="0" w:color="auto"/>
              <w:bottom w:val="nil"/>
              <w:right w:val="nil"/>
            </w:tcBorders>
            <w:vAlign w:val="bottom"/>
            <w:hideMark/>
          </w:tcPr>
          <w:p w14:paraId="02201453" w14:textId="77777777" w:rsidR="00643350" w:rsidRPr="00382579" w:rsidRDefault="00643350">
            <w:pPr>
              <w:rPr>
                <w:rFonts w:ascii="Calibri" w:hAnsi="Calibri" w:cs="Calibri"/>
                <w:color w:val="000000"/>
              </w:rPr>
            </w:pPr>
            <w:r w:rsidRPr="00382579">
              <w:rPr>
                <w:rFonts w:ascii="Calibri" w:hAnsi="Calibri" w:cs="Calibri"/>
                <w:color w:val="000000"/>
              </w:rPr>
              <w:t>Document / textual analysis</w:t>
            </w:r>
          </w:p>
        </w:tc>
        <w:tc>
          <w:tcPr>
            <w:tcW w:w="1452" w:type="dxa"/>
            <w:tcBorders>
              <w:top w:val="nil"/>
              <w:left w:val="nil"/>
              <w:bottom w:val="nil"/>
              <w:right w:val="nil"/>
            </w:tcBorders>
            <w:noWrap/>
            <w:vAlign w:val="center"/>
            <w:hideMark/>
          </w:tcPr>
          <w:p w14:paraId="23B86EAC" w14:textId="77777777" w:rsidR="00643350" w:rsidRPr="00382579" w:rsidRDefault="00643350">
            <w:pPr>
              <w:jc w:val="center"/>
              <w:rPr>
                <w:rFonts w:ascii="Calibri" w:hAnsi="Calibri" w:cs="Calibri"/>
                <w:color w:val="000000"/>
              </w:rPr>
            </w:pPr>
            <w:r w:rsidRPr="00382579">
              <w:rPr>
                <w:rFonts w:ascii="Calibri" w:hAnsi="Calibri" w:cs="Calibri"/>
                <w:color w:val="000000"/>
              </w:rPr>
              <w:t>5</w:t>
            </w:r>
          </w:p>
        </w:tc>
        <w:tc>
          <w:tcPr>
            <w:tcW w:w="1397" w:type="dxa"/>
            <w:tcBorders>
              <w:top w:val="nil"/>
              <w:left w:val="nil"/>
              <w:bottom w:val="nil"/>
              <w:right w:val="nil"/>
            </w:tcBorders>
            <w:noWrap/>
            <w:vAlign w:val="center"/>
            <w:hideMark/>
          </w:tcPr>
          <w:p w14:paraId="757A9101" w14:textId="77777777" w:rsidR="00643350" w:rsidRPr="00382579" w:rsidRDefault="00643350">
            <w:pPr>
              <w:jc w:val="center"/>
              <w:rPr>
                <w:rFonts w:ascii="Calibri" w:hAnsi="Calibri" w:cs="Calibri"/>
                <w:color w:val="000000"/>
              </w:rPr>
            </w:pPr>
            <w:r w:rsidRPr="00382579">
              <w:rPr>
                <w:rFonts w:ascii="Calibri" w:hAnsi="Calibri" w:cs="Calibri"/>
                <w:color w:val="000000"/>
              </w:rPr>
              <w:t>6</w:t>
            </w:r>
          </w:p>
        </w:tc>
        <w:tc>
          <w:tcPr>
            <w:tcW w:w="1420" w:type="dxa"/>
            <w:tcBorders>
              <w:top w:val="nil"/>
              <w:left w:val="nil"/>
              <w:bottom w:val="nil"/>
              <w:right w:val="nil"/>
            </w:tcBorders>
            <w:noWrap/>
            <w:vAlign w:val="center"/>
            <w:hideMark/>
          </w:tcPr>
          <w:p w14:paraId="7A19C002" w14:textId="77777777" w:rsidR="00643350" w:rsidRPr="00382579" w:rsidRDefault="00643350">
            <w:pPr>
              <w:jc w:val="center"/>
              <w:rPr>
                <w:rFonts w:ascii="Calibri" w:hAnsi="Calibri" w:cs="Calibri"/>
                <w:color w:val="000000"/>
              </w:rPr>
            </w:pPr>
          </w:p>
        </w:tc>
        <w:tc>
          <w:tcPr>
            <w:tcW w:w="820" w:type="dxa"/>
            <w:tcBorders>
              <w:top w:val="nil"/>
              <w:left w:val="nil"/>
              <w:bottom w:val="nil"/>
              <w:right w:val="nil"/>
            </w:tcBorders>
            <w:noWrap/>
            <w:vAlign w:val="center"/>
            <w:hideMark/>
          </w:tcPr>
          <w:p w14:paraId="48E7F540" w14:textId="77777777" w:rsidR="00643350" w:rsidRPr="00382579" w:rsidRDefault="00643350">
            <w:pPr>
              <w:jc w:val="center"/>
            </w:pPr>
          </w:p>
        </w:tc>
        <w:tc>
          <w:tcPr>
            <w:tcW w:w="980" w:type="dxa"/>
            <w:tcBorders>
              <w:top w:val="nil"/>
              <w:left w:val="nil"/>
              <w:bottom w:val="nil"/>
              <w:right w:val="single" w:sz="8" w:space="0" w:color="auto"/>
            </w:tcBorders>
            <w:noWrap/>
            <w:vAlign w:val="center"/>
            <w:hideMark/>
          </w:tcPr>
          <w:p w14:paraId="05B88114"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11</w:t>
            </w:r>
          </w:p>
        </w:tc>
      </w:tr>
      <w:tr w:rsidR="00643350" w:rsidRPr="00382579" w14:paraId="22E07475" w14:textId="77777777" w:rsidTr="0071264D">
        <w:trPr>
          <w:trHeight w:val="600"/>
        </w:trPr>
        <w:tc>
          <w:tcPr>
            <w:tcW w:w="2891" w:type="dxa"/>
            <w:tcBorders>
              <w:top w:val="nil"/>
              <w:left w:val="single" w:sz="8" w:space="0" w:color="auto"/>
              <w:bottom w:val="nil"/>
              <w:right w:val="nil"/>
            </w:tcBorders>
            <w:vAlign w:val="bottom"/>
            <w:hideMark/>
          </w:tcPr>
          <w:p w14:paraId="390CD611" w14:textId="77777777" w:rsidR="00643350" w:rsidRPr="00382579" w:rsidRDefault="00643350">
            <w:pPr>
              <w:rPr>
                <w:rFonts w:ascii="Calibri" w:hAnsi="Calibri" w:cs="Calibri"/>
                <w:color w:val="000000"/>
              </w:rPr>
            </w:pPr>
            <w:r w:rsidRPr="00382579">
              <w:rPr>
                <w:rFonts w:ascii="Calibri" w:hAnsi="Calibri" w:cs="Calibri"/>
                <w:color w:val="000000"/>
              </w:rPr>
              <w:t>Experimental / quasi-experimental</w:t>
            </w:r>
          </w:p>
        </w:tc>
        <w:tc>
          <w:tcPr>
            <w:tcW w:w="1452" w:type="dxa"/>
            <w:tcBorders>
              <w:top w:val="nil"/>
              <w:left w:val="nil"/>
              <w:bottom w:val="nil"/>
              <w:right w:val="nil"/>
            </w:tcBorders>
            <w:shd w:val="clear" w:color="000000" w:fill="D9D9D9"/>
            <w:noWrap/>
            <w:vAlign w:val="center"/>
            <w:hideMark/>
          </w:tcPr>
          <w:p w14:paraId="3C7D169A" w14:textId="77777777" w:rsidR="00643350" w:rsidRPr="00382579" w:rsidRDefault="00643350">
            <w:pPr>
              <w:jc w:val="center"/>
              <w:rPr>
                <w:rFonts w:ascii="Calibri" w:hAnsi="Calibri" w:cs="Calibri"/>
                <w:color w:val="000000"/>
              </w:rPr>
            </w:pPr>
            <w:r w:rsidRPr="00382579">
              <w:rPr>
                <w:rFonts w:ascii="Calibri" w:hAnsi="Calibri" w:cs="Calibri"/>
                <w:color w:val="000000"/>
              </w:rPr>
              <w:t>9</w:t>
            </w:r>
          </w:p>
        </w:tc>
        <w:tc>
          <w:tcPr>
            <w:tcW w:w="1397" w:type="dxa"/>
            <w:tcBorders>
              <w:top w:val="nil"/>
              <w:left w:val="nil"/>
              <w:bottom w:val="nil"/>
              <w:right w:val="nil"/>
            </w:tcBorders>
            <w:noWrap/>
            <w:vAlign w:val="center"/>
            <w:hideMark/>
          </w:tcPr>
          <w:p w14:paraId="25D8F647" w14:textId="77777777" w:rsidR="00643350" w:rsidRPr="00382579" w:rsidRDefault="00643350">
            <w:pPr>
              <w:jc w:val="center"/>
              <w:rPr>
                <w:rFonts w:ascii="Calibri" w:hAnsi="Calibri" w:cs="Calibri"/>
                <w:color w:val="000000"/>
              </w:rPr>
            </w:pPr>
          </w:p>
        </w:tc>
        <w:tc>
          <w:tcPr>
            <w:tcW w:w="1420" w:type="dxa"/>
            <w:tcBorders>
              <w:top w:val="nil"/>
              <w:left w:val="nil"/>
              <w:bottom w:val="nil"/>
              <w:right w:val="nil"/>
            </w:tcBorders>
            <w:noWrap/>
            <w:vAlign w:val="center"/>
            <w:hideMark/>
          </w:tcPr>
          <w:p w14:paraId="0F6CBD97" w14:textId="77777777" w:rsidR="00643350" w:rsidRPr="00382579" w:rsidRDefault="00643350">
            <w:pPr>
              <w:jc w:val="center"/>
              <w:rPr>
                <w:rFonts w:ascii="Calibri" w:hAnsi="Calibri" w:cs="Calibri"/>
                <w:color w:val="000000"/>
              </w:rPr>
            </w:pPr>
            <w:r w:rsidRPr="00382579">
              <w:rPr>
                <w:rFonts w:ascii="Calibri" w:hAnsi="Calibri" w:cs="Calibri"/>
                <w:color w:val="000000"/>
              </w:rPr>
              <w:t>2</w:t>
            </w:r>
          </w:p>
        </w:tc>
        <w:tc>
          <w:tcPr>
            <w:tcW w:w="820" w:type="dxa"/>
            <w:tcBorders>
              <w:top w:val="nil"/>
              <w:left w:val="nil"/>
              <w:bottom w:val="nil"/>
              <w:right w:val="nil"/>
            </w:tcBorders>
            <w:noWrap/>
            <w:vAlign w:val="center"/>
            <w:hideMark/>
          </w:tcPr>
          <w:p w14:paraId="59B1FB62" w14:textId="77777777" w:rsidR="00643350" w:rsidRPr="00382579" w:rsidRDefault="00643350">
            <w:pPr>
              <w:jc w:val="center"/>
              <w:rPr>
                <w:rFonts w:ascii="Calibri" w:hAnsi="Calibri" w:cs="Calibri"/>
                <w:color w:val="000000"/>
              </w:rPr>
            </w:pPr>
            <w:r w:rsidRPr="00382579">
              <w:rPr>
                <w:rFonts w:ascii="Calibri" w:hAnsi="Calibri" w:cs="Calibri"/>
                <w:color w:val="000000"/>
              </w:rPr>
              <w:t>1</w:t>
            </w:r>
          </w:p>
        </w:tc>
        <w:tc>
          <w:tcPr>
            <w:tcW w:w="980" w:type="dxa"/>
            <w:tcBorders>
              <w:top w:val="nil"/>
              <w:left w:val="nil"/>
              <w:bottom w:val="nil"/>
              <w:right w:val="single" w:sz="8" w:space="0" w:color="auto"/>
            </w:tcBorders>
            <w:noWrap/>
            <w:vAlign w:val="center"/>
            <w:hideMark/>
          </w:tcPr>
          <w:p w14:paraId="1C05BAEA"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12</w:t>
            </w:r>
          </w:p>
        </w:tc>
      </w:tr>
      <w:tr w:rsidR="00643350" w:rsidRPr="00382579" w14:paraId="5385BAD1" w14:textId="77777777" w:rsidTr="0071264D">
        <w:trPr>
          <w:trHeight w:val="300"/>
        </w:trPr>
        <w:tc>
          <w:tcPr>
            <w:tcW w:w="2891" w:type="dxa"/>
            <w:tcBorders>
              <w:top w:val="nil"/>
              <w:left w:val="single" w:sz="8" w:space="0" w:color="auto"/>
              <w:bottom w:val="nil"/>
              <w:right w:val="nil"/>
            </w:tcBorders>
            <w:vAlign w:val="bottom"/>
            <w:hideMark/>
          </w:tcPr>
          <w:p w14:paraId="17E070FE" w14:textId="77777777" w:rsidR="00643350" w:rsidRPr="00382579" w:rsidRDefault="00643350">
            <w:pPr>
              <w:rPr>
                <w:rFonts w:ascii="Calibri" w:hAnsi="Calibri" w:cs="Calibri"/>
                <w:color w:val="000000"/>
              </w:rPr>
            </w:pPr>
            <w:r w:rsidRPr="00382579">
              <w:rPr>
                <w:rFonts w:ascii="Calibri" w:hAnsi="Calibri" w:cs="Calibri"/>
                <w:color w:val="000000"/>
              </w:rPr>
              <w:t>Interview study</w:t>
            </w:r>
          </w:p>
        </w:tc>
        <w:tc>
          <w:tcPr>
            <w:tcW w:w="1452" w:type="dxa"/>
            <w:tcBorders>
              <w:top w:val="nil"/>
              <w:left w:val="nil"/>
              <w:bottom w:val="nil"/>
              <w:right w:val="nil"/>
            </w:tcBorders>
            <w:shd w:val="clear" w:color="000000" w:fill="D9D9D9"/>
            <w:noWrap/>
            <w:vAlign w:val="center"/>
            <w:hideMark/>
          </w:tcPr>
          <w:p w14:paraId="185B7480" w14:textId="77777777" w:rsidR="00643350" w:rsidRPr="00382579" w:rsidRDefault="00643350">
            <w:pPr>
              <w:jc w:val="center"/>
              <w:rPr>
                <w:rFonts w:ascii="Calibri" w:hAnsi="Calibri" w:cs="Calibri"/>
                <w:color w:val="000000"/>
              </w:rPr>
            </w:pPr>
            <w:r w:rsidRPr="00382579">
              <w:rPr>
                <w:rFonts w:ascii="Calibri" w:hAnsi="Calibri" w:cs="Calibri"/>
                <w:color w:val="000000"/>
              </w:rPr>
              <w:t>9</w:t>
            </w:r>
          </w:p>
        </w:tc>
        <w:tc>
          <w:tcPr>
            <w:tcW w:w="1397" w:type="dxa"/>
            <w:tcBorders>
              <w:top w:val="nil"/>
              <w:left w:val="nil"/>
              <w:bottom w:val="nil"/>
              <w:right w:val="nil"/>
            </w:tcBorders>
            <w:shd w:val="clear" w:color="000000" w:fill="D9D9D9"/>
            <w:noWrap/>
            <w:vAlign w:val="center"/>
            <w:hideMark/>
          </w:tcPr>
          <w:p w14:paraId="07911D22" w14:textId="77777777" w:rsidR="00643350" w:rsidRPr="00382579" w:rsidRDefault="00643350">
            <w:pPr>
              <w:jc w:val="center"/>
              <w:rPr>
                <w:rFonts w:ascii="Calibri" w:hAnsi="Calibri" w:cs="Calibri"/>
                <w:color w:val="000000"/>
              </w:rPr>
            </w:pPr>
            <w:r w:rsidRPr="00382579">
              <w:rPr>
                <w:rFonts w:ascii="Calibri" w:hAnsi="Calibri" w:cs="Calibri"/>
                <w:color w:val="000000"/>
              </w:rPr>
              <w:t>9</w:t>
            </w:r>
          </w:p>
        </w:tc>
        <w:tc>
          <w:tcPr>
            <w:tcW w:w="1420" w:type="dxa"/>
            <w:tcBorders>
              <w:top w:val="nil"/>
              <w:left w:val="nil"/>
              <w:bottom w:val="nil"/>
              <w:right w:val="nil"/>
            </w:tcBorders>
            <w:noWrap/>
            <w:vAlign w:val="center"/>
            <w:hideMark/>
          </w:tcPr>
          <w:p w14:paraId="65175187" w14:textId="77777777" w:rsidR="00643350" w:rsidRPr="00382579" w:rsidRDefault="00643350">
            <w:pPr>
              <w:jc w:val="center"/>
              <w:rPr>
                <w:rFonts w:ascii="Calibri" w:hAnsi="Calibri" w:cs="Calibri"/>
                <w:color w:val="000000"/>
              </w:rPr>
            </w:pPr>
          </w:p>
        </w:tc>
        <w:tc>
          <w:tcPr>
            <w:tcW w:w="820" w:type="dxa"/>
            <w:tcBorders>
              <w:top w:val="nil"/>
              <w:left w:val="nil"/>
              <w:bottom w:val="nil"/>
              <w:right w:val="nil"/>
            </w:tcBorders>
            <w:noWrap/>
            <w:vAlign w:val="center"/>
            <w:hideMark/>
          </w:tcPr>
          <w:p w14:paraId="4A9FA061" w14:textId="77777777" w:rsidR="00643350" w:rsidRPr="00382579" w:rsidRDefault="00643350">
            <w:pPr>
              <w:jc w:val="center"/>
              <w:rPr>
                <w:rFonts w:ascii="Calibri" w:hAnsi="Calibri" w:cs="Calibri"/>
                <w:color w:val="000000"/>
              </w:rPr>
            </w:pPr>
            <w:r w:rsidRPr="00382579">
              <w:rPr>
                <w:rFonts w:ascii="Calibri" w:hAnsi="Calibri" w:cs="Calibri"/>
                <w:color w:val="000000"/>
              </w:rPr>
              <w:t>1</w:t>
            </w:r>
          </w:p>
        </w:tc>
        <w:tc>
          <w:tcPr>
            <w:tcW w:w="980" w:type="dxa"/>
            <w:tcBorders>
              <w:top w:val="nil"/>
              <w:left w:val="nil"/>
              <w:bottom w:val="nil"/>
              <w:right w:val="single" w:sz="8" w:space="0" w:color="auto"/>
            </w:tcBorders>
            <w:noWrap/>
            <w:vAlign w:val="center"/>
            <w:hideMark/>
          </w:tcPr>
          <w:p w14:paraId="68D87823"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19</w:t>
            </w:r>
          </w:p>
        </w:tc>
      </w:tr>
      <w:tr w:rsidR="00643350" w:rsidRPr="00382579" w14:paraId="25C70585" w14:textId="77777777" w:rsidTr="0071264D">
        <w:trPr>
          <w:trHeight w:val="300"/>
        </w:trPr>
        <w:tc>
          <w:tcPr>
            <w:tcW w:w="2891" w:type="dxa"/>
            <w:tcBorders>
              <w:top w:val="nil"/>
              <w:left w:val="single" w:sz="8" w:space="0" w:color="auto"/>
              <w:bottom w:val="nil"/>
              <w:right w:val="nil"/>
            </w:tcBorders>
            <w:vAlign w:val="bottom"/>
            <w:hideMark/>
          </w:tcPr>
          <w:p w14:paraId="4C5CD78A" w14:textId="77777777" w:rsidR="00643350" w:rsidRPr="00382579" w:rsidRDefault="00643350">
            <w:pPr>
              <w:rPr>
                <w:rFonts w:ascii="Calibri" w:hAnsi="Calibri" w:cs="Calibri"/>
                <w:color w:val="000000"/>
              </w:rPr>
            </w:pPr>
            <w:r w:rsidRPr="00382579">
              <w:rPr>
                <w:rFonts w:ascii="Calibri" w:hAnsi="Calibri" w:cs="Calibri"/>
                <w:color w:val="000000"/>
              </w:rPr>
              <w:t>Participant observation</w:t>
            </w:r>
          </w:p>
        </w:tc>
        <w:tc>
          <w:tcPr>
            <w:tcW w:w="1452" w:type="dxa"/>
            <w:tcBorders>
              <w:top w:val="nil"/>
              <w:left w:val="nil"/>
              <w:bottom w:val="nil"/>
              <w:right w:val="nil"/>
            </w:tcBorders>
            <w:noWrap/>
            <w:vAlign w:val="center"/>
            <w:hideMark/>
          </w:tcPr>
          <w:p w14:paraId="20C5AD64" w14:textId="77777777" w:rsidR="00643350" w:rsidRPr="00382579" w:rsidRDefault="00643350">
            <w:pPr>
              <w:jc w:val="center"/>
              <w:rPr>
                <w:rFonts w:ascii="Calibri" w:hAnsi="Calibri" w:cs="Calibri"/>
                <w:color w:val="000000"/>
              </w:rPr>
            </w:pPr>
            <w:r w:rsidRPr="00382579">
              <w:rPr>
                <w:rFonts w:ascii="Calibri" w:hAnsi="Calibri" w:cs="Calibri"/>
                <w:color w:val="000000"/>
              </w:rPr>
              <w:t>1</w:t>
            </w:r>
          </w:p>
        </w:tc>
        <w:tc>
          <w:tcPr>
            <w:tcW w:w="1397" w:type="dxa"/>
            <w:tcBorders>
              <w:top w:val="nil"/>
              <w:left w:val="nil"/>
              <w:bottom w:val="nil"/>
              <w:right w:val="nil"/>
            </w:tcBorders>
            <w:noWrap/>
            <w:vAlign w:val="center"/>
            <w:hideMark/>
          </w:tcPr>
          <w:p w14:paraId="5A998A27" w14:textId="77777777" w:rsidR="00643350" w:rsidRPr="00382579" w:rsidRDefault="00643350">
            <w:pPr>
              <w:jc w:val="center"/>
              <w:rPr>
                <w:rFonts w:ascii="Calibri" w:hAnsi="Calibri" w:cs="Calibri"/>
                <w:color w:val="000000"/>
              </w:rPr>
            </w:pPr>
          </w:p>
        </w:tc>
        <w:tc>
          <w:tcPr>
            <w:tcW w:w="1420" w:type="dxa"/>
            <w:tcBorders>
              <w:top w:val="nil"/>
              <w:left w:val="nil"/>
              <w:bottom w:val="nil"/>
              <w:right w:val="nil"/>
            </w:tcBorders>
            <w:noWrap/>
            <w:vAlign w:val="center"/>
            <w:hideMark/>
          </w:tcPr>
          <w:p w14:paraId="4F55D62E" w14:textId="77777777" w:rsidR="00643350" w:rsidRPr="00382579" w:rsidRDefault="00643350">
            <w:pPr>
              <w:jc w:val="center"/>
            </w:pPr>
          </w:p>
        </w:tc>
        <w:tc>
          <w:tcPr>
            <w:tcW w:w="820" w:type="dxa"/>
            <w:tcBorders>
              <w:top w:val="nil"/>
              <w:left w:val="nil"/>
              <w:bottom w:val="nil"/>
              <w:right w:val="nil"/>
            </w:tcBorders>
            <w:noWrap/>
            <w:vAlign w:val="center"/>
            <w:hideMark/>
          </w:tcPr>
          <w:p w14:paraId="2B067EA6" w14:textId="77777777" w:rsidR="00643350" w:rsidRPr="00382579" w:rsidRDefault="00643350">
            <w:pPr>
              <w:jc w:val="center"/>
            </w:pPr>
          </w:p>
        </w:tc>
        <w:tc>
          <w:tcPr>
            <w:tcW w:w="980" w:type="dxa"/>
            <w:tcBorders>
              <w:top w:val="nil"/>
              <w:left w:val="nil"/>
              <w:bottom w:val="nil"/>
              <w:right w:val="single" w:sz="8" w:space="0" w:color="auto"/>
            </w:tcBorders>
            <w:noWrap/>
            <w:vAlign w:val="center"/>
            <w:hideMark/>
          </w:tcPr>
          <w:p w14:paraId="33357B46"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1</w:t>
            </w:r>
          </w:p>
        </w:tc>
      </w:tr>
      <w:tr w:rsidR="00643350" w:rsidRPr="00382579" w14:paraId="1F163AEA" w14:textId="77777777" w:rsidTr="0071264D">
        <w:trPr>
          <w:trHeight w:val="300"/>
        </w:trPr>
        <w:tc>
          <w:tcPr>
            <w:tcW w:w="2891" w:type="dxa"/>
            <w:tcBorders>
              <w:top w:val="nil"/>
              <w:left w:val="single" w:sz="8" w:space="0" w:color="auto"/>
              <w:bottom w:val="nil"/>
              <w:right w:val="nil"/>
            </w:tcBorders>
            <w:vAlign w:val="bottom"/>
            <w:hideMark/>
          </w:tcPr>
          <w:p w14:paraId="5F2B9808" w14:textId="77777777" w:rsidR="00643350" w:rsidRPr="00382579" w:rsidRDefault="00643350">
            <w:pPr>
              <w:rPr>
                <w:rFonts w:ascii="Calibri" w:hAnsi="Calibri" w:cs="Calibri"/>
                <w:color w:val="000000"/>
              </w:rPr>
            </w:pPr>
            <w:r w:rsidRPr="00382579">
              <w:rPr>
                <w:rFonts w:ascii="Calibri" w:hAnsi="Calibri" w:cs="Calibri"/>
                <w:color w:val="000000"/>
              </w:rPr>
              <w:t>Survey</w:t>
            </w:r>
          </w:p>
        </w:tc>
        <w:tc>
          <w:tcPr>
            <w:tcW w:w="1452" w:type="dxa"/>
            <w:tcBorders>
              <w:top w:val="nil"/>
              <w:left w:val="nil"/>
              <w:bottom w:val="nil"/>
              <w:right w:val="nil"/>
            </w:tcBorders>
            <w:noWrap/>
            <w:vAlign w:val="center"/>
            <w:hideMark/>
          </w:tcPr>
          <w:p w14:paraId="26744725" w14:textId="77777777" w:rsidR="00643350" w:rsidRPr="00382579" w:rsidRDefault="00643350">
            <w:pPr>
              <w:jc w:val="center"/>
              <w:rPr>
                <w:rFonts w:ascii="Calibri" w:hAnsi="Calibri" w:cs="Calibri"/>
                <w:color w:val="000000"/>
              </w:rPr>
            </w:pPr>
            <w:r w:rsidRPr="00382579">
              <w:rPr>
                <w:rFonts w:ascii="Calibri" w:hAnsi="Calibri" w:cs="Calibri"/>
                <w:color w:val="000000"/>
              </w:rPr>
              <w:t>7</w:t>
            </w:r>
          </w:p>
        </w:tc>
        <w:tc>
          <w:tcPr>
            <w:tcW w:w="1397" w:type="dxa"/>
            <w:tcBorders>
              <w:top w:val="nil"/>
              <w:left w:val="nil"/>
              <w:bottom w:val="nil"/>
              <w:right w:val="nil"/>
            </w:tcBorders>
            <w:noWrap/>
            <w:vAlign w:val="center"/>
            <w:hideMark/>
          </w:tcPr>
          <w:p w14:paraId="55DA20EB" w14:textId="77777777" w:rsidR="00643350" w:rsidRPr="00382579" w:rsidRDefault="00643350">
            <w:pPr>
              <w:jc w:val="center"/>
              <w:rPr>
                <w:rFonts w:ascii="Calibri" w:hAnsi="Calibri" w:cs="Calibri"/>
                <w:color w:val="000000"/>
              </w:rPr>
            </w:pPr>
            <w:r w:rsidRPr="00382579">
              <w:rPr>
                <w:rFonts w:ascii="Calibri" w:hAnsi="Calibri" w:cs="Calibri"/>
                <w:color w:val="000000"/>
              </w:rPr>
              <w:t>6</w:t>
            </w:r>
          </w:p>
        </w:tc>
        <w:tc>
          <w:tcPr>
            <w:tcW w:w="1420" w:type="dxa"/>
            <w:tcBorders>
              <w:top w:val="nil"/>
              <w:left w:val="nil"/>
              <w:bottom w:val="nil"/>
              <w:right w:val="nil"/>
            </w:tcBorders>
            <w:noWrap/>
            <w:vAlign w:val="center"/>
            <w:hideMark/>
          </w:tcPr>
          <w:p w14:paraId="2C2DC657" w14:textId="77777777" w:rsidR="00643350" w:rsidRPr="00382579" w:rsidRDefault="00643350">
            <w:pPr>
              <w:jc w:val="center"/>
              <w:rPr>
                <w:rFonts w:ascii="Calibri" w:hAnsi="Calibri" w:cs="Calibri"/>
                <w:color w:val="000000"/>
              </w:rPr>
            </w:pPr>
            <w:r w:rsidRPr="00382579">
              <w:rPr>
                <w:rFonts w:ascii="Calibri" w:hAnsi="Calibri" w:cs="Calibri"/>
                <w:color w:val="000000"/>
              </w:rPr>
              <w:t>3</w:t>
            </w:r>
          </w:p>
        </w:tc>
        <w:tc>
          <w:tcPr>
            <w:tcW w:w="820" w:type="dxa"/>
            <w:tcBorders>
              <w:top w:val="nil"/>
              <w:left w:val="nil"/>
              <w:bottom w:val="nil"/>
              <w:right w:val="nil"/>
            </w:tcBorders>
            <w:noWrap/>
            <w:vAlign w:val="center"/>
            <w:hideMark/>
          </w:tcPr>
          <w:p w14:paraId="731ED1D1" w14:textId="77777777" w:rsidR="00643350" w:rsidRPr="00382579" w:rsidRDefault="00643350">
            <w:pPr>
              <w:jc w:val="center"/>
              <w:rPr>
                <w:rFonts w:ascii="Calibri" w:hAnsi="Calibri" w:cs="Calibri"/>
                <w:color w:val="000000"/>
              </w:rPr>
            </w:pPr>
          </w:p>
        </w:tc>
        <w:tc>
          <w:tcPr>
            <w:tcW w:w="980" w:type="dxa"/>
            <w:tcBorders>
              <w:top w:val="nil"/>
              <w:left w:val="nil"/>
              <w:bottom w:val="nil"/>
              <w:right w:val="single" w:sz="8" w:space="0" w:color="auto"/>
            </w:tcBorders>
            <w:noWrap/>
            <w:vAlign w:val="center"/>
            <w:hideMark/>
          </w:tcPr>
          <w:p w14:paraId="00643372"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16</w:t>
            </w:r>
          </w:p>
        </w:tc>
      </w:tr>
      <w:tr w:rsidR="00643350" w:rsidRPr="00382579" w14:paraId="72F922AD" w14:textId="77777777" w:rsidTr="0071264D">
        <w:trPr>
          <w:trHeight w:val="315"/>
        </w:trPr>
        <w:tc>
          <w:tcPr>
            <w:tcW w:w="2891" w:type="dxa"/>
            <w:tcBorders>
              <w:top w:val="single" w:sz="4" w:space="0" w:color="9BC2E6"/>
              <w:left w:val="single" w:sz="8" w:space="0" w:color="auto"/>
              <w:bottom w:val="single" w:sz="8" w:space="0" w:color="auto"/>
              <w:right w:val="nil"/>
            </w:tcBorders>
            <w:shd w:val="clear" w:color="DDEBF7" w:fill="BFBFBF"/>
            <w:vAlign w:val="bottom"/>
            <w:hideMark/>
          </w:tcPr>
          <w:p w14:paraId="32DED3B7" w14:textId="77777777" w:rsidR="00643350" w:rsidRPr="00382579" w:rsidRDefault="00643350">
            <w:pPr>
              <w:rPr>
                <w:rFonts w:ascii="Calibri" w:hAnsi="Calibri" w:cs="Calibri"/>
                <w:b/>
                <w:bCs/>
                <w:color w:val="000000"/>
              </w:rPr>
            </w:pPr>
            <w:r w:rsidRPr="00382579">
              <w:rPr>
                <w:rFonts w:ascii="Calibri" w:hAnsi="Calibri" w:cs="Calibri"/>
                <w:b/>
                <w:bCs/>
                <w:color w:val="000000"/>
              </w:rPr>
              <w:t>Grand Total</w:t>
            </w:r>
          </w:p>
        </w:tc>
        <w:tc>
          <w:tcPr>
            <w:tcW w:w="1452" w:type="dxa"/>
            <w:tcBorders>
              <w:top w:val="single" w:sz="4" w:space="0" w:color="9BC2E6"/>
              <w:left w:val="nil"/>
              <w:bottom w:val="single" w:sz="8" w:space="0" w:color="auto"/>
              <w:right w:val="nil"/>
            </w:tcBorders>
            <w:shd w:val="clear" w:color="DDEBF7" w:fill="BFBFBF"/>
            <w:noWrap/>
            <w:vAlign w:val="center"/>
            <w:hideMark/>
          </w:tcPr>
          <w:p w14:paraId="296CD7E4"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76</w:t>
            </w:r>
          </w:p>
        </w:tc>
        <w:tc>
          <w:tcPr>
            <w:tcW w:w="1397" w:type="dxa"/>
            <w:tcBorders>
              <w:top w:val="single" w:sz="4" w:space="0" w:color="9BC2E6"/>
              <w:left w:val="nil"/>
              <w:bottom w:val="single" w:sz="8" w:space="0" w:color="auto"/>
              <w:right w:val="nil"/>
            </w:tcBorders>
            <w:shd w:val="clear" w:color="DDEBF7" w:fill="BFBFBF"/>
            <w:noWrap/>
            <w:vAlign w:val="center"/>
            <w:hideMark/>
          </w:tcPr>
          <w:p w14:paraId="4FA31973"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36</w:t>
            </w:r>
          </w:p>
        </w:tc>
        <w:tc>
          <w:tcPr>
            <w:tcW w:w="1420" w:type="dxa"/>
            <w:tcBorders>
              <w:top w:val="single" w:sz="4" w:space="0" w:color="9BC2E6"/>
              <w:left w:val="nil"/>
              <w:bottom w:val="single" w:sz="8" w:space="0" w:color="auto"/>
              <w:right w:val="nil"/>
            </w:tcBorders>
            <w:shd w:val="clear" w:color="DDEBF7" w:fill="BFBFBF"/>
            <w:noWrap/>
            <w:vAlign w:val="center"/>
            <w:hideMark/>
          </w:tcPr>
          <w:p w14:paraId="3F141F87"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8</w:t>
            </w:r>
          </w:p>
        </w:tc>
        <w:tc>
          <w:tcPr>
            <w:tcW w:w="820" w:type="dxa"/>
            <w:tcBorders>
              <w:top w:val="single" w:sz="4" w:space="0" w:color="9BC2E6"/>
              <w:left w:val="nil"/>
              <w:bottom w:val="single" w:sz="8" w:space="0" w:color="auto"/>
              <w:right w:val="nil"/>
            </w:tcBorders>
            <w:shd w:val="clear" w:color="DDEBF7" w:fill="BFBFBF"/>
            <w:noWrap/>
            <w:vAlign w:val="center"/>
            <w:hideMark/>
          </w:tcPr>
          <w:p w14:paraId="020A5437"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4</w:t>
            </w:r>
          </w:p>
        </w:tc>
        <w:tc>
          <w:tcPr>
            <w:tcW w:w="980" w:type="dxa"/>
            <w:tcBorders>
              <w:top w:val="single" w:sz="4" w:space="0" w:color="9BC2E6"/>
              <w:left w:val="nil"/>
              <w:bottom w:val="single" w:sz="8" w:space="0" w:color="auto"/>
              <w:right w:val="single" w:sz="8" w:space="0" w:color="auto"/>
            </w:tcBorders>
            <w:shd w:val="clear" w:color="DDEBF7" w:fill="BFBFBF"/>
            <w:noWrap/>
            <w:vAlign w:val="center"/>
            <w:hideMark/>
          </w:tcPr>
          <w:p w14:paraId="614D711C"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124</w:t>
            </w:r>
          </w:p>
        </w:tc>
      </w:tr>
    </w:tbl>
    <w:p w14:paraId="199795BD" w14:textId="1593A045" w:rsidR="0071264D" w:rsidRPr="00382579" w:rsidRDefault="0071264D" w:rsidP="0071264D">
      <w:pPr>
        <w:jc w:val="both"/>
        <w:rPr>
          <w:b/>
          <w:bCs/>
          <w:lang w:val="en-US"/>
        </w:rPr>
      </w:pPr>
      <w:r w:rsidRPr="00382579">
        <w:rPr>
          <w:b/>
          <w:bCs/>
          <w:lang w:val="en-US"/>
        </w:rPr>
        <w:t xml:space="preserve">Table 4. </w:t>
      </w:r>
      <w:r w:rsidR="00A16132" w:rsidRPr="00382579">
        <w:rPr>
          <w:b/>
          <w:bCs/>
        </w:rPr>
        <w:t>Distribution of research methods across NFIA subject domains</w:t>
      </w:r>
      <w:r w:rsidRPr="00382579">
        <w:br/>
      </w:r>
      <w:r w:rsidRPr="00382579">
        <w:rPr>
          <w:i/>
          <w:iCs/>
        </w:rPr>
        <w:t>Source: Author’s analysis</w:t>
      </w:r>
    </w:p>
    <w:p w14:paraId="20AB3E31" w14:textId="77777777" w:rsidR="00EF62E0" w:rsidRPr="00382579" w:rsidRDefault="00EF62E0" w:rsidP="00EF62E0">
      <w:pPr>
        <w:widowControl w:val="0"/>
        <w:spacing w:after="160"/>
        <w:jc w:val="both"/>
      </w:pPr>
    </w:p>
    <w:p w14:paraId="41BF0583" w14:textId="3F75EE22" w:rsidR="0091769A" w:rsidRDefault="0091769A" w:rsidP="0091769A">
      <w:pPr>
        <w:widowControl w:val="0"/>
        <w:spacing w:after="160"/>
        <w:ind w:firstLine="420"/>
        <w:jc w:val="both"/>
      </w:pPr>
      <w:r>
        <w:t>Table 4 reveals distinct methodological preferences across NFIA domains. Archival and statistical analyses dominate CSR, ESG, and sustainability assurance research, leveraging the increasing availability of large-sample non-financial datasets. Conversely, performance audit research relies predominantly on qualitative approaches—case studies, interviews, and document analysis—to examine the institutional processes and organizational practices unique to public-sector settings.</w:t>
      </w:r>
      <w:r>
        <w:t xml:space="preserve"> </w:t>
      </w:r>
      <w:r>
        <w:t>While CSR and sustainability studies maintain a balance between quantitative and qualitative designs, experimental and quasi-experimental methods are almost exclusively confined to this domain. Survey-based research remains distributed across both sustainability and performance audit contexts.</w:t>
      </w:r>
    </w:p>
    <w:p w14:paraId="4D0BAD34" w14:textId="66E25662" w:rsidR="007C1E62" w:rsidRPr="00382579" w:rsidRDefault="0091769A" w:rsidP="0091769A">
      <w:pPr>
        <w:widowControl w:val="0"/>
        <w:spacing w:after="160"/>
        <w:ind w:firstLine="420"/>
        <w:jc w:val="both"/>
        <w:rPr>
          <w:i/>
          <w:iCs/>
        </w:rPr>
      </w:pPr>
      <w:r>
        <w:t>Collectively, these results document a transition in NFIA research: from early public-sector performance auditing toward a methodologically plural field currently dominated by sustainability-focused studies across diverse institutional settings.</w:t>
      </w:r>
      <w:r w:rsidR="007C1E62" w:rsidRPr="00382579">
        <w:rPr>
          <w:i/>
          <w:iCs/>
        </w:rPr>
        <w:br w:type="page"/>
      </w:r>
    </w:p>
    <w:p w14:paraId="69B53B5A" w14:textId="77777777" w:rsidR="002344FD" w:rsidRPr="00382579" w:rsidRDefault="002344FD" w:rsidP="00FA1126">
      <w:pPr>
        <w:jc w:val="both"/>
        <w:rPr>
          <w:i/>
          <w:iCs/>
          <w:highlight w:val="cyan"/>
        </w:rPr>
        <w:sectPr w:rsidR="002344FD" w:rsidRPr="00382579" w:rsidSect="007C1E62">
          <w:pgSz w:w="11906" w:h="16838"/>
          <w:pgMar w:top="1440" w:right="1440" w:bottom="1440" w:left="1440" w:header="851" w:footer="992" w:gutter="0"/>
          <w:cols w:space="425"/>
          <w:docGrid w:type="lines" w:linePitch="326"/>
        </w:sectPr>
      </w:pPr>
    </w:p>
    <w:p w14:paraId="59053906" w14:textId="3F44CA24" w:rsidR="00873C97" w:rsidRPr="00382579" w:rsidRDefault="00A03371" w:rsidP="00FA1126">
      <w:pPr>
        <w:jc w:val="both"/>
      </w:pPr>
      <w:r w:rsidRPr="008B0133">
        <w:rPr>
          <w:i/>
          <w:iCs/>
        </w:rPr>
        <w:lastRenderedPageBreak/>
        <w:t>Bibliometric Results</w:t>
      </w:r>
    </w:p>
    <w:p w14:paraId="074C1302" w14:textId="14C5AFBB" w:rsidR="00612FFB" w:rsidRPr="00382579" w:rsidRDefault="00FA600F" w:rsidP="00862CAE">
      <w:pPr>
        <w:pStyle w:val="ListParagraph"/>
        <w:ind w:left="360" w:firstLine="491"/>
        <w:jc w:val="both"/>
      </w:pPr>
      <w:r w:rsidRPr="00382579">
        <w:t xml:space="preserve"> </w:t>
      </w:r>
    </w:p>
    <w:p w14:paraId="13706E69" w14:textId="77777777" w:rsidR="00EE23F5" w:rsidRPr="00382579" w:rsidRDefault="00EE23F5" w:rsidP="00EE23F5">
      <w:r w:rsidRPr="00382579">
        <w:rPr>
          <w:noProof/>
        </w:rPr>
        <w:drawing>
          <wp:inline distT="0" distB="0" distL="0" distR="0" wp14:anchorId="2FB6854D" wp14:editId="45F6B2D1">
            <wp:extent cx="8048847" cy="1781950"/>
            <wp:effectExtent l="0" t="0" r="0" b="8890"/>
            <wp:docPr id="638083172" name="Picture 1" descr="A close-up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83172" name="Picture 1" descr="A close-up of a network&#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3973" b="28538"/>
                    <a:stretch>
                      <a:fillRect/>
                    </a:stretch>
                  </pic:blipFill>
                  <pic:spPr bwMode="auto">
                    <a:xfrm>
                      <a:off x="0" y="0"/>
                      <a:ext cx="8134417" cy="1800894"/>
                    </a:xfrm>
                    <a:prstGeom prst="rect">
                      <a:avLst/>
                    </a:prstGeom>
                    <a:noFill/>
                    <a:ln>
                      <a:noFill/>
                    </a:ln>
                    <a:extLst>
                      <a:ext uri="{53640926-AAD7-44D8-BBD7-CCE9431645EC}">
                        <a14:shadowObscured xmlns:a14="http://schemas.microsoft.com/office/drawing/2010/main"/>
                      </a:ext>
                    </a:extLst>
                  </pic:spPr>
                </pic:pic>
              </a:graphicData>
            </a:graphic>
          </wp:inline>
        </w:drawing>
      </w:r>
    </w:p>
    <w:p w14:paraId="51D0CA9F" w14:textId="51FA1359" w:rsidR="00BB3A39" w:rsidRPr="00382579" w:rsidRDefault="00BB3A39" w:rsidP="00EE23F5">
      <w:r w:rsidRPr="00382579">
        <w:rPr>
          <w:noProof/>
        </w:rPr>
        <w:drawing>
          <wp:inline distT="0" distB="0" distL="0" distR="0" wp14:anchorId="01C51228" wp14:editId="6BA82780">
            <wp:extent cx="8038214" cy="2811795"/>
            <wp:effectExtent l="0" t="0" r="1270" b="7620"/>
            <wp:docPr id="760322046" name="Picture 1" descr="A blurry image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22046" name="Picture 1" descr="A blurry image of text&#10;&#10;AI-generated content may be incorrect."/>
                    <pic:cNvPicPr/>
                  </pic:nvPicPr>
                  <pic:blipFill rotWithShape="1">
                    <a:blip r:embed="rId10"/>
                    <a:srcRect t="12282" b="5047"/>
                    <a:stretch>
                      <a:fillRect/>
                    </a:stretch>
                  </pic:blipFill>
                  <pic:spPr bwMode="auto">
                    <a:xfrm>
                      <a:off x="0" y="0"/>
                      <a:ext cx="8066572" cy="2821715"/>
                    </a:xfrm>
                    <a:prstGeom prst="rect">
                      <a:avLst/>
                    </a:prstGeom>
                    <a:ln>
                      <a:noFill/>
                    </a:ln>
                    <a:extLst>
                      <a:ext uri="{53640926-AAD7-44D8-BBD7-CCE9431645EC}">
                        <a14:shadowObscured xmlns:a14="http://schemas.microsoft.com/office/drawing/2010/main"/>
                      </a:ext>
                    </a:extLst>
                  </pic:spPr>
                </pic:pic>
              </a:graphicData>
            </a:graphic>
          </wp:inline>
        </w:drawing>
      </w:r>
    </w:p>
    <w:p w14:paraId="5B4874FB" w14:textId="27C7A151" w:rsidR="00EE23F5" w:rsidRPr="00382579" w:rsidRDefault="00EE23F5" w:rsidP="00EE23F5">
      <w:r w:rsidRPr="00382579">
        <w:rPr>
          <w:b/>
          <w:bCs/>
        </w:rPr>
        <w:t xml:space="preserve">Figure </w:t>
      </w:r>
      <w:r w:rsidR="005F6308" w:rsidRPr="00382579">
        <w:rPr>
          <w:b/>
          <w:bCs/>
        </w:rPr>
        <w:t>3</w:t>
      </w:r>
      <w:r w:rsidRPr="00382579">
        <w:rPr>
          <w:b/>
          <w:bCs/>
        </w:rPr>
        <w:t>.</w:t>
      </w:r>
      <w:r w:rsidRPr="00382579">
        <w:t xml:space="preserve"> </w:t>
      </w:r>
      <w:r w:rsidR="00B7709F" w:rsidRPr="00382579">
        <w:t>Internal citation network and d</w:t>
      </w:r>
      <w:r w:rsidR="006635CF" w:rsidRPr="00382579">
        <w:t>ensity visualisation of influential NFIA studies based on within-corpus citations</w:t>
      </w:r>
      <w:r w:rsidR="006635CF" w:rsidRPr="00382579">
        <w:br/>
      </w:r>
      <w:r w:rsidR="006635CF" w:rsidRPr="00382579">
        <w:rPr>
          <w:i/>
          <w:iCs/>
        </w:rPr>
        <w:t>Source: Author’s analysis</w:t>
      </w:r>
    </w:p>
    <w:p w14:paraId="67AF77A2" w14:textId="2A002780" w:rsidR="00A72A3F" w:rsidRPr="00382579" w:rsidRDefault="00426FFE" w:rsidP="00426FFE">
      <w:pPr>
        <w:widowControl w:val="0"/>
        <w:spacing w:after="160"/>
        <w:ind w:firstLine="420"/>
        <w:jc w:val="both"/>
      </w:pPr>
      <w:r>
        <w:lastRenderedPageBreak/>
        <w:t>The internal citation structure (Figure 3) reveals a dense, coherent research field. With 114 of the 124 studies linked through within-corpus references, the literature is characteri</w:t>
      </w:r>
      <w:r w:rsidR="00B24C75">
        <w:t>s</w:t>
      </w:r>
      <w:r>
        <w:t>ed by shared intellectual foundations rather than isolated inquiries. Density mapping identifies O’Dwyer (2011), Perego and Kolk (2012), and Casey and Grenier (2015) as the corpus’s primary intellectual anchors.</w:t>
      </w:r>
      <w:r>
        <w:t xml:space="preserve"> </w:t>
      </w:r>
      <w:r>
        <w:t>Collectively, these foundational works establish the core empirical themes of the field: O’Dwyer (2011) examines the construction of auditability in the absence of standards; Perego and Kolk (2012) document the global diffusion and symbolic decoupling of sustainability assurance; and Casey and Grenier (2015) demonstrate the capital market benefits of accounting-led CSR assurance. These studies provide the empirical basis for the thematic synthesis that follows.</w:t>
      </w:r>
      <w:r>
        <w:t xml:space="preserve"> </w:t>
      </w:r>
      <w:r>
        <w:t xml:space="preserve">Beyond internal links, the corpus remains anchored by foundational external theory and practitioner developments. Power (1997) is cited by nearly half of the reviewed studies, confirming the enduring influence of the original "audit society" thesis. </w:t>
      </w:r>
      <w:r w:rsidR="005D6A17" w:rsidRPr="005D6A17">
        <w:t>Furthermore, the extensive citation of practitioner reports—particularly from KPMG—may indicate that academic research in NFIA has often developed in close dialogue with professional innovations, rather than setting the pace of assurance-framework development (Perego &amp; Kolk, 2012; Casey &amp; Grenier, 2015).</w:t>
      </w:r>
      <w:r w:rsidR="005D6A17">
        <w:t xml:space="preserve"> </w:t>
      </w:r>
      <w:r>
        <w:t>This practitioner-led trajectory underscores the field's pragmatic origins and its ongoing struggle to stabilize theoretical boundaries.</w:t>
      </w:r>
    </w:p>
    <w:p w14:paraId="0FD9ADE5" w14:textId="2CF0F4AC" w:rsidR="00931ED4" w:rsidRPr="00382579" w:rsidRDefault="00931ED4">
      <w:pPr>
        <w:spacing w:after="160" w:line="278" w:lineRule="auto"/>
      </w:pPr>
      <w:r w:rsidRPr="00382579">
        <w:br w:type="page"/>
      </w:r>
    </w:p>
    <w:p w14:paraId="04A52CAC" w14:textId="77777777" w:rsidR="00701F07" w:rsidRPr="00382579" w:rsidRDefault="00701F07" w:rsidP="00701F07">
      <w:r w:rsidRPr="00382579">
        <w:rPr>
          <w:noProof/>
        </w:rPr>
        <w:lastRenderedPageBreak/>
        <w:drawing>
          <wp:inline distT="0" distB="0" distL="0" distR="0" wp14:anchorId="17B50268" wp14:editId="293667C3">
            <wp:extent cx="8863330" cy="4937228"/>
            <wp:effectExtent l="0" t="0" r="0" b="0"/>
            <wp:docPr id="186164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5687"/>
                    <a:stretch>
                      <a:fillRect/>
                    </a:stretch>
                  </pic:blipFill>
                  <pic:spPr bwMode="auto">
                    <a:xfrm>
                      <a:off x="0" y="0"/>
                      <a:ext cx="8863330" cy="4937228"/>
                    </a:xfrm>
                    <a:prstGeom prst="rect">
                      <a:avLst/>
                    </a:prstGeom>
                    <a:noFill/>
                    <a:ln>
                      <a:noFill/>
                    </a:ln>
                    <a:extLst>
                      <a:ext uri="{53640926-AAD7-44D8-BBD7-CCE9431645EC}">
                        <a14:shadowObscured xmlns:a14="http://schemas.microsoft.com/office/drawing/2010/main"/>
                      </a:ext>
                    </a:extLst>
                  </pic:spPr>
                </pic:pic>
              </a:graphicData>
            </a:graphic>
          </wp:inline>
        </w:drawing>
      </w:r>
    </w:p>
    <w:p w14:paraId="4FAF6B52" w14:textId="38D56832" w:rsidR="00701F07" w:rsidRPr="00382579" w:rsidRDefault="00701F07" w:rsidP="00701F07">
      <w:r w:rsidRPr="00382579">
        <w:rPr>
          <w:b/>
          <w:bCs/>
        </w:rPr>
        <w:t>Figure 4.</w:t>
      </w:r>
      <w:r w:rsidRPr="00382579">
        <w:t xml:space="preserve"> Network visualisation of keyword co-occurrence in the NFIA literature</w:t>
      </w:r>
    </w:p>
    <w:p w14:paraId="6F9477F7" w14:textId="2DCB369E" w:rsidR="00E13871" w:rsidRPr="00382579" w:rsidRDefault="00E13871" w:rsidP="00701F07">
      <w:r w:rsidRPr="00382579">
        <w:rPr>
          <w:i/>
          <w:iCs/>
        </w:rPr>
        <w:t>Source: Author’s analysis</w:t>
      </w:r>
    </w:p>
    <w:p w14:paraId="32E73317" w14:textId="77777777" w:rsidR="00931ED4" w:rsidRPr="00382579" w:rsidRDefault="00931ED4" w:rsidP="00931ED4">
      <w:pPr>
        <w:widowControl w:val="0"/>
        <w:spacing w:after="160"/>
        <w:ind w:firstLine="420"/>
        <w:jc w:val="both"/>
      </w:pPr>
    </w:p>
    <w:p w14:paraId="6E0130B9" w14:textId="77777777" w:rsidR="003C1875" w:rsidRPr="00382579" w:rsidRDefault="003C1875" w:rsidP="00BA132E">
      <w:pPr>
        <w:spacing w:after="160" w:line="278" w:lineRule="auto"/>
        <w:ind w:firstLine="420"/>
        <w:rPr>
          <w:noProof/>
        </w:rPr>
        <w:sectPr w:rsidR="003C1875" w:rsidRPr="00382579" w:rsidSect="002344FD">
          <w:pgSz w:w="16838" w:h="11906" w:orient="landscape"/>
          <w:pgMar w:top="1440" w:right="1440" w:bottom="1440" w:left="1440" w:header="851" w:footer="992" w:gutter="0"/>
          <w:cols w:space="425"/>
          <w:docGrid w:type="linesAndChars" w:linePitch="326"/>
        </w:sectPr>
      </w:pPr>
    </w:p>
    <w:p w14:paraId="212A2B49" w14:textId="3AAD73F5" w:rsidR="00012EEF" w:rsidRDefault="00012EEF" w:rsidP="00012EEF">
      <w:pPr>
        <w:spacing w:after="160" w:line="278" w:lineRule="auto"/>
        <w:ind w:firstLine="420"/>
        <w:rPr>
          <w:noProof/>
        </w:rPr>
      </w:pPr>
      <w:r>
        <w:rPr>
          <w:noProof/>
        </w:rPr>
        <w:lastRenderedPageBreak/>
        <w:t>Figure 4 visuali</w:t>
      </w:r>
      <w:r w:rsidR="00940E59">
        <w:rPr>
          <w:noProof/>
        </w:rPr>
        <w:t>s</w:t>
      </w:r>
      <w:r>
        <w:rPr>
          <w:noProof/>
        </w:rPr>
        <w:t>es the keyword co-occurrence network, constructed using a refined thesaurus to reduce lexical fragmentation. We employed a full-count matrix to consolidate synonyms into high-order conceptual categories—for instance, normalizing organizational forms to “firm” and disparate assurance terms to “assurance.” Noise reduction was achieved by removing generic methodological and academic descriptors, shifting the representation from surface-level variation toward the field’s substantive conceptual core.</w:t>
      </w:r>
      <w:r>
        <w:rPr>
          <w:noProof/>
        </w:rPr>
        <w:t xml:space="preserve"> </w:t>
      </w:r>
      <w:r w:rsidR="00842603" w:rsidRPr="00842603">
        <w:rPr>
          <w:noProof/>
        </w:rPr>
        <w:t>The network appears dense, although this likely reflects shared citation practices rather than conceptual consensus.</w:t>
      </w:r>
      <w:r w:rsidR="00842603">
        <w:rPr>
          <w:noProof/>
        </w:rPr>
        <w:t xml:space="preserve"> </w:t>
      </w:r>
      <w:r>
        <w:rPr>
          <w:noProof/>
        </w:rPr>
        <w:t>Despite spanning performance auditing, CSR, and ESG assurance, the literature converges around a shared core of audit, assurance, firms, reporting quality, and governance. Cluster differences are matters of emphasis rather than isolation: performance audit research foregrounds public-sector accountability, while sustainability studies prioritize organizational transparency and stakeholder expectations. Their dense interconnection indicates that NFIA research is structured by common institutional logics rather than fragmented silos.</w:t>
      </w:r>
    </w:p>
    <w:p w14:paraId="54EA4DC8" w14:textId="69CB6323" w:rsidR="0039582D" w:rsidRPr="00382579" w:rsidRDefault="00012EEF" w:rsidP="00012EEF">
      <w:pPr>
        <w:spacing w:after="160" w:line="278" w:lineRule="auto"/>
        <w:ind w:firstLine="420"/>
      </w:pPr>
      <w:r>
        <w:rPr>
          <w:noProof/>
        </w:rPr>
        <w:t>While these bibliometric results map conceptual proximity and thematic concentration, they remain relational. To move beyond descriptive mapping toward analytical depth, the next stage adopts the “accounting complex” framework (Miller &amp; Power, 2013) as a sensitizing device. This framework guides the inductive, full-text coding necessary to examine how NFIA research substantively constructs auditability, legitimacy, and professional roles. This narrative synthesis shifts focus from surface-level regularities to the empirical problematics and practices that animate the literature.</w:t>
      </w:r>
      <w:r w:rsidR="0039582D" w:rsidRPr="00382579">
        <w:br w:type="page"/>
      </w:r>
    </w:p>
    <w:p w14:paraId="512698E9" w14:textId="77777777" w:rsidR="00AD4567" w:rsidRPr="00382579" w:rsidRDefault="00AD4567" w:rsidP="00AF6699">
      <w:pPr>
        <w:jc w:val="center"/>
        <w:sectPr w:rsidR="00AD4567" w:rsidRPr="00382579" w:rsidSect="003C1875">
          <w:pgSz w:w="11906" w:h="16838"/>
          <w:pgMar w:top="1440" w:right="1440" w:bottom="1440" w:left="1440" w:header="851" w:footer="992" w:gutter="0"/>
          <w:cols w:space="425"/>
          <w:docGrid w:linePitch="326"/>
        </w:sectPr>
      </w:pPr>
    </w:p>
    <w:p w14:paraId="0963569D" w14:textId="32A093E6" w:rsidR="00551CEF" w:rsidRPr="00382579" w:rsidRDefault="00831049" w:rsidP="00831049">
      <w:pPr>
        <w:jc w:val="center"/>
        <w:rPr>
          <w:b/>
          <w:bCs/>
        </w:rPr>
      </w:pPr>
      <w:r w:rsidRPr="00382579">
        <w:rPr>
          <w:b/>
          <w:bCs/>
        </w:rPr>
        <w:lastRenderedPageBreak/>
        <w:t>Analysis</w:t>
      </w:r>
    </w:p>
    <w:p w14:paraId="1C6AA7E5" w14:textId="77777777" w:rsidR="00831049" w:rsidRPr="00382579" w:rsidRDefault="00831049" w:rsidP="00575309">
      <w:pPr>
        <w:rPr>
          <w:i/>
          <w:iCs/>
        </w:rPr>
      </w:pPr>
    </w:p>
    <w:p w14:paraId="185BC2D9" w14:textId="1C845983" w:rsidR="00575309" w:rsidRPr="00382579" w:rsidRDefault="00933E37" w:rsidP="00575309">
      <w:pPr>
        <w:rPr>
          <w:i/>
          <w:iCs/>
        </w:rPr>
      </w:pPr>
      <w:r w:rsidRPr="00382579">
        <w:rPr>
          <w:i/>
          <w:iCs/>
        </w:rPr>
        <w:t>Analytical framework and thematic development</w:t>
      </w:r>
    </w:p>
    <w:p w14:paraId="63B58406" w14:textId="77777777" w:rsidR="00933E37" w:rsidRPr="00382579" w:rsidRDefault="00933E37" w:rsidP="00575309"/>
    <w:p w14:paraId="5FD9C50E" w14:textId="77777777" w:rsidR="007D7077" w:rsidRPr="007D7077" w:rsidRDefault="007D7077" w:rsidP="007D7077">
      <w:pPr>
        <w:widowControl w:val="0"/>
        <w:spacing w:after="160"/>
        <w:ind w:firstLine="420"/>
        <w:jc w:val="both"/>
      </w:pPr>
      <w:r w:rsidRPr="007D7077">
        <w:t>The analytical core of this review is grounded in the “accounting complex” (Miller &amp; Power, 2013). This framework conceptualizes auditing as an intervention linking calculation, governance, and expertise, making it uniquely suited to interrogating the bibliometric connections between NFIA and its adjacent domains. Mobilizing this framework as a sensitizing device allows the review to move beyond surface-level proximity to examine the concrete mechanisms through which NFIA operates in practice.</w:t>
      </w:r>
    </w:p>
    <w:p w14:paraId="40699010" w14:textId="77777777" w:rsidR="007D7077" w:rsidRPr="007D7077" w:rsidRDefault="007D7077" w:rsidP="007D7077">
      <w:pPr>
        <w:widowControl w:val="0"/>
        <w:spacing w:after="160"/>
        <w:ind w:firstLine="420"/>
        <w:jc w:val="both"/>
      </w:pPr>
      <w:r w:rsidRPr="007D7077">
        <w:t>Viewed through this lens, the keyword network (Figure 4) aligns with the four interrelated roles of the accounting complex:</w:t>
      </w:r>
    </w:p>
    <w:p w14:paraId="2CC897D2" w14:textId="641C4396" w:rsidR="007D7077" w:rsidRPr="007D7077" w:rsidRDefault="007D7077" w:rsidP="007D7077">
      <w:pPr>
        <w:widowControl w:val="0"/>
        <w:numPr>
          <w:ilvl w:val="0"/>
          <w:numId w:val="6"/>
        </w:numPr>
        <w:spacing w:after="160"/>
        <w:jc w:val="both"/>
      </w:pPr>
      <w:r w:rsidRPr="007D7077">
        <w:t xml:space="preserve">Subjectivizing (Red Cluster): </w:t>
      </w:r>
      <w:r w:rsidRPr="00D229B8">
        <w:t>Centres</w:t>
      </w:r>
      <w:r w:rsidRPr="007D7077">
        <w:t xml:space="preserve"> on professional identity, trust, and socialization, emphasizing the construction of auditor expertise and credibility.</w:t>
      </w:r>
    </w:p>
    <w:p w14:paraId="26751D3F" w14:textId="7772CD97" w:rsidR="007D7077" w:rsidRPr="007D7077" w:rsidRDefault="007D7077" w:rsidP="007D7077">
      <w:pPr>
        <w:widowControl w:val="0"/>
        <w:numPr>
          <w:ilvl w:val="0"/>
          <w:numId w:val="6"/>
        </w:numPr>
        <w:spacing w:after="160"/>
        <w:jc w:val="both"/>
      </w:pPr>
      <w:r w:rsidRPr="007D7077">
        <w:t>Territorializing (</w:t>
      </w:r>
      <w:r w:rsidR="00D229B8" w:rsidRPr="00D229B8">
        <w:t>Green/Yellow</w:t>
      </w:r>
      <w:r w:rsidRPr="007D7077">
        <w:t xml:space="preserve"> Cluster): Focused on supreme audit institutions, government, and jurisdiction, reflecting how auditing delineates governable spaces.</w:t>
      </w:r>
    </w:p>
    <w:p w14:paraId="75EFB813" w14:textId="44983A27" w:rsidR="007D7077" w:rsidRPr="007D7077" w:rsidRDefault="007D7077" w:rsidP="007D7077">
      <w:pPr>
        <w:widowControl w:val="0"/>
        <w:numPr>
          <w:ilvl w:val="0"/>
          <w:numId w:val="6"/>
        </w:numPr>
        <w:spacing w:after="160"/>
        <w:jc w:val="both"/>
      </w:pPr>
      <w:r w:rsidRPr="007D7077">
        <w:t>Mediating (Blue Cluster): Organi</w:t>
      </w:r>
      <w:r w:rsidR="00FC1C6F" w:rsidRPr="00D229B8">
        <w:t>s</w:t>
      </w:r>
      <w:r w:rsidRPr="007D7077">
        <w:t>es around sustainability, stakeholders, and evidence, highlighting assurance as a boundary mechanism translating heterogeneous concerns into credible forms.</w:t>
      </w:r>
    </w:p>
    <w:p w14:paraId="0875A7F8" w14:textId="10B73764" w:rsidR="007D7077" w:rsidRPr="007D7077" w:rsidRDefault="007D7077" w:rsidP="007D7077">
      <w:pPr>
        <w:widowControl w:val="0"/>
        <w:numPr>
          <w:ilvl w:val="0"/>
          <w:numId w:val="6"/>
        </w:numPr>
        <w:spacing w:after="160"/>
        <w:jc w:val="both"/>
      </w:pPr>
      <w:r w:rsidRPr="007D7077">
        <w:t>Adjudicating (</w:t>
      </w:r>
      <w:r w:rsidR="00D229B8" w:rsidRPr="00D229B8">
        <w:t>Purple/Orange</w:t>
      </w:r>
      <w:r w:rsidRPr="007D7077">
        <w:t xml:space="preserve"> Clusters): Associated with risk, financial distress, and investors, concerning the evaluation of performance and consequences.</w:t>
      </w:r>
    </w:p>
    <w:p w14:paraId="24B97A56" w14:textId="77777777" w:rsidR="007D7077" w:rsidRPr="007D7077" w:rsidRDefault="007D7077" w:rsidP="007D7077">
      <w:pPr>
        <w:widowControl w:val="0"/>
        <w:spacing w:after="160"/>
        <w:ind w:firstLine="420"/>
        <w:jc w:val="both"/>
      </w:pPr>
      <w:r w:rsidRPr="007D7077">
        <w:t>These dimensions are not discrete categories but patterns of emphasis; their dense interconnection indicates that NFIA research routinely mobilizes multiple dimensions simultaneously.</w:t>
      </w:r>
    </w:p>
    <w:p w14:paraId="7A96F348" w14:textId="77777777" w:rsidR="007D7077" w:rsidRPr="007D7077" w:rsidRDefault="007D7077" w:rsidP="007D7077">
      <w:pPr>
        <w:widowControl w:val="0"/>
        <w:spacing w:after="160"/>
        <w:ind w:firstLine="420"/>
        <w:jc w:val="both"/>
      </w:pPr>
      <w:r w:rsidRPr="007D7077">
        <w:t>This structure was developed through an abductive process. Following bibliometric mapping, inductive full-text coding captured empirical problematics, which were then interpreted through Miller and Power’s (2013) vocabulary. This iterative movement revealed four dominant thematic constellations. While each theme resonates with specific dimensions of the accounting complex, they represent empirically grounded problem spaces where territorializing, mediating, adjudicating, and subjectivizing processes are intertwined. This approach ensures analytical rigor while preserving the complexity of the NFIA literature.</w:t>
      </w:r>
    </w:p>
    <w:p w14:paraId="245C1864" w14:textId="08E8A39F" w:rsidR="00CF5A99" w:rsidRPr="00382579" w:rsidRDefault="00E13161" w:rsidP="00D31EA7">
      <w:pPr>
        <w:widowControl w:val="0"/>
        <w:spacing w:after="160"/>
        <w:ind w:firstLine="420"/>
        <w:jc w:val="both"/>
        <w:sectPr w:rsidR="00CF5A99" w:rsidRPr="00382579" w:rsidSect="003C1875">
          <w:pgSz w:w="11906" w:h="16838"/>
          <w:pgMar w:top="1440" w:right="1440" w:bottom="1440" w:left="1440" w:header="851" w:footer="992" w:gutter="0"/>
          <w:cols w:space="425"/>
          <w:docGrid w:linePitch="326"/>
        </w:sectPr>
      </w:pPr>
      <w:r w:rsidRPr="00382579">
        <w:br w:type="page"/>
      </w:r>
    </w:p>
    <w:tbl>
      <w:tblPr>
        <w:tblStyle w:val="GridTable1Light"/>
        <w:tblW w:w="14454" w:type="dxa"/>
        <w:tblLook w:val="04A0" w:firstRow="1" w:lastRow="0" w:firstColumn="1" w:lastColumn="0" w:noHBand="0" w:noVBand="1"/>
      </w:tblPr>
      <w:tblGrid>
        <w:gridCol w:w="1621"/>
        <w:gridCol w:w="2627"/>
        <w:gridCol w:w="2358"/>
        <w:gridCol w:w="2573"/>
        <w:gridCol w:w="5275"/>
      </w:tblGrid>
      <w:tr w:rsidR="008E1276" w:rsidRPr="00CC7453" w14:paraId="2E07D707" w14:textId="77777777" w:rsidTr="006978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9CA441" w14:textId="77777777" w:rsidR="003D1983" w:rsidRPr="00CC7453" w:rsidRDefault="003D1983" w:rsidP="0069781C">
            <w:pPr>
              <w:widowControl w:val="0"/>
              <w:spacing w:after="160"/>
              <w:jc w:val="center"/>
              <w:rPr>
                <w:sz w:val="20"/>
                <w:szCs w:val="20"/>
              </w:rPr>
            </w:pPr>
            <w:proofErr w:type="spellStart"/>
            <w:r w:rsidRPr="00CC7453">
              <w:rPr>
                <w:sz w:val="20"/>
                <w:szCs w:val="20"/>
              </w:rPr>
              <w:lastRenderedPageBreak/>
              <w:t>VOSviewer</w:t>
            </w:r>
            <w:proofErr w:type="spellEnd"/>
            <w:r w:rsidRPr="00CC7453">
              <w:rPr>
                <w:sz w:val="20"/>
                <w:szCs w:val="20"/>
              </w:rPr>
              <w:t xml:space="preserve"> colour cluster</w:t>
            </w:r>
          </w:p>
        </w:tc>
        <w:tc>
          <w:tcPr>
            <w:tcW w:w="2627" w:type="dxa"/>
            <w:hideMark/>
          </w:tcPr>
          <w:p w14:paraId="385654F7" w14:textId="4DCC8837" w:rsidR="003D1983" w:rsidRPr="00CC7453" w:rsidRDefault="003D1983" w:rsidP="0069781C">
            <w:pPr>
              <w:widowControl w:val="0"/>
              <w:spacing w:after="160"/>
              <w:jc w:val="center"/>
              <w:cnfStyle w:val="100000000000" w:firstRow="1" w:lastRow="0" w:firstColumn="0" w:lastColumn="0" w:oddVBand="0" w:evenVBand="0" w:oddHBand="0" w:evenHBand="0" w:firstRowFirstColumn="0" w:firstRowLastColumn="0" w:lastRowFirstColumn="0" w:lastRowLastColumn="0"/>
              <w:rPr>
                <w:sz w:val="20"/>
                <w:szCs w:val="20"/>
              </w:rPr>
            </w:pPr>
            <w:r w:rsidRPr="00CC7453">
              <w:rPr>
                <w:sz w:val="20"/>
                <w:szCs w:val="20"/>
              </w:rPr>
              <w:t>Representative keywords</w:t>
            </w:r>
          </w:p>
        </w:tc>
        <w:tc>
          <w:tcPr>
            <w:tcW w:w="2358" w:type="dxa"/>
            <w:hideMark/>
          </w:tcPr>
          <w:p w14:paraId="63064B3D" w14:textId="1AC0B6B4" w:rsidR="003D1983" w:rsidRPr="00CC7453" w:rsidRDefault="003D1983" w:rsidP="0069781C">
            <w:pPr>
              <w:widowControl w:val="0"/>
              <w:spacing w:after="16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CC7453">
              <w:rPr>
                <w:sz w:val="20"/>
                <w:szCs w:val="20"/>
              </w:rPr>
              <w:t xml:space="preserve">Accounting complex </w:t>
            </w:r>
            <w:r w:rsidR="0069781C" w:rsidRPr="00CC7453">
              <w:rPr>
                <w:sz w:val="20"/>
                <w:szCs w:val="20"/>
              </w:rPr>
              <w:br/>
            </w:r>
            <w:r w:rsidRPr="00CC7453">
              <w:rPr>
                <w:b w:val="0"/>
                <w:bCs w:val="0"/>
                <w:sz w:val="20"/>
                <w:szCs w:val="20"/>
              </w:rPr>
              <w:t>(Miller &amp; Power, 2013)</w:t>
            </w:r>
          </w:p>
        </w:tc>
        <w:tc>
          <w:tcPr>
            <w:tcW w:w="2573" w:type="dxa"/>
            <w:hideMark/>
          </w:tcPr>
          <w:p w14:paraId="03815641" w14:textId="77777777" w:rsidR="003D1983" w:rsidRPr="00CC7453" w:rsidRDefault="003D1983" w:rsidP="0069781C">
            <w:pPr>
              <w:widowControl w:val="0"/>
              <w:spacing w:after="160"/>
              <w:jc w:val="center"/>
              <w:cnfStyle w:val="100000000000" w:firstRow="1" w:lastRow="0" w:firstColumn="0" w:lastColumn="0" w:oddVBand="0" w:evenVBand="0" w:oddHBand="0" w:evenHBand="0" w:firstRowFirstColumn="0" w:firstRowLastColumn="0" w:lastRowFirstColumn="0" w:lastRowLastColumn="0"/>
              <w:rPr>
                <w:sz w:val="20"/>
                <w:szCs w:val="20"/>
              </w:rPr>
            </w:pPr>
            <w:r w:rsidRPr="00CC7453">
              <w:rPr>
                <w:sz w:val="20"/>
                <w:szCs w:val="20"/>
              </w:rPr>
              <w:t>Key theme in this review</w:t>
            </w:r>
          </w:p>
        </w:tc>
        <w:tc>
          <w:tcPr>
            <w:tcW w:w="5275" w:type="dxa"/>
            <w:hideMark/>
          </w:tcPr>
          <w:p w14:paraId="13D6AF18" w14:textId="2782F95C" w:rsidR="003D1983" w:rsidRPr="00CC7453" w:rsidRDefault="003D1983" w:rsidP="0069781C">
            <w:pPr>
              <w:widowControl w:val="0"/>
              <w:spacing w:after="160"/>
              <w:jc w:val="center"/>
              <w:cnfStyle w:val="100000000000" w:firstRow="1" w:lastRow="0" w:firstColumn="0" w:lastColumn="0" w:oddVBand="0" w:evenVBand="0" w:oddHBand="0" w:evenHBand="0" w:firstRowFirstColumn="0" w:firstRowLastColumn="0" w:lastRowFirstColumn="0" w:lastRowLastColumn="0"/>
              <w:rPr>
                <w:sz w:val="20"/>
                <w:szCs w:val="20"/>
              </w:rPr>
            </w:pPr>
            <w:r w:rsidRPr="00CC7453">
              <w:rPr>
                <w:sz w:val="20"/>
                <w:szCs w:val="20"/>
              </w:rPr>
              <w:t>Rationale for the linkage</w:t>
            </w:r>
          </w:p>
        </w:tc>
      </w:tr>
      <w:tr w:rsidR="008E1276" w:rsidRPr="00CC7453" w14:paraId="7514A34A" w14:textId="77777777" w:rsidTr="0069781C">
        <w:tc>
          <w:tcPr>
            <w:cnfStyle w:val="001000000000" w:firstRow="0" w:lastRow="0" w:firstColumn="1" w:lastColumn="0" w:oddVBand="0" w:evenVBand="0" w:oddHBand="0" w:evenHBand="0" w:firstRowFirstColumn="0" w:firstRowLastColumn="0" w:lastRowFirstColumn="0" w:lastRowLastColumn="0"/>
            <w:tcW w:w="0" w:type="auto"/>
            <w:hideMark/>
          </w:tcPr>
          <w:p w14:paraId="7DD100EE" w14:textId="77777777" w:rsidR="003D1983" w:rsidRPr="00CC7453" w:rsidRDefault="003D1983" w:rsidP="003D1983">
            <w:pPr>
              <w:widowControl w:val="0"/>
              <w:spacing w:after="160"/>
              <w:jc w:val="both"/>
              <w:rPr>
                <w:sz w:val="20"/>
                <w:szCs w:val="20"/>
              </w:rPr>
            </w:pPr>
            <w:r w:rsidRPr="00CC7453">
              <w:rPr>
                <w:color w:val="FF0000"/>
                <w:sz w:val="20"/>
                <w:szCs w:val="20"/>
              </w:rPr>
              <w:t>Red</w:t>
            </w:r>
          </w:p>
        </w:tc>
        <w:tc>
          <w:tcPr>
            <w:tcW w:w="2627" w:type="dxa"/>
            <w:hideMark/>
          </w:tcPr>
          <w:p w14:paraId="561D9F0C" w14:textId="77777777" w:rsidR="003D1983" w:rsidRPr="00CC745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i/>
                <w:iCs/>
                <w:sz w:val="20"/>
                <w:szCs w:val="20"/>
              </w:rPr>
              <w:t>profession; auditor; accountant; trust; logic; meaning; socialisation; client; user</w:t>
            </w:r>
          </w:p>
        </w:tc>
        <w:tc>
          <w:tcPr>
            <w:tcW w:w="2358" w:type="dxa"/>
            <w:hideMark/>
          </w:tcPr>
          <w:p w14:paraId="496B817A" w14:textId="77777777" w:rsidR="003D1983" w:rsidRPr="00CC745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b/>
                <w:bCs/>
                <w:sz w:val="20"/>
                <w:szCs w:val="20"/>
              </w:rPr>
              <w:t>Subjectivising</w:t>
            </w:r>
          </w:p>
        </w:tc>
        <w:tc>
          <w:tcPr>
            <w:tcW w:w="2573" w:type="dxa"/>
            <w:hideMark/>
          </w:tcPr>
          <w:p w14:paraId="3C52F14C" w14:textId="77777777" w:rsidR="003D1983" w:rsidRPr="00CC745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b/>
                <w:bCs/>
                <w:sz w:val="20"/>
                <w:szCs w:val="20"/>
              </w:rPr>
              <w:t>Inter-professional Dynamics and the Sociology of the Profession</w:t>
            </w:r>
          </w:p>
        </w:tc>
        <w:tc>
          <w:tcPr>
            <w:tcW w:w="5275" w:type="dxa"/>
            <w:hideMark/>
          </w:tcPr>
          <w:p w14:paraId="54FFD17E" w14:textId="4F9795C4" w:rsidR="003D1983" w:rsidRPr="00CC7453" w:rsidRDefault="003D1983" w:rsidP="003D1983">
            <w:pPr>
              <w:widowControl w:val="0"/>
              <w:spacing w:after="160"/>
              <w:jc w:val="both"/>
              <w:cnfStyle w:val="000000000000" w:firstRow="0" w:lastRow="0" w:firstColumn="0" w:lastColumn="0" w:oddVBand="0" w:evenVBand="0" w:oddHBand="0" w:evenHBand="0" w:firstRowFirstColumn="0" w:firstRowLastColumn="0" w:lastRowFirstColumn="0" w:lastRowLastColumn="0"/>
              <w:rPr>
                <w:sz w:val="20"/>
                <w:szCs w:val="20"/>
              </w:rPr>
            </w:pPr>
            <w:r w:rsidRPr="00CC7453">
              <w:rPr>
                <w:sz w:val="20"/>
                <w:szCs w:val="20"/>
              </w:rPr>
              <w:t>(1) Cluster centres on actors and identity terms (</w:t>
            </w:r>
            <w:r w:rsidRPr="00CC7453">
              <w:rPr>
                <w:i/>
                <w:iCs/>
                <w:sz w:val="20"/>
                <w:szCs w:val="20"/>
              </w:rPr>
              <w:t>auditor, profession</w:t>
            </w:r>
            <w:r w:rsidRPr="00CC7453">
              <w:rPr>
                <w:sz w:val="20"/>
                <w:szCs w:val="20"/>
              </w:rPr>
              <w:t xml:space="preserve">). </w:t>
            </w:r>
            <w:r w:rsidR="00EC0146" w:rsidRPr="00CC7453">
              <w:rPr>
                <w:sz w:val="20"/>
                <w:szCs w:val="20"/>
              </w:rPr>
              <w:br/>
            </w:r>
            <w:r w:rsidRPr="00CC7453">
              <w:rPr>
                <w:sz w:val="20"/>
                <w:szCs w:val="20"/>
              </w:rPr>
              <w:t>(2) Dense ties to legitimacy-signalling concepts (</w:t>
            </w:r>
            <w:r w:rsidRPr="00CC7453">
              <w:rPr>
                <w:i/>
                <w:iCs/>
                <w:sz w:val="20"/>
                <w:szCs w:val="20"/>
              </w:rPr>
              <w:t>trust, meaning, logic</w:t>
            </w:r>
            <w:r w:rsidRPr="00CC7453">
              <w:rPr>
                <w:sz w:val="20"/>
                <w:szCs w:val="20"/>
              </w:rPr>
              <w:t xml:space="preserve">). </w:t>
            </w:r>
            <w:r w:rsidR="00EC0146" w:rsidRPr="00CC7453">
              <w:rPr>
                <w:sz w:val="20"/>
                <w:szCs w:val="20"/>
              </w:rPr>
              <w:br/>
            </w:r>
            <w:r w:rsidRPr="00CC7453">
              <w:rPr>
                <w:sz w:val="20"/>
                <w:szCs w:val="20"/>
              </w:rPr>
              <w:t xml:space="preserve">(3) This vocabulary foregrounds how NFIA constitutes credible professional subjects and inter-professional boundaries. </w:t>
            </w:r>
          </w:p>
        </w:tc>
      </w:tr>
      <w:tr w:rsidR="008E1276" w:rsidRPr="00CC7453" w14:paraId="7D479BFA" w14:textId="77777777" w:rsidTr="0069781C">
        <w:tc>
          <w:tcPr>
            <w:cnfStyle w:val="001000000000" w:firstRow="0" w:lastRow="0" w:firstColumn="1" w:lastColumn="0" w:oddVBand="0" w:evenVBand="0" w:oddHBand="0" w:evenHBand="0" w:firstRowFirstColumn="0" w:firstRowLastColumn="0" w:lastRowFirstColumn="0" w:lastRowLastColumn="0"/>
            <w:tcW w:w="0" w:type="auto"/>
            <w:hideMark/>
          </w:tcPr>
          <w:p w14:paraId="33C949E4" w14:textId="162D47AC" w:rsidR="00A637ED" w:rsidRPr="00CC7453" w:rsidRDefault="003D1983" w:rsidP="003D1983">
            <w:pPr>
              <w:widowControl w:val="0"/>
              <w:spacing w:after="160"/>
              <w:jc w:val="both"/>
              <w:rPr>
                <w:b w:val="0"/>
                <w:bCs w:val="0"/>
                <w:sz w:val="20"/>
                <w:szCs w:val="20"/>
              </w:rPr>
            </w:pPr>
            <w:r w:rsidRPr="00CC7453">
              <w:rPr>
                <w:color w:val="00B050"/>
                <w:sz w:val="20"/>
                <w:szCs w:val="20"/>
              </w:rPr>
              <w:t>Green</w:t>
            </w:r>
            <w:r w:rsidR="00A637ED" w:rsidRPr="00CC7453">
              <w:rPr>
                <w:sz w:val="20"/>
                <w:szCs w:val="20"/>
              </w:rPr>
              <w:br/>
            </w:r>
            <w:r w:rsidR="00A637ED" w:rsidRPr="00CC7453">
              <w:rPr>
                <w:color w:val="FFFF00"/>
                <w:sz w:val="20"/>
                <w:szCs w:val="20"/>
                <w:highlight w:val="green"/>
              </w:rPr>
              <w:t>Yellow</w:t>
            </w:r>
          </w:p>
        </w:tc>
        <w:tc>
          <w:tcPr>
            <w:tcW w:w="2627" w:type="dxa"/>
            <w:hideMark/>
          </w:tcPr>
          <w:p w14:paraId="4C247AFB" w14:textId="4A3397AE" w:rsidR="003D1983" w:rsidRPr="00CC745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i/>
                <w:iCs/>
                <w:sz w:val="20"/>
                <w:szCs w:val="20"/>
              </w:rPr>
              <w:t>supreme audit institution; government; accountability; implementation; jurisdiction; court; parliament; local government</w:t>
            </w:r>
          </w:p>
        </w:tc>
        <w:tc>
          <w:tcPr>
            <w:tcW w:w="2358" w:type="dxa"/>
            <w:hideMark/>
          </w:tcPr>
          <w:p w14:paraId="2E8ED024" w14:textId="77777777" w:rsidR="003D1983" w:rsidRPr="00CC745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b/>
                <w:bCs/>
                <w:sz w:val="20"/>
                <w:szCs w:val="20"/>
              </w:rPr>
              <w:t>Territorialising</w:t>
            </w:r>
          </w:p>
        </w:tc>
        <w:tc>
          <w:tcPr>
            <w:tcW w:w="2573" w:type="dxa"/>
            <w:hideMark/>
          </w:tcPr>
          <w:p w14:paraId="37D3D091" w14:textId="77777777" w:rsidR="003D1983" w:rsidRPr="00CC745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b/>
                <w:bCs/>
                <w:sz w:val="20"/>
                <w:szCs w:val="20"/>
              </w:rPr>
              <w:t>NFIA as a Socially Constructed and Institutional Practice</w:t>
            </w:r>
          </w:p>
        </w:tc>
        <w:tc>
          <w:tcPr>
            <w:tcW w:w="5275" w:type="dxa"/>
            <w:hideMark/>
          </w:tcPr>
          <w:p w14:paraId="53F51C32" w14:textId="506FE333" w:rsidR="003D1983" w:rsidRPr="00CC7453" w:rsidRDefault="003D1983" w:rsidP="003D1983">
            <w:pPr>
              <w:widowControl w:val="0"/>
              <w:spacing w:after="160"/>
              <w:jc w:val="both"/>
              <w:cnfStyle w:val="000000000000" w:firstRow="0" w:lastRow="0" w:firstColumn="0" w:lastColumn="0" w:oddVBand="0" w:evenVBand="0" w:oddHBand="0" w:evenHBand="0" w:firstRowFirstColumn="0" w:firstRowLastColumn="0" w:lastRowFirstColumn="0" w:lastRowLastColumn="0"/>
              <w:rPr>
                <w:sz w:val="20"/>
                <w:szCs w:val="20"/>
              </w:rPr>
            </w:pPr>
            <w:r w:rsidRPr="00CC7453">
              <w:rPr>
                <w:sz w:val="20"/>
                <w:szCs w:val="20"/>
              </w:rPr>
              <w:t>(1) Cluster anchors on institutional sites and objects of audit (</w:t>
            </w:r>
            <w:r w:rsidRPr="00CC7453">
              <w:rPr>
                <w:i/>
                <w:iCs/>
                <w:sz w:val="20"/>
                <w:szCs w:val="20"/>
              </w:rPr>
              <w:t>SAI, government</w:t>
            </w:r>
            <w:r w:rsidRPr="00CC7453">
              <w:rPr>
                <w:sz w:val="20"/>
                <w:szCs w:val="20"/>
              </w:rPr>
              <w:t xml:space="preserve">). </w:t>
            </w:r>
            <w:r w:rsidR="00EC0146" w:rsidRPr="00CC7453">
              <w:rPr>
                <w:sz w:val="20"/>
                <w:szCs w:val="20"/>
              </w:rPr>
              <w:br/>
            </w:r>
            <w:r w:rsidRPr="00CC7453">
              <w:rPr>
                <w:sz w:val="20"/>
                <w:szCs w:val="20"/>
              </w:rPr>
              <w:t>(2) Keywords imply boundary-setting and systematisation (</w:t>
            </w:r>
            <w:r w:rsidRPr="00CC7453">
              <w:rPr>
                <w:i/>
                <w:iCs/>
                <w:sz w:val="20"/>
                <w:szCs w:val="20"/>
              </w:rPr>
              <w:t>jurisdiction, implementation, accountability</w:t>
            </w:r>
            <w:r w:rsidRPr="00CC7453">
              <w:rPr>
                <w:sz w:val="20"/>
                <w:szCs w:val="20"/>
              </w:rPr>
              <w:t xml:space="preserve">). </w:t>
            </w:r>
            <w:r w:rsidR="00EC0146" w:rsidRPr="00CC7453">
              <w:rPr>
                <w:sz w:val="20"/>
                <w:szCs w:val="20"/>
              </w:rPr>
              <w:br/>
            </w:r>
            <w:r w:rsidRPr="00CC7453">
              <w:rPr>
                <w:sz w:val="20"/>
                <w:szCs w:val="20"/>
              </w:rPr>
              <w:t>(3) This points to the construction of auditable domains and governable spaces.</w:t>
            </w:r>
          </w:p>
        </w:tc>
      </w:tr>
      <w:tr w:rsidR="008E1276" w:rsidRPr="00CC7453" w14:paraId="4AC69C82" w14:textId="77777777" w:rsidTr="0069781C">
        <w:tc>
          <w:tcPr>
            <w:cnfStyle w:val="001000000000" w:firstRow="0" w:lastRow="0" w:firstColumn="1" w:lastColumn="0" w:oddVBand="0" w:evenVBand="0" w:oddHBand="0" w:evenHBand="0" w:firstRowFirstColumn="0" w:firstRowLastColumn="0" w:lastRowFirstColumn="0" w:lastRowLastColumn="0"/>
            <w:tcW w:w="0" w:type="auto"/>
            <w:hideMark/>
          </w:tcPr>
          <w:p w14:paraId="3F37C2A7" w14:textId="77777777" w:rsidR="003D1983" w:rsidRPr="00CC7453" w:rsidRDefault="003D1983" w:rsidP="003D1983">
            <w:pPr>
              <w:widowControl w:val="0"/>
              <w:spacing w:after="160"/>
              <w:jc w:val="both"/>
              <w:rPr>
                <w:sz w:val="20"/>
                <w:szCs w:val="20"/>
              </w:rPr>
            </w:pPr>
            <w:r w:rsidRPr="00CC7453">
              <w:rPr>
                <w:color w:val="0070C0"/>
                <w:sz w:val="20"/>
                <w:szCs w:val="20"/>
              </w:rPr>
              <w:t>Blue</w:t>
            </w:r>
          </w:p>
        </w:tc>
        <w:tc>
          <w:tcPr>
            <w:tcW w:w="2627" w:type="dxa"/>
            <w:hideMark/>
          </w:tcPr>
          <w:p w14:paraId="59334BD2" w14:textId="7B1EC055" w:rsidR="003D1983" w:rsidRPr="00CC745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i/>
                <w:iCs/>
                <w:sz w:val="20"/>
                <w:szCs w:val="20"/>
              </w:rPr>
              <w:t>sustainability; corporate social responsibility; stakeholder; engagement; evidence; service; perception; demand</w:t>
            </w:r>
          </w:p>
        </w:tc>
        <w:tc>
          <w:tcPr>
            <w:tcW w:w="2358" w:type="dxa"/>
            <w:hideMark/>
          </w:tcPr>
          <w:p w14:paraId="1FF09840" w14:textId="77777777" w:rsidR="003D1983" w:rsidRPr="00CC745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b/>
                <w:bCs/>
                <w:sz w:val="20"/>
                <w:szCs w:val="20"/>
              </w:rPr>
              <w:t>Mediating</w:t>
            </w:r>
          </w:p>
        </w:tc>
        <w:tc>
          <w:tcPr>
            <w:tcW w:w="2573" w:type="dxa"/>
            <w:hideMark/>
          </w:tcPr>
          <w:p w14:paraId="6C0D845F" w14:textId="77777777" w:rsidR="003D1983" w:rsidRPr="00CC745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b/>
                <w:bCs/>
                <w:sz w:val="20"/>
                <w:szCs w:val="20"/>
              </w:rPr>
              <w:t>The Broader Political and Managerial Utility of NFIA</w:t>
            </w:r>
          </w:p>
        </w:tc>
        <w:tc>
          <w:tcPr>
            <w:tcW w:w="5275" w:type="dxa"/>
            <w:hideMark/>
          </w:tcPr>
          <w:p w14:paraId="5D9C2865" w14:textId="1F3D3FF5" w:rsidR="003D1983" w:rsidRPr="00CC7453" w:rsidRDefault="003D1983" w:rsidP="003D1983">
            <w:pPr>
              <w:widowControl w:val="0"/>
              <w:spacing w:after="160"/>
              <w:jc w:val="both"/>
              <w:cnfStyle w:val="000000000000" w:firstRow="0" w:lastRow="0" w:firstColumn="0" w:lastColumn="0" w:oddVBand="0" w:evenVBand="0" w:oddHBand="0" w:evenHBand="0" w:firstRowFirstColumn="0" w:firstRowLastColumn="0" w:lastRowFirstColumn="0" w:lastRowLastColumn="0"/>
              <w:rPr>
                <w:sz w:val="20"/>
                <w:szCs w:val="20"/>
              </w:rPr>
            </w:pPr>
            <w:r w:rsidRPr="00CC7453">
              <w:rPr>
                <w:sz w:val="20"/>
                <w:szCs w:val="20"/>
              </w:rPr>
              <w:t>(1) Cluster centres on assurance as an interface (</w:t>
            </w:r>
            <w:r w:rsidRPr="00CC7453">
              <w:rPr>
                <w:i/>
                <w:iCs/>
                <w:sz w:val="20"/>
                <w:szCs w:val="20"/>
              </w:rPr>
              <w:t>service, engagement</w:t>
            </w:r>
            <w:r w:rsidRPr="00CC7453">
              <w:rPr>
                <w:sz w:val="20"/>
                <w:szCs w:val="20"/>
              </w:rPr>
              <w:t xml:space="preserve">). </w:t>
            </w:r>
            <w:r w:rsidR="00EC0146" w:rsidRPr="00CC7453">
              <w:rPr>
                <w:sz w:val="20"/>
                <w:szCs w:val="20"/>
              </w:rPr>
              <w:br/>
            </w:r>
            <w:r w:rsidRPr="00CC7453">
              <w:rPr>
                <w:sz w:val="20"/>
                <w:szCs w:val="20"/>
              </w:rPr>
              <w:t>(2) Strong links to disclosure domains and audiences (</w:t>
            </w:r>
            <w:r w:rsidRPr="00CC7453">
              <w:rPr>
                <w:i/>
                <w:iCs/>
                <w:sz w:val="20"/>
                <w:szCs w:val="20"/>
              </w:rPr>
              <w:t>CSR, sustainability, stakeholder</w:t>
            </w:r>
            <w:r w:rsidRPr="00CC7453">
              <w:rPr>
                <w:sz w:val="20"/>
                <w:szCs w:val="20"/>
              </w:rPr>
              <w:t xml:space="preserve">). </w:t>
            </w:r>
            <w:r w:rsidR="00EC0146" w:rsidRPr="00CC7453">
              <w:rPr>
                <w:sz w:val="20"/>
                <w:szCs w:val="20"/>
              </w:rPr>
              <w:br/>
            </w:r>
            <w:r w:rsidRPr="00CC7453">
              <w:rPr>
                <w:sz w:val="20"/>
                <w:szCs w:val="20"/>
              </w:rPr>
              <w:t>(3) Keywords imply translation of diverse information into credible forms (</w:t>
            </w:r>
            <w:r w:rsidRPr="00CC7453">
              <w:rPr>
                <w:i/>
                <w:iCs/>
                <w:sz w:val="20"/>
                <w:szCs w:val="20"/>
              </w:rPr>
              <w:t>evidence, quality</w:t>
            </w:r>
            <w:r w:rsidRPr="00CC7453">
              <w:rPr>
                <w:sz w:val="20"/>
                <w:szCs w:val="20"/>
              </w:rPr>
              <w:t xml:space="preserve">). </w:t>
            </w:r>
          </w:p>
        </w:tc>
      </w:tr>
      <w:tr w:rsidR="0069781C" w:rsidRPr="00CC7453" w14:paraId="597CAAF4" w14:textId="77777777" w:rsidTr="0069781C">
        <w:tc>
          <w:tcPr>
            <w:cnfStyle w:val="001000000000" w:firstRow="0" w:lastRow="0" w:firstColumn="1" w:lastColumn="0" w:oddVBand="0" w:evenVBand="0" w:oddHBand="0" w:evenHBand="0" w:firstRowFirstColumn="0" w:firstRowLastColumn="0" w:lastRowFirstColumn="0" w:lastRowLastColumn="0"/>
            <w:tcW w:w="0" w:type="auto"/>
            <w:hideMark/>
          </w:tcPr>
          <w:p w14:paraId="406EFDB2" w14:textId="2DD50FCF" w:rsidR="003D1983" w:rsidRPr="00CC7453" w:rsidRDefault="003D1983" w:rsidP="003D1983">
            <w:pPr>
              <w:widowControl w:val="0"/>
              <w:spacing w:after="160"/>
              <w:jc w:val="both"/>
              <w:rPr>
                <w:b w:val="0"/>
                <w:bCs w:val="0"/>
                <w:sz w:val="20"/>
                <w:szCs w:val="20"/>
              </w:rPr>
            </w:pPr>
            <w:r w:rsidRPr="00CC7453">
              <w:rPr>
                <w:color w:val="7030A0"/>
                <w:sz w:val="20"/>
                <w:szCs w:val="20"/>
              </w:rPr>
              <w:t>Purple</w:t>
            </w:r>
            <w:r w:rsidR="00A637ED" w:rsidRPr="00CC7453">
              <w:rPr>
                <w:sz w:val="20"/>
                <w:szCs w:val="20"/>
              </w:rPr>
              <w:br/>
            </w:r>
            <w:r w:rsidRPr="00CC7453">
              <w:rPr>
                <w:color w:val="FFC000"/>
                <w:sz w:val="20"/>
                <w:szCs w:val="20"/>
              </w:rPr>
              <w:t>Orange</w:t>
            </w:r>
          </w:p>
        </w:tc>
        <w:tc>
          <w:tcPr>
            <w:tcW w:w="2627" w:type="dxa"/>
            <w:hideMark/>
          </w:tcPr>
          <w:p w14:paraId="7D0760AA" w14:textId="77777777" w:rsidR="003D1983" w:rsidRPr="00CC745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i/>
                <w:iCs/>
                <w:sz w:val="20"/>
                <w:szCs w:val="20"/>
              </w:rPr>
              <w:t>firm; risk; competition; financial distress likelihood; investor; decision; information asymmetry; cost; intention; ESG</w:t>
            </w:r>
          </w:p>
        </w:tc>
        <w:tc>
          <w:tcPr>
            <w:tcW w:w="2358" w:type="dxa"/>
            <w:hideMark/>
          </w:tcPr>
          <w:p w14:paraId="1F145325" w14:textId="77777777" w:rsidR="003D1983" w:rsidRPr="00CC745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b/>
                <w:bCs/>
                <w:sz w:val="20"/>
                <w:szCs w:val="20"/>
              </w:rPr>
              <w:t>Adjudicating</w:t>
            </w:r>
          </w:p>
        </w:tc>
        <w:tc>
          <w:tcPr>
            <w:tcW w:w="2573" w:type="dxa"/>
            <w:hideMark/>
          </w:tcPr>
          <w:p w14:paraId="69C66FCE" w14:textId="77777777" w:rsidR="003D1983" w:rsidRPr="00CC745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b/>
                <w:bCs/>
                <w:sz w:val="20"/>
                <w:szCs w:val="20"/>
              </w:rPr>
              <w:t>Determinants and Consequences of NFIA</w:t>
            </w:r>
          </w:p>
        </w:tc>
        <w:tc>
          <w:tcPr>
            <w:tcW w:w="5275" w:type="dxa"/>
            <w:hideMark/>
          </w:tcPr>
          <w:p w14:paraId="7CBC28F8" w14:textId="11AD3641" w:rsidR="003D1983" w:rsidRPr="00CC7453" w:rsidRDefault="003D1983" w:rsidP="003D1983">
            <w:pPr>
              <w:widowControl w:val="0"/>
              <w:spacing w:after="160"/>
              <w:jc w:val="both"/>
              <w:cnfStyle w:val="000000000000" w:firstRow="0" w:lastRow="0" w:firstColumn="0" w:lastColumn="0" w:oddVBand="0" w:evenVBand="0" w:oddHBand="0" w:evenHBand="0" w:firstRowFirstColumn="0" w:firstRowLastColumn="0" w:lastRowFirstColumn="0" w:lastRowLastColumn="0"/>
              <w:rPr>
                <w:sz w:val="20"/>
                <w:szCs w:val="20"/>
              </w:rPr>
            </w:pPr>
            <w:r w:rsidRPr="00CC7453">
              <w:rPr>
                <w:sz w:val="20"/>
                <w:szCs w:val="20"/>
              </w:rPr>
              <w:t>(1) Cluster vocabulary is evaluative and outcome-oriented (</w:t>
            </w:r>
            <w:r w:rsidRPr="00CC7453">
              <w:rPr>
                <w:i/>
                <w:iCs/>
                <w:sz w:val="20"/>
                <w:szCs w:val="20"/>
              </w:rPr>
              <w:t>risk, distress, investor, information asymmetry</w:t>
            </w:r>
            <w:r w:rsidRPr="00CC7453">
              <w:rPr>
                <w:sz w:val="20"/>
                <w:szCs w:val="20"/>
              </w:rPr>
              <w:t xml:space="preserve">). </w:t>
            </w:r>
            <w:r w:rsidR="00EC0146" w:rsidRPr="00CC7453">
              <w:rPr>
                <w:sz w:val="20"/>
                <w:szCs w:val="20"/>
              </w:rPr>
              <w:br/>
            </w:r>
            <w:r w:rsidRPr="00CC7453">
              <w:rPr>
                <w:sz w:val="20"/>
                <w:szCs w:val="20"/>
              </w:rPr>
              <w:t xml:space="preserve">(2) It tracks determinants (why assurance is adopted) and consequences (market/behavioural effects). </w:t>
            </w:r>
            <w:r w:rsidR="00EC0146" w:rsidRPr="00CC7453">
              <w:rPr>
                <w:sz w:val="20"/>
                <w:szCs w:val="20"/>
              </w:rPr>
              <w:br/>
            </w:r>
            <w:r w:rsidRPr="00CC7453">
              <w:rPr>
                <w:sz w:val="20"/>
                <w:szCs w:val="20"/>
              </w:rPr>
              <w:t xml:space="preserve">(3) This mirrors adjudicating: evaluating success/failure and attributing performance effects. </w:t>
            </w:r>
          </w:p>
        </w:tc>
      </w:tr>
    </w:tbl>
    <w:p w14:paraId="140767BF" w14:textId="77777777" w:rsidR="00BD3FE5" w:rsidRPr="00382579" w:rsidRDefault="00BD3FE5" w:rsidP="00BD3FE5">
      <w:pPr>
        <w:jc w:val="both"/>
        <w:rPr>
          <w:b/>
          <w:bCs/>
        </w:rPr>
      </w:pPr>
      <w:r w:rsidRPr="00382579">
        <w:rPr>
          <w:b/>
          <w:bCs/>
          <w:lang w:val="en-US"/>
        </w:rPr>
        <w:t xml:space="preserve">Table 5. </w:t>
      </w:r>
      <w:r w:rsidRPr="00382579">
        <w:rPr>
          <w:b/>
          <w:bCs/>
        </w:rPr>
        <w:t xml:space="preserve">Mapping </w:t>
      </w:r>
      <w:proofErr w:type="spellStart"/>
      <w:r w:rsidRPr="00382579">
        <w:rPr>
          <w:b/>
          <w:bCs/>
        </w:rPr>
        <w:t>VOSviewer</w:t>
      </w:r>
      <w:proofErr w:type="spellEnd"/>
      <w:r w:rsidRPr="00382579">
        <w:rPr>
          <w:b/>
          <w:bCs/>
        </w:rPr>
        <w:t xml:space="preserve"> keyword clusters to the accounting complex and empirically derived themes</w:t>
      </w:r>
    </w:p>
    <w:p w14:paraId="0B2E2646" w14:textId="19A06852" w:rsidR="00E13161" w:rsidRPr="00382579" w:rsidRDefault="00BD3FE5" w:rsidP="00EC0146">
      <w:pPr>
        <w:jc w:val="both"/>
        <w:rPr>
          <w:lang w:val="en-US"/>
        </w:rPr>
      </w:pPr>
      <w:r w:rsidRPr="00382579">
        <w:rPr>
          <w:i/>
          <w:iCs/>
        </w:rPr>
        <w:t xml:space="preserve">Source: </w:t>
      </w:r>
      <w:r w:rsidR="00EC0146" w:rsidRPr="00382579">
        <w:rPr>
          <w:i/>
          <w:iCs/>
        </w:rPr>
        <w:t>Author’s analysis, informed by Miller and Power (2013)</w:t>
      </w:r>
    </w:p>
    <w:p w14:paraId="7703E530" w14:textId="77777777" w:rsidR="00AE4B3A" w:rsidRPr="00382579" w:rsidRDefault="00AE4B3A" w:rsidP="00A577D3">
      <w:pPr>
        <w:widowControl w:val="0"/>
        <w:spacing w:after="160"/>
        <w:jc w:val="both"/>
      </w:pPr>
    </w:p>
    <w:p w14:paraId="2A9237B7" w14:textId="77777777" w:rsidR="00165838" w:rsidRPr="00382579" w:rsidRDefault="00165838" w:rsidP="000C2C3B">
      <w:pPr>
        <w:widowControl w:val="0"/>
        <w:spacing w:after="160"/>
        <w:jc w:val="both"/>
        <w:sectPr w:rsidR="00165838" w:rsidRPr="00382579" w:rsidSect="00CF5A99">
          <w:pgSz w:w="16838" w:h="11906" w:orient="landscape"/>
          <w:pgMar w:top="1440" w:right="1440" w:bottom="1440" w:left="1440" w:header="851" w:footer="992" w:gutter="0"/>
          <w:cols w:space="425"/>
          <w:docGrid w:linePitch="326"/>
        </w:sectPr>
      </w:pPr>
    </w:p>
    <w:p w14:paraId="03B62989" w14:textId="676E1B4C" w:rsidR="00C27190" w:rsidRPr="00C27190" w:rsidRDefault="00C27190" w:rsidP="00C27190">
      <w:pPr>
        <w:widowControl w:val="0"/>
        <w:spacing w:after="160"/>
        <w:jc w:val="both"/>
      </w:pPr>
      <w:r w:rsidRPr="00C27190">
        <w:lastRenderedPageBreak/>
        <w:t>Following the stabilization of the four overarching themes, iterative full-text reading of all 124 studies captured research motivations, theoretical engagements, and empirical findings. This deductive–inductive procedure identified thirteen granular sub-themes representing recurring empirical problematics within the thematic domains. These sub-themes reflect how NFIA research examines professional dynamics, institutional construction, and governance utility at a higher resolution.</w:t>
      </w:r>
      <w:r>
        <w:t xml:space="preserve"> </w:t>
      </w:r>
      <w:r w:rsidRPr="00C27190">
        <w:t>The following section moves from classification to narrative synthesis, analy</w:t>
      </w:r>
      <w:r>
        <w:t>s</w:t>
      </w:r>
      <w:r w:rsidRPr="00C27190">
        <w:t>ing how these themes and sub-themes are substantively developed and theoretically mobilized within the NFIA literature.</w:t>
      </w:r>
    </w:p>
    <w:p w14:paraId="66E66458" w14:textId="77777777" w:rsidR="00A238A2" w:rsidRPr="00382579" w:rsidRDefault="00A238A2" w:rsidP="000C2C3B">
      <w:pPr>
        <w:widowControl w:val="0"/>
        <w:spacing w:after="160"/>
        <w:jc w:val="both"/>
      </w:pPr>
    </w:p>
    <w:p w14:paraId="4682E971" w14:textId="77777777" w:rsidR="0049003E" w:rsidRPr="00382579" w:rsidRDefault="0049003E">
      <w:pPr>
        <w:spacing w:after="160" w:line="278" w:lineRule="auto"/>
        <w:rPr>
          <w:i/>
          <w:iCs/>
        </w:rPr>
      </w:pPr>
      <w:r w:rsidRPr="00382579">
        <w:rPr>
          <w:i/>
          <w:iCs/>
        </w:rPr>
        <w:br w:type="page"/>
      </w:r>
    </w:p>
    <w:p w14:paraId="069FA710" w14:textId="6B604DA7" w:rsidR="000C1C44" w:rsidRPr="00382579" w:rsidRDefault="007557FE">
      <w:pPr>
        <w:spacing w:after="160" w:line="278" w:lineRule="auto"/>
        <w:rPr>
          <w:b/>
          <w:bCs/>
        </w:rPr>
      </w:pPr>
      <w:r w:rsidRPr="00382579">
        <w:rPr>
          <w:i/>
          <w:iCs/>
        </w:rPr>
        <w:lastRenderedPageBreak/>
        <w:t>M</w:t>
      </w:r>
      <w:r w:rsidRPr="00382579">
        <w:rPr>
          <w:i/>
          <w:iCs/>
        </w:rPr>
        <w:t>eta-synthesis of empirical NFIA research themes</w:t>
      </w:r>
      <w:r w:rsidR="00A032C5" w:rsidRPr="00382579">
        <w:rPr>
          <w:b/>
          <w:bCs/>
        </w:rPr>
        <w:drawing>
          <wp:inline distT="0" distB="0" distL="0" distR="0" wp14:anchorId="44ED732F" wp14:editId="1E364614">
            <wp:extent cx="5677692" cy="2372056"/>
            <wp:effectExtent l="0" t="0" r="0" b="9525"/>
            <wp:docPr id="80438265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82657" name="Picture 1" descr="A screenshot of a computer screen&#10;&#10;AI-generated content may be incorrect."/>
                    <pic:cNvPicPr/>
                  </pic:nvPicPr>
                  <pic:blipFill>
                    <a:blip r:embed="rId12"/>
                    <a:stretch>
                      <a:fillRect/>
                    </a:stretch>
                  </pic:blipFill>
                  <pic:spPr>
                    <a:xfrm>
                      <a:off x="0" y="0"/>
                      <a:ext cx="5677692" cy="2372056"/>
                    </a:xfrm>
                    <a:prstGeom prst="rect">
                      <a:avLst/>
                    </a:prstGeom>
                  </pic:spPr>
                </pic:pic>
              </a:graphicData>
            </a:graphic>
          </wp:inline>
        </w:drawing>
      </w:r>
      <w:r w:rsidR="0091012A" w:rsidRPr="00382579">
        <w:rPr>
          <w:b/>
          <w:bCs/>
        </w:rPr>
        <w:drawing>
          <wp:inline distT="0" distB="0" distL="0" distR="0" wp14:anchorId="58433549" wp14:editId="38758C59">
            <wp:extent cx="5731510" cy="2072640"/>
            <wp:effectExtent l="0" t="0" r="2540" b="3810"/>
            <wp:docPr id="2455042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04237" name="Picture 1" descr="A screenshot of a graph&#10;&#10;AI-generated content may be incorrect."/>
                    <pic:cNvPicPr/>
                  </pic:nvPicPr>
                  <pic:blipFill>
                    <a:blip r:embed="rId13"/>
                    <a:stretch>
                      <a:fillRect/>
                    </a:stretch>
                  </pic:blipFill>
                  <pic:spPr>
                    <a:xfrm>
                      <a:off x="0" y="0"/>
                      <a:ext cx="5731510" cy="2072640"/>
                    </a:xfrm>
                    <a:prstGeom prst="rect">
                      <a:avLst/>
                    </a:prstGeom>
                  </pic:spPr>
                </pic:pic>
              </a:graphicData>
            </a:graphic>
          </wp:inline>
        </w:drawing>
      </w:r>
      <w:r w:rsidR="00240F51" w:rsidRPr="00382579">
        <w:rPr>
          <w:b/>
          <w:bCs/>
        </w:rPr>
        <w:drawing>
          <wp:inline distT="0" distB="0" distL="0" distR="0" wp14:anchorId="4CCB3767" wp14:editId="495B82B6">
            <wp:extent cx="5731510" cy="1476375"/>
            <wp:effectExtent l="0" t="0" r="2540" b="9525"/>
            <wp:docPr id="2063312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12078" name="Picture 1" descr="A screenshot of a computer&#10;&#10;AI-generated content may be incorrect."/>
                    <pic:cNvPicPr/>
                  </pic:nvPicPr>
                  <pic:blipFill>
                    <a:blip r:embed="rId14"/>
                    <a:stretch>
                      <a:fillRect/>
                    </a:stretch>
                  </pic:blipFill>
                  <pic:spPr>
                    <a:xfrm>
                      <a:off x="0" y="0"/>
                      <a:ext cx="5731510" cy="1476375"/>
                    </a:xfrm>
                    <a:prstGeom prst="rect">
                      <a:avLst/>
                    </a:prstGeom>
                  </pic:spPr>
                </pic:pic>
              </a:graphicData>
            </a:graphic>
          </wp:inline>
        </w:drawing>
      </w:r>
      <w:r w:rsidR="0049003E" w:rsidRPr="00382579">
        <w:rPr>
          <w:b/>
          <w:bCs/>
        </w:rPr>
        <w:drawing>
          <wp:inline distT="0" distB="0" distL="0" distR="0" wp14:anchorId="34DE90FB" wp14:editId="4D961CA9">
            <wp:extent cx="5731510" cy="1767205"/>
            <wp:effectExtent l="0" t="0" r="2540" b="4445"/>
            <wp:docPr id="379534263" name="Picture 1"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34263" name="Picture 1" descr="A graph with numbers and text&#10;&#10;AI-generated content may be incorrect."/>
                    <pic:cNvPicPr/>
                  </pic:nvPicPr>
                  <pic:blipFill>
                    <a:blip r:embed="rId15"/>
                    <a:stretch>
                      <a:fillRect/>
                    </a:stretch>
                  </pic:blipFill>
                  <pic:spPr>
                    <a:xfrm>
                      <a:off x="0" y="0"/>
                      <a:ext cx="5731510" cy="1767205"/>
                    </a:xfrm>
                    <a:prstGeom prst="rect">
                      <a:avLst/>
                    </a:prstGeom>
                  </pic:spPr>
                </pic:pic>
              </a:graphicData>
            </a:graphic>
          </wp:inline>
        </w:drawing>
      </w:r>
    </w:p>
    <w:p w14:paraId="35D8CF3B" w14:textId="2C15C7F6" w:rsidR="000C1C44" w:rsidRPr="00382579" w:rsidRDefault="000C1C44" w:rsidP="000C1C44">
      <w:pPr>
        <w:jc w:val="both"/>
        <w:rPr>
          <w:b/>
          <w:bCs/>
        </w:rPr>
      </w:pPr>
      <w:r w:rsidRPr="00382579">
        <w:rPr>
          <w:b/>
          <w:bCs/>
          <w:lang w:val="en-US"/>
        </w:rPr>
        <w:t xml:space="preserve">Table </w:t>
      </w:r>
      <w:r w:rsidR="00E14889" w:rsidRPr="00382579">
        <w:rPr>
          <w:b/>
          <w:bCs/>
          <w:lang w:val="en-US"/>
        </w:rPr>
        <w:t>6</w:t>
      </w:r>
      <w:r w:rsidRPr="00382579">
        <w:rPr>
          <w:b/>
          <w:bCs/>
          <w:lang w:val="en-US"/>
        </w:rPr>
        <w:t xml:space="preserve">. </w:t>
      </w:r>
      <w:r w:rsidR="00E14889" w:rsidRPr="00382579">
        <w:rPr>
          <w:b/>
          <w:bCs/>
        </w:rPr>
        <w:t xml:space="preserve">A </w:t>
      </w:r>
      <w:r w:rsidR="00F70920" w:rsidRPr="00382579">
        <w:rPr>
          <w:b/>
          <w:bCs/>
        </w:rPr>
        <w:t>m</w:t>
      </w:r>
      <w:r w:rsidR="00E14889" w:rsidRPr="00382579">
        <w:rPr>
          <w:b/>
          <w:bCs/>
        </w:rPr>
        <w:t>ulti-</w:t>
      </w:r>
      <w:r w:rsidR="00F70920" w:rsidRPr="00382579">
        <w:rPr>
          <w:b/>
          <w:bCs/>
        </w:rPr>
        <w:t>d</w:t>
      </w:r>
      <w:r w:rsidR="00E14889" w:rsidRPr="00382579">
        <w:rPr>
          <w:b/>
          <w:bCs/>
        </w:rPr>
        <w:t xml:space="preserve">imensional </w:t>
      </w:r>
      <w:r w:rsidR="00F70920" w:rsidRPr="00382579">
        <w:rPr>
          <w:b/>
          <w:bCs/>
        </w:rPr>
        <w:t>m</w:t>
      </w:r>
      <w:r w:rsidR="00E14889" w:rsidRPr="00382579">
        <w:rPr>
          <w:b/>
          <w:bCs/>
        </w:rPr>
        <w:t>eta-</w:t>
      </w:r>
      <w:r w:rsidR="00F70920" w:rsidRPr="00382579">
        <w:rPr>
          <w:b/>
          <w:bCs/>
        </w:rPr>
        <w:t>s</w:t>
      </w:r>
      <w:r w:rsidR="00E14889" w:rsidRPr="00382579">
        <w:rPr>
          <w:b/>
          <w:bCs/>
        </w:rPr>
        <w:t xml:space="preserve">ynthesis of </w:t>
      </w:r>
      <w:r w:rsidR="00F70920" w:rsidRPr="00382579">
        <w:rPr>
          <w:b/>
          <w:bCs/>
        </w:rPr>
        <w:t>e</w:t>
      </w:r>
      <w:r w:rsidR="00E14889" w:rsidRPr="00382579">
        <w:rPr>
          <w:b/>
          <w:bCs/>
        </w:rPr>
        <w:t xml:space="preserve">mpirical NFIA </w:t>
      </w:r>
      <w:r w:rsidR="00F70920" w:rsidRPr="00382579">
        <w:rPr>
          <w:b/>
          <w:bCs/>
        </w:rPr>
        <w:t>r</w:t>
      </w:r>
      <w:r w:rsidR="00E14889" w:rsidRPr="00382579">
        <w:rPr>
          <w:b/>
          <w:bCs/>
        </w:rPr>
        <w:t xml:space="preserve">esearch </w:t>
      </w:r>
      <w:r w:rsidR="00F70920" w:rsidRPr="00382579">
        <w:rPr>
          <w:b/>
          <w:bCs/>
        </w:rPr>
        <w:t>t</w:t>
      </w:r>
      <w:r w:rsidR="00E14889" w:rsidRPr="00382579">
        <w:rPr>
          <w:b/>
          <w:bCs/>
        </w:rPr>
        <w:t>hemes</w:t>
      </w:r>
    </w:p>
    <w:p w14:paraId="5992C9AC" w14:textId="03F3F4B2" w:rsidR="000C1C44" w:rsidRPr="00382579" w:rsidRDefault="000C1C44" w:rsidP="000C1C44">
      <w:pPr>
        <w:jc w:val="both"/>
        <w:rPr>
          <w:lang w:val="en-US"/>
        </w:rPr>
      </w:pPr>
      <w:r w:rsidRPr="00382579">
        <w:rPr>
          <w:i/>
          <w:iCs/>
        </w:rPr>
        <w:t>Source: Author’s analysis</w:t>
      </w:r>
    </w:p>
    <w:p w14:paraId="254DA836" w14:textId="77777777" w:rsidR="00E05B27" w:rsidRPr="00382579" w:rsidRDefault="00E05B27">
      <w:pPr>
        <w:spacing w:after="160" w:line="278" w:lineRule="auto"/>
        <w:rPr>
          <w:b/>
          <w:bCs/>
        </w:rPr>
      </w:pPr>
    </w:p>
    <w:p w14:paraId="71C51910" w14:textId="7DA005EC" w:rsidR="00DD7020" w:rsidRDefault="00382318" w:rsidP="00DD7020">
      <w:pPr>
        <w:spacing w:after="160" w:line="278" w:lineRule="auto"/>
        <w:ind w:firstLine="420"/>
      </w:pPr>
      <w:r w:rsidRPr="00382318">
        <w:lastRenderedPageBreak/>
        <w:t>Rather than mapping alone, the synthesis highlights what the field consistently examines—and what it tends to leave untouched</w:t>
      </w:r>
      <w:r w:rsidR="001E4B9E">
        <w:t>, showing how the structure of NFIA research determines what can be governed. The field configuration reveals a pronounced orientation toward market-facing outcomes; NFIA is rendered legible primarily through economic consequences, while internal audit mechanics remain obscured (Fuhrmann et al., 2017; Chi et al., 2020; Carey et al., 2021).</w:t>
      </w:r>
      <w:r w:rsidR="00DD7020">
        <w:t xml:space="preserve"> </w:t>
      </w:r>
      <w:r w:rsidR="001E4B9E">
        <w:t>As NFIA research shifted from public-sector accountability to market-oriented governance, methodological inquiry converged around quantitative analyses of determinants and consequences. This empirical infrastructure privileges outcomes that are standardized and comparable across jurisdictions (Clarkson et al., 2019; Sánchez-Sancho et al., 2025). Consequently, assurance is examined more through its effects on pricing and risk than through the situated interactions constituting audit practice (Perego &amp; Kolk, 2012; Owen et al., 2000).</w:t>
      </w:r>
    </w:p>
    <w:p w14:paraId="13B30514" w14:textId="46225C58" w:rsidR="00E27130" w:rsidRDefault="001E4B9E" w:rsidP="00DD7020">
      <w:pPr>
        <w:spacing w:after="160" w:line="278" w:lineRule="auto"/>
        <w:ind w:firstLine="420"/>
      </w:pPr>
      <w:r>
        <w:t xml:space="preserve">The methodological cleavage in the literature illustrates this dynamic. Archival approaches frame assurance as an adjudicating device valued for </w:t>
      </w:r>
      <w:r w:rsidR="00EE49FC">
        <w:t>signalling</w:t>
      </w:r>
      <w:r>
        <w:t xml:space="preserve"> and risk mitigation (Liao et al., 2016; Chi et al., 2020). While investors occasionally peer into the "black box" by differentiating based on scope (Fuhrmann et al., 2017; Sánchez-Sancho et al., 2025), reputational heuristics and provider identity frequently substitute for engagement with actual assurance processes (Clarkson et al., 2019; </w:t>
      </w:r>
      <w:proofErr w:type="spellStart"/>
      <w:r>
        <w:t>Oware</w:t>
      </w:r>
      <w:proofErr w:type="spellEnd"/>
      <w:r>
        <w:t xml:space="preserve"> &amp; Appiah, 2022).</w:t>
      </w:r>
      <w:r w:rsidR="00DD7020">
        <w:t xml:space="preserve"> </w:t>
      </w:r>
    </w:p>
    <w:p w14:paraId="30376B4B" w14:textId="0EE57480" w:rsidR="00DD7020" w:rsidRDefault="001E4B9E" w:rsidP="00DD7020">
      <w:pPr>
        <w:spacing w:after="160" w:line="278" w:lineRule="auto"/>
        <w:ind w:firstLine="420"/>
      </w:pPr>
      <w:r>
        <w:t xml:space="preserve">Qualitative research offers a counterpoint, foregrounding negotiated materiality, "dry runs," and the co-construction of auditability (O’Dwyer, 2011; </w:t>
      </w:r>
      <w:proofErr w:type="spellStart"/>
      <w:r>
        <w:t>Channuntapipat</w:t>
      </w:r>
      <w:proofErr w:type="spellEnd"/>
      <w:r>
        <w:t xml:space="preserve"> et al., 2019). These studies prove that outcomes are shaped by professional judgment rather than mechanical standards. However, their relative isolation suggests a structural asymmetry: core audit practices resist reduction into variables because their authority relies on tacit expertise and discretion (Canning et al., 2019; Farooq &amp; de Villiers, 2019).</w:t>
      </w:r>
    </w:p>
    <w:p w14:paraId="7F95917A" w14:textId="7D849C90" w:rsidR="00DD7020" w:rsidRDefault="001E4B9E" w:rsidP="00DD7020">
      <w:pPr>
        <w:spacing w:after="160" w:line="278" w:lineRule="auto"/>
        <w:ind w:firstLine="420"/>
      </w:pPr>
      <w:r>
        <w:t xml:space="preserve">Meaningful absences also exist. The lack of quantitative research in performance audit reflects state-based accountability regimes, where audit operates via parliamentary reporting and politically cautious disclosure rather than market adjudication (Guthrie &amp; Parker, 1999; Parker et al., 2019). </w:t>
      </w:r>
      <w:r w:rsidR="0046586A" w:rsidRPr="0046586A">
        <w:t>That said,</w:t>
      </w:r>
      <w:r>
        <w:t xml:space="preserve"> the carbon (GHG) domain foregrounds team dynamics, </w:t>
      </w:r>
      <w:r w:rsidR="00EE49FC">
        <w:t>signalling</w:t>
      </w:r>
      <w:r>
        <w:t xml:space="preserve"> the normalization of multidisciplinary expertise (Green et al., 2017; </w:t>
      </w:r>
      <w:proofErr w:type="spellStart"/>
      <w:r>
        <w:t>Ekasingh</w:t>
      </w:r>
      <w:proofErr w:type="spellEnd"/>
      <w:r>
        <w:t xml:space="preserve"> et al., 2021). Here, the auditor is a coordinating actor within hybrid calculative arrangements (Kim et al., 2016).</w:t>
      </w:r>
    </w:p>
    <w:p w14:paraId="6DDAC2D9" w14:textId="497150A9" w:rsidR="00DB01A6" w:rsidRPr="00382579" w:rsidRDefault="001E4B9E" w:rsidP="00DD7020">
      <w:pPr>
        <w:spacing w:after="160" w:line="278" w:lineRule="auto"/>
        <w:ind w:firstLine="420"/>
      </w:pPr>
      <w:r>
        <w:t xml:space="preserve">The concentration of market studies in CSR/ESG research points to a broader </w:t>
      </w:r>
      <w:proofErr w:type="spellStart"/>
      <w:r>
        <w:t>financiali</w:t>
      </w:r>
      <w:r w:rsidR="00A12046">
        <w:t>s</w:t>
      </w:r>
      <w:r>
        <w:t>ation</w:t>
      </w:r>
      <w:proofErr w:type="spellEnd"/>
      <w:r>
        <w:t xml:space="preserve"> of non-financial assurance. Post-2015 growth represents a consolidation around legitimacy and market relevance rather than balanced diversification. While this stabilizes assurance as an institutional credibility mechanism, it leaves the "organizational intervention" aspect under-theorized. Internal utility functions—such as "suggestion effects" and process improvement (Xing et al., 2025; Hummel et al., 2017)—remain fragmented. This leaves unresolved tensions between assurance as a credibility tool and as a catalyst for substantive change, particularly given the prevalence of limited assurance and reliance on internal data (</w:t>
      </w:r>
      <w:proofErr w:type="spellStart"/>
      <w:r>
        <w:t>Bepari</w:t>
      </w:r>
      <w:proofErr w:type="spellEnd"/>
      <w:r>
        <w:t xml:space="preserve"> &amp; Mollik, 2016; Gu et al., 2023).</w:t>
      </w:r>
    </w:p>
    <w:p w14:paraId="49CFABAA" w14:textId="77777777" w:rsidR="002C6969" w:rsidRDefault="002C6969" w:rsidP="00F94643">
      <w:pPr>
        <w:spacing w:after="160" w:line="278" w:lineRule="auto"/>
        <w:rPr>
          <w:i/>
          <w:iCs/>
        </w:rPr>
      </w:pPr>
    </w:p>
    <w:p w14:paraId="355845A8" w14:textId="554B6E34" w:rsidR="00C82B6A" w:rsidRPr="00382579" w:rsidRDefault="00F94643" w:rsidP="00F94643">
      <w:pPr>
        <w:spacing w:after="160" w:line="278" w:lineRule="auto"/>
        <w:rPr>
          <w:i/>
          <w:iCs/>
        </w:rPr>
      </w:pPr>
      <w:r w:rsidRPr="00382579">
        <w:rPr>
          <w:i/>
          <w:iCs/>
        </w:rPr>
        <w:lastRenderedPageBreak/>
        <w:t>From Heatmap Constraints to Sub-theme Deepening</w:t>
      </w:r>
    </w:p>
    <w:p w14:paraId="17EB8B42" w14:textId="77777777" w:rsidR="002C6969" w:rsidRDefault="002C6969" w:rsidP="002C6969">
      <w:pPr>
        <w:spacing w:after="160" w:line="278" w:lineRule="auto"/>
        <w:ind w:firstLine="420"/>
      </w:pPr>
      <w:r>
        <w:t>The preceding meta-synthesis utilized a dominant-theme classification to preserve interpretability. However, this methodological constraint does not reflect the substantive reality of NFIA research, which routinely spans professional identity, jurisdictional work, and audit practice. Consequently, the aggregate heatmaps capture field-level orientations while necessitating a more fine-grained interrogation at the sub-theme level.</w:t>
      </w:r>
      <w:r>
        <w:t xml:space="preserve"> </w:t>
      </w:r>
      <w:r>
        <w:t>By reopening the analytical space, we examine how inter-professional dynamics operate across the literature. This aligns with Miller and Power’s (2013) view of auditing as a set of practices that shape subjectivities and modes of participation in governance. While our abductive coding precludes a direct mapping onto the "subjectivizing" function, focusing on what is foregrounded provides a productive lens for identifying both theoretical alignment and the field's original contributions to governance theory.</w:t>
      </w:r>
    </w:p>
    <w:p w14:paraId="66DFBC26" w14:textId="7BCBB995" w:rsidR="006308F3" w:rsidRPr="00382579" w:rsidRDefault="006308F3" w:rsidP="002C6969">
      <w:pPr>
        <w:spacing w:after="160" w:line="278" w:lineRule="auto"/>
        <w:rPr>
          <w:i/>
          <w:iCs/>
        </w:rPr>
      </w:pPr>
      <w:r w:rsidRPr="00382579">
        <w:rPr>
          <w:i/>
          <w:iCs/>
        </w:rPr>
        <w:t>Inter-professional Dynamics and the Sociology of the Profession</w:t>
      </w:r>
    </w:p>
    <w:p w14:paraId="05293B40" w14:textId="5C5193BB" w:rsidR="007622C4" w:rsidRPr="00382579" w:rsidRDefault="007622C4" w:rsidP="007622C4">
      <w:pPr>
        <w:ind w:firstLine="420"/>
      </w:pPr>
      <w:r w:rsidRPr="00382579">
        <w:t>The jurisdictional competition literature positions sustainability assurance as an arena of professional struggle in which accounting firms and specialist providers contest authority over methods, standards, and evaluative criteria (</w:t>
      </w:r>
      <w:proofErr w:type="spellStart"/>
      <w:r w:rsidRPr="00382579">
        <w:t>Channuntapipat</w:t>
      </w:r>
      <w:proofErr w:type="spellEnd"/>
      <w:r w:rsidRPr="00382579">
        <w:t xml:space="preserve"> et al., 2019; </w:t>
      </w:r>
      <w:proofErr w:type="spellStart"/>
      <w:r w:rsidRPr="00382579">
        <w:t>Boiral</w:t>
      </w:r>
      <w:proofErr w:type="spellEnd"/>
      <w:r w:rsidRPr="00382579">
        <w:t xml:space="preserve"> et al., 2019). In mature markets such as Australia, Italy, and South Africa, this struggle has increasingly stabilised in favour of large accounting firms, reflecting the extension of financial audit logics into non-financial domains through reputational branding, regulatory alignment, and the institutionalisation of procedural assurance frameworks (Larrinaga et al., 2018; Ackers, 2009; Bradbury et al., 2022). By contrast, more fragmented markets such as the United States and New Zealand continue to accommodate engineering-led and boutique providers, indicating that jurisdictional settlement remains historically contingent and shaped by national regulatory trajectories rather than technical competence alone (Casey &amp; Grenier, 2015; Bentley et al., 2024).</w:t>
      </w:r>
    </w:p>
    <w:p w14:paraId="07B129EE" w14:textId="3722686E" w:rsidR="007622C4" w:rsidRPr="00382579" w:rsidRDefault="007622C4" w:rsidP="007622C4">
      <w:pPr>
        <w:ind w:firstLine="420"/>
      </w:pPr>
      <w:r w:rsidRPr="00382579">
        <w:t xml:space="preserve">Although this literature appears, on its surface, to operate at a field level, its dynamics can be reinterpreted through the lens of the accounting complex. In Miller and Power (2013)’s terms, </w:t>
      </w:r>
      <w:proofErr w:type="spellStart"/>
      <w:r w:rsidRPr="00382579">
        <w:t>subjectivi</w:t>
      </w:r>
      <w:r w:rsidR="004F027B">
        <w:t>z</w:t>
      </w:r>
      <w:r w:rsidRPr="00382579">
        <w:t>ation</w:t>
      </w:r>
      <w:proofErr w:type="spellEnd"/>
      <w:r w:rsidRPr="00382579">
        <w:t xml:space="preserve"> refers to the production of actors who come to understand responsibility, choice, and accountability through calculative norms. From this perspective, jurisdictional conflict is not external to </w:t>
      </w:r>
      <w:proofErr w:type="spellStart"/>
      <w:r w:rsidRPr="00382579">
        <w:t>subjectivi</w:t>
      </w:r>
      <w:r w:rsidR="004F027B">
        <w:t>z</w:t>
      </w:r>
      <w:r w:rsidRPr="00382579">
        <w:t>ation</w:t>
      </w:r>
      <w:proofErr w:type="spellEnd"/>
      <w:r w:rsidRPr="00382579">
        <w:t xml:space="preserve"> but constitutes one of its mechanisms. Competing assurance frameworks and professional logics reshape what it means to be an assurer. Accounting firms promote subject positions centred on procedural rigour, risk management, and auditability through the privileging of ISAE 3000, while specialist providers advance alternative subjectivities grounded in contextual expertise, stakeholder engagement, and narrative justification, often articulated through AA1000 (</w:t>
      </w:r>
      <w:proofErr w:type="spellStart"/>
      <w:r w:rsidRPr="00382579">
        <w:t>Bepari</w:t>
      </w:r>
      <w:proofErr w:type="spellEnd"/>
      <w:r w:rsidRPr="00382579">
        <w:t xml:space="preserve"> &amp; Mollik, 2016; Perego &amp; Kolk, 2012; Hummel et al., 2017).</w:t>
      </w:r>
    </w:p>
    <w:p w14:paraId="4AECEC53" w14:textId="77777777" w:rsidR="007622C4" w:rsidRPr="00382579" w:rsidRDefault="007622C4" w:rsidP="007622C4">
      <w:pPr>
        <w:ind w:firstLine="420"/>
      </w:pPr>
      <w:r w:rsidRPr="00382579">
        <w:t xml:space="preserve">These dynamics are reinforced through </w:t>
      </w:r>
      <w:proofErr w:type="spellStart"/>
      <w:r w:rsidRPr="00382579">
        <w:t>responsibilisation</w:t>
      </w:r>
      <w:proofErr w:type="spellEnd"/>
      <w:r w:rsidRPr="00382579">
        <w:t xml:space="preserve">. Miller and Power (2013) emphasise that accounting renders individuals responsible by tying them to specific calculative regimes. In sustainability assurance, the selection and enforcement of assurance standards exact responsibility from practitioners by enrolling them into distinct evaluative frameworks, each with different expectations regarding evidence, judgement, and accountability (Farooq &amp; de Villiers, 2019; </w:t>
      </w:r>
      <w:proofErr w:type="spellStart"/>
      <w:r w:rsidRPr="00382579">
        <w:t>Boiral</w:t>
      </w:r>
      <w:proofErr w:type="spellEnd"/>
      <w:r w:rsidRPr="00382579">
        <w:t xml:space="preserve"> et al., 2019). Jurisdictional competition thus functions as a struggle over which calculative subjectivities become dominant and which responsibilities are rendered legitimate.</w:t>
      </w:r>
    </w:p>
    <w:p w14:paraId="52CDED06" w14:textId="77777777" w:rsidR="007622C4" w:rsidRPr="00382579" w:rsidRDefault="007622C4" w:rsidP="007622C4">
      <w:pPr>
        <w:ind w:firstLine="420"/>
      </w:pPr>
      <w:r w:rsidRPr="00382579">
        <w:t xml:space="preserve">Accounting firms’ relative success in this struggle reflects their capacity to institutionalise their metrics as authoritative tools of adjudication. Miller and Power (2013) </w:t>
      </w:r>
      <w:r w:rsidRPr="00382579">
        <w:lastRenderedPageBreak/>
        <w:t>argue that accounting’s power lies in its ability to define what constitutes success and failure. By embedding audit-derived measures and assurance language within regulatory and market infrastructures, accounting firms position procedural verification as the legitimate basis for adjudicating sustainability performance, marginalising alternative evaluative logics as insufficiently objective or rigorous (Ackers, 2009; Clarkson et al., 2019).</w:t>
      </w:r>
    </w:p>
    <w:p w14:paraId="6D8CA8FA" w14:textId="16A7C562" w:rsidR="006308F3" w:rsidRPr="00382579" w:rsidRDefault="007622C4" w:rsidP="007622C4">
      <w:pPr>
        <w:ind w:firstLine="420"/>
      </w:pPr>
      <w:r w:rsidRPr="00382579">
        <w:t xml:space="preserve">Yet this stabilisation remains partial and unstable. The procedural, and often anti-managerial, logic of ISAE-based assurance can clash with the narrative, strategic, and forward-looking objectives of sustainability managers, reproducing tensions between auditability and organisational storytelling (Maltby, 1995; </w:t>
      </w:r>
      <w:proofErr w:type="spellStart"/>
      <w:r w:rsidRPr="00382579">
        <w:t>Channuntapipat</w:t>
      </w:r>
      <w:proofErr w:type="spellEnd"/>
      <w:r w:rsidRPr="00382579">
        <w:t xml:space="preserve"> et al., 2019). Moreover, the persistence of fragmented markets and hybrid arrangements—particularly in GHG assurance, where cooperative and multidisciplinary models are observed—reflects what Miller and Power (2013) describe as the accounting complex’s condition of constant reform and endemic failure to stabilise a single, global logic. Rather than anomalies, these fragmentations signal the fluidity and historical contingency of </w:t>
      </w:r>
      <w:proofErr w:type="spellStart"/>
      <w:r w:rsidRPr="00382579">
        <w:t>subjectivi</w:t>
      </w:r>
      <w:r w:rsidR="004F027B">
        <w:t>z</w:t>
      </w:r>
      <w:r w:rsidRPr="00382579">
        <w:t>ation</w:t>
      </w:r>
      <w:proofErr w:type="spellEnd"/>
      <w:r w:rsidRPr="00382579">
        <w:t xml:space="preserve"> processes within non-financial assurance (Canning et al., 2019; Martínez-Ferrero et al., 2025; </w:t>
      </w:r>
      <w:proofErr w:type="spellStart"/>
      <w:r w:rsidRPr="00382579">
        <w:t>Mnif</w:t>
      </w:r>
      <w:proofErr w:type="spellEnd"/>
      <w:r w:rsidRPr="00382579">
        <w:t xml:space="preserve"> &amp; </w:t>
      </w:r>
      <w:proofErr w:type="spellStart"/>
      <w:r w:rsidRPr="00382579">
        <w:t>Kchaou</w:t>
      </w:r>
      <w:proofErr w:type="spellEnd"/>
      <w:r w:rsidRPr="00382579">
        <w:t>, 2025).</w:t>
      </w:r>
    </w:p>
    <w:p w14:paraId="32BC453D" w14:textId="77777777" w:rsidR="00753792" w:rsidRPr="00382579" w:rsidRDefault="00753792" w:rsidP="00165838">
      <w:pPr>
        <w:rPr>
          <w:i/>
          <w:iCs/>
        </w:rPr>
      </w:pPr>
    </w:p>
    <w:p w14:paraId="5CF90CB2" w14:textId="77777777" w:rsidR="00F206F8" w:rsidRPr="00382579" w:rsidRDefault="00F206F8" w:rsidP="00F206F8">
      <w:pPr>
        <w:widowControl w:val="0"/>
        <w:spacing w:after="160"/>
        <w:rPr>
          <w:i/>
          <w:iCs/>
        </w:rPr>
      </w:pPr>
      <w:r w:rsidRPr="00382579">
        <w:rPr>
          <w:i/>
          <w:iCs/>
        </w:rPr>
        <w:t>NFIA as a Socially Constructed and Institutional Practice</w:t>
      </w:r>
    </w:p>
    <w:p w14:paraId="326BB3B6" w14:textId="4A7007EB" w:rsidR="00F0125B" w:rsidRPr="00382579" w:rsidRDefault="00F0125B" w:rsidP="00F0125B">
      <w:pPr>
        <w:ind w:firstLine="420"/>
      </w:pPr>
      <w:r w:rsidRPr="00F0125B">
        <w:t>In Miller and Power (20</w:t>
      </w:r>
      <w:r w:rsidR="002C1F9C" w:rsidRPr="00382579">
        <w:t>1</w:t>
      </w:r>
      <w:r w:rsidRPr="00F0125B">
        <w:t>3)’s framework, territorialising refers to the recursive construction of calculable spaces—both physical and abstract—within which organisational conduct can be rendered visible, comparable, and governable. Accounting does not merely measure activities that already exist; it draws an “envelope” around selected objects, actors, and processes, thereby defining what lies inside the domain of accountability and what is positioned outside its scope (Miller and Power, 20</w:t>
      </w:r>
      <w:r w:rsidR="002C1F9C" w:rsidRPr="00382579">
        <w:t>1</w:t>
      </w:r>
      <w:r w:rsidRPr="00F0125B">
        <w:t>3). Read through this lens, the NFIA literature reveals assurance as a key mechanism through which sustainability and public accountability are spatially organised and made administrable.</w:t>
      </w:r>
    </w:p>
    <w:p w14:paraId="2F9A8C42" w14:textId="5EA6B5FE" w:rsidR="00F0125B" w:rsidRPr="00F0125B" w:rsidRDefault="00F0125B" w:rsidP="00F0125B">
      <w:pPr>
        <w:ind w:firstLine="420"/>
      </w:pPr>
      <w:r w:rsidRPr="00F0125B">
        <w:t xml:space="preserve">A primary means of territorialising in NFIA is the mimicry of financial audit. By importing mediating instruments such as materiality thresholds, risk assessments, and structured assurance methodologies, practitioners translate diffuse and contested sustainability concerns into bounded audit territories that resemble established financial reporting spaces (Canning et al., 2019; </w:t>
      </w:r>
      <w:proofErr w:type="spellStart"/>
      <w:r w:rsidRPr="00F0125B">
        <w:t>Silvola</w:t>
      </w:r>
      <w:proofErr w:type="spellEnd"/>
      <w:r w:rsidRPr="00F0125B">
        <w:t xml:space="preserve"> and </w:t>
      </w:r>
      <w:proofErr w:type="spellStart"/>
      <w:r w:rsidRPr="00F0125B">
        <w:t>Vinnari</w:t>
      </w:r>
      <w:proofErr w:type="spellEnd"/>
      <w:r w:rsidRPr="00F0125B">
        <w:t>, 2021; Farooq and de Villiers, 2019). In Miller and Power (20</w:t>
      </w:r>
      <w:r w:rsidR="002C1F9C" w:rsidRPr="00382579">
        <w:t>1</w:t>
      </w:r>
      <w:r w:rsidRPr="00F0125B">
        <w:t>3)’s terms, these mediating instruments link macro-level demands for transparency and control with micro-level audit routines, making sustainability “thinkable and actionable” in calculative form. Assurance thus does not simply evaluate performance; it actively constructs the space within which performance can be judged.</w:t>
      </w:r>
    </w:p>
    <w:p w14:paraId="6D0D174E" w14:textId="7FB970B0" w:rsidR="00F0125B" w:rsidRPr="00382579" w:rsidRDefault="00F0125B" w:rsidP="00F0125B">
      <w:r w:rsidRPr="00F0125B">
        <w:t>Territorialisation is closely tied to the production of facticity and objectivity. Miller and Power (20</w:t>
      </w:r>
      <w:r w:rsidR="002C1F9C" w:rsidRPr="00382579">
        <w:t>1</w:t>
      </w:r>
      <w:r w:rsidRPr="00F0125B">
        <w:t xml:space="preserve">3) emphasise that accounting technologies generate authoritative inscriptions that acquire the status of facts, appearing objective and beyond the reach of politics. In NFIA, assurance statements and audit reports stabilise contested social and environmental issues by transforming them into technical outcomes, effectively “cooling” controversy through calculation (Skærbæk, 2009; Skærbæk and Christensen, 2015). This process underpins forms of </w:t>
      </w:r>
      <w:proofErr w:type="spellStart"/>
      <w:r w:rsidRPr="00F0125B">
        <w:t>managerialisation</w:t>
      </w:r>
      <w:proofErr w:type="spellEnd"/>
      <w:r w:rsidRPr="00F0125B">
        <w:t xml:space="preserve"> in which political or ethical concerns are reframed as technical management problems solvable through appropriate assurance techniques (Radcliffe, 2008; Islam et al., 2018; Rohani et al., 2023).</w:t>
      </w:r>
    </w:p>
    <w:p w14:paraId="69CA26DF" w14:textId="7A7038E1" w:rsidR="00F0125B" w:rsidRPr="00382579" w:rsidRDefault="0099208C" w:rsidP="00F0125B">
      <w:pPr>
        <w:ind w:firstLine="420"/>
      </w:pPr>
      <w:r>
        <w:t>The</w:t>
      </w:r>
      <w:r w:rsidR="00F0125B" w:rsidRPr="00F0125B">
        <w:t xml:space="preserve"> literature exposes the loose coupling between these calculative envelopes </w:t>
      </w:r>
      <w:r w:rsidR="002C1F9C" w:rsidRPr="00382579">
        <w:t xml:space="preserve">(Miller and Power, 2013) </w:t>
      </w:r>
      <w:r w:rsidR="00F0125B" w:rsidRPr="00F0125B">
        <w:t xml:space="preserve">and underlying practices. Backstage negotiations, pre-assurance reviews, and scope exclusions reveal how assurance territories are continuously adjusted to ensure manageability and avoid disruptive findings (O’Dwyer et al., 2011; </w:t>
      </w:r>
      <w:proofErr w:type="spellStart"/>
      <w:r w:rsidR="00F0125B" w:rsidRPr="00F0125B">
        <w:t>Channuntapipat</w:t>
      </w:r>
      <w:proofErr w:type="spellEnd"/>
      <w:r w:rsidR="00F0125B" w:rsidRPr="00F0125B">
        <w:t xml:space="preserve"> et al., 2019; Farooq and de Villiers, 2019). Consistent with Miller and Power (20</w:t>
      </w:r>
      <w:r w:rsidR="002C1F9C" w:rsidRPr="00382579">
        <w:t>1</w:t>
      </w:r>
      <w:r w:rsidR="00F0125B" w:rsidRPr="00F0125B">
        <w:t xml:space="preserve">3)’s argument </w:t>
      </w:r>
      <w:r w:rsidR="00F0125B" w:rsidRPr="00F0125B">
        <w:lastRenderedPageBreak/>
        <w:t xml:space="preserve">that accounting elaboration often proceeds regardless of functional effectiveness, these practices help explain why NFIA can sustain legitimacy and order even when substantive change is limited (Morin, 2016; </w:t>
      </w:r>
      <w:proofErr w:type="spellStart"/>
      <w:r w:rsidR="00F0125B" w:rsidRPr="00F0125B">
        <w:t>Boiral</w:t>
      </w:r>
      <w:proofErr w:type="spellEnd"/>
      <w:r w:rsidR="00F0125B" w:rsidRPr="00F0125B">
        <w:t xml:space="preserve"> et al., 2019).</w:t>
      </w:r>
    </w:p>
    <w:p w14:paraId="20C948EF" w14:textId="1996B4C0" w:rsidR="00F0125B" w:rsidRPr="00F0125B" w:rsidRDefault="00F0125B" w:rsidP="00F0125B">
      <w:pPr>
        <w:ind w:firstLine="420"/>
      </w:pPr>
      <w:r w:rsidRPr="00F0125B">
        <w:t>Finally, digital infrastructures further entrench territorial boundaries. Data architectures, algorithms, and reporting platforms operate as non-human elements of the accounting complex, embedding calculative choices into organisational environments and constraining what auditors can observe and contest (Aquino et al., 2023). As Miller and Power (20</w:t>
      </w:r>
      <w:r w:rsidR="002C1F9C" w:rsidRPr="00382579">
        <w:t>1</w:t>
      </w:r>
      <w:r w:rsidRPr="00F0125B">
        <w:t>3) argue, such artefacts are not neutral tools but integral technologies through which programmes of accountability are realised and stabilised.</w:t>
      </w:r>
    </w:p>
    <w:p w14:paraId="04001601" w14:textId="77777777" w:rsidR="00753792" w:rsidRPr="00382579" w:rsidRDefault="00753792" w:rsidP="00F206F8">
      <w:pPr>
        <w:rPr>
          <w:i/>
          <w:iCs/>
        </w:rPr>
      </w:pPr>
    </w:p>
    <w:p w14:paraId="47590223" w14:textId="77777777" w:rsidR="00EA5FB0" w:rsidRPr="00382579" w:rsidRDefault="00EA5FB0" w:rsidP="00EA5FB0">
      <w:pPr>
        <w:widowControl w:val="0"/>
        <w:spacing w:after="160"/>
        <w:rPr>
          <w:i/>
          <w:iCs/>
        </w:rPr>
      </w:pPr>
      <w:r w:rsidRPr="00382579">
        <w:rPr>
          <w:i/>
          <w:iCs/>
        </w:rPr>
        <w:t>The Broader Political and Managerial Utility of NFIA</w:t>
      </w:r>
    </w:p>
    <w:p w14:paraId="1FD46915" w14:textId="77777777" w:rsidR="00A404B1" w:rsidRPr="00382579" w:rsidRDefault="00721997" w:rsidP="00A404B1">
      <w:pPr>
        <w:ind w:firstLine="420"/>
      </w:pPr>
      <w:r w:rsidRPr="00721997">
        <w:t>In the framework developed by Miller and Power (2013), mediating refers to accounting’s capacity to link otherwise distinct actors, aspirations, and arenas through shared narratives and calculative practices. Accounting does not merely record or verify; it operationalises abstract political and managerial ideals—such as efficiency, accountability, or public value—by embedding them within concrete routines, reports, and evaluative devices. Read through this lens, the NFIA literature reveals a marked asymmetry in how mediating functions are examined across assurance domains.</w:t>
      </w:r>
    </w:p>
    <w:p w14:paraId="7D5F0A33" w14:textId="77777777" w:rsidR="00A404B1" w:rsidRPr="00382579" w:rsidRDefault="00721997" w:rsidP="00A404B1">
      <w:pPr>
        <w:ind w:firstLine="420"/>
      </w:pPr>
      <w:r w:rsidRPr="00721997">
        <w:t xml:space="preserve">This mediating role is most explicitly theorised and empirically documented in performance audit, where assurance practices are shown to connect macro-level political ambitions with micro-level administrative action. Performance audits routinely mediate between Parliament, executives, auditors, media, and citizens by translating broad democratic aspirations—scrutiny of power, value for money, responsible stewardship—into technical audit findings that can travel across institutional arenas (Guthrie and Parker, 1999; Morin, 2011; Parker et al., 2019). Audit reports function as boundary objects that simultaneously support legislative oversight, managerial reform, and political contestation, even when these objectives sit in tension with one another (Funnell et al., 2016; Lapsley and </w:t>
      </w:r>
      <w:proofErr w:type="spellStart"/>
      <w:r w:rsidRPr="00721997">
        <w:t>Vakkuri</w:t>
      </w:r>
      <w:proofErr w:type="spellEnd"/>
      <w:r w:rsidRPr="00721997">
        <w:t xml:space="preserve">, 2002). In Miller and Power (2013)’s terms, performance audit operates as a mediating </w:t>
      </w:r>
      <w:proofErr w:type="spellStart"/>
      <w:r w:rsidRPr="00721997">
        <w:t>dispositif</w:t>
      </w:r>
      <w:proofErr w:type="spellEnd"/>
      <w:r w:rsidRPr="00721997">
        <w:t xml:space="preserve"> precisely because its inscriptions are sufficiently stable to circulate, yet sufficiently ambiguous to align diverse interests.</w:t>
      </w:r>
    </w:p>
    <w:p w14:paraId="730B0B3F" w14:textId="77777777" w:rsidR="00A404B1" w:rsidRPr="00382579" w:rsidRDefault="00721997" w:rsidP="00A404B1">
      <w:pPr>
        <w:ind w:firstLine="420"/>
      </w:pPr>
      <w:r w:rsidRPr="00721997">
        <w:t xml:space="preserve">The same literature also demonstrates that mediation often thrives on ambiguity rather than precision. Performance audit findings are frequently mobilised as political ammunition, managerial guidance, and symbolic reassurance at once, allowing different actors to appropriate the same calculative artefact for divergent ends (Rika and Jacobs, 2019; </w:t>
      </w:r>
      <w:proofErr w:type="spellStart"/>
      <w:r w:rsidRPr="00721997">
        <w:t>Hazgui</w:t>
      </w:r>
      <w:proofErr w:type="spellEnd"/>
      <w:r w:rsidRPr="00721997">
        <w:t xml:space="preserve"> et al., 2022). This loose coupling between political ideals and organisational outcomes reflects Miller and Power (2013)’s observation that accounting reforms proliferate even where functional impacts are uncertain, sustaining legitimacy through symbolic alignment rather than substantive resolution (Morin, 2016; Cordery et al., 2022).</w:t>
      </w:r>
    </w:p>
    <w:p w14:paraId="2011E627" w14:textId="15DC7A30" w:rsidR="00721997" w:rsidRPr="00721997" w:rsidRDefault="00566C46" w:rsidP="00A404B1">
      <w:pPr>
        <w:ind w:firstLine="420"/>
      </w:pPr>
      <w:r w:rsidRPr="00566C46">
        <w:t>By contrast, CSR/ESG assurance research has tended to foreground market-facing governance questions—such as credibility, signalling, and information risk—more than the broader political and managerial mediations emphasised in performance-audit research (Casey &amp; Grenier, 2015; Clarkson et al., 2019; Fuhrmann et al., 2017). Review-based syntheses similarly organise CSR/ESG assurance primarily around domain-specific assurance elements and greenwashing/credibility concerns, leaving the mediating role of assurance comparatively under-theorised (Farooq et al., 2023; Free, Jones &amp; Tremblay, 2024).</w:t>
      </w:r>
      <w:r>
        <w:t xml:space="preserve"> </w:t>
      </w:r>
      <w:r w:rsidR="00721997" w:rsidRPr="00721997">
        <w:t>This</w:t>
      </w:r>
      <w:r>
        <w:t xml:space="preserve"> </w:t>
      </w:r>
      <w:r w:rsidR="00721997" w:rsidRPr="00721997">
        <w:t xml:space="preserve">absence is analytically significant. From a mediating perspective, CSR/ESG assurance must also connect corporate practices to regulatory expectations, investor narratives, societal values, and, increasingly, public policy goals. The concentration of mediating analyses in performance audit therefore signals not a domain-specific property, but a research gap: the </w:t>
      </w:r>
      <w:r w:rsidR="00721997" w:rsidRPr="00721997">
        <w:lastRenderedPageBreak/>
        <w:t>political and managerial utility of CSR/ESG assurance remains under-theorised, despite its growing role in shaping how sustainability is governed, contested, and legitimated across organisational and political arenas (Miller and Power, 2013).</w:t>
      </w:r>
    </w:p>
    <w:p w14:paraId="1AEDADB0" w14:textId="77777777" w:rsidR="00F206F8" w:rsidRPr="00382579" w:rsidRDefault="00F206F8" w:rsidP="00F206F8">
      <w:pPr>
        <w:rPr>
          <w:i/>
          <w:iCs/>
        </w:rPr>
      </w:pPr>
    </w:p>
    <w:p w14:paraId="77908B6D" w14:textId="77777777" w:rsidR="00753792" w:rsidRPr="00382579" w:rsidRDefault="00753792" w:rsidP="00F206F8">
      <w:pPr>
        <w:rPr>
          <w:i/>
          <w:iCs/>
        </w:rPr>
      </w:pPr>
    </w:p>
    <w:p w14:paraId="56ED8C8B" w14:textId="77777777" w:rsidR="00753792" w:rsidRPr="00382579" w:rsidRDefault="00753792" w:rsidP="00753792">
      <w:pPr>
        <w:widowControl w:val="0"/>
        <w:spacing w:after="160"/>
        <w:rPr>
          <w:i/>
          <w:iCs/>
        </w:rPr>
      </w:pPr>
      <w:r w:rsidRPr="00382579">
        <w:rPr>
          <w:i/>
          <w:iCs/>
        </w:rPr>
        <w:t>Determinants and Consequences of NFIA</w:t>
      </w:r>
    </w:p>
    <w:p w14:paraId="00EBD43D" w14:textId="77777777" w:rsidR="00112014" w:rsidRPr="00382579" w:rsidRDefault="00112014" w:rsidP="00112014">
      <w:pPr>
        <w:ind w:firstLine="420"/>
      </w:pPr>
      <w:r w:rsidRPr="00382579">
        <w:t xml:space="preserve">The Determinants and Consequences stream is analytically distinctive within the NFIA literature because it is overwhelmingly dominated by quantitative archival and experimental designs. These studies typically proceed from a positivist assumption that assurance quality and effects are objectively observable—manifesting, for example, in reduced bid–ask spreads, lower costs of equity and debt, diminished stock crash risk, fewer restatements, or improved disclosure credibility (Ballou et al., 2015; Casey and Grenier, 2015; Chi et al., 2020; </w:t>
      </w:r>
      <w:proofErr w:type="spellStart"/>
      <w:r w:rsidRPr="00382579">
        <w:t>Pinnuck</w:t>
      </w:r>
      <w:proofErr w:type="spellEnd"/>
      <w:r w:rsidRPr="00382579">
        <w:t xml:space="preserve"> et al., 2021; Sánchez-Sancho et al., 2025; Yang and </w:t>
      </w:r>
      <w:proofErr w:type="spellStart"/>
      <w:r w:rsidRPr="00382579">
        <w:t>Maresova</w:t>
      </w:r>
      <w:proofErr w:type="spellEnd"/>
      <w:r w:rsidRPr="00382579">
        <w:t>, 2025). Read through the framework developed by Miller and Power (2013), however, these empirical regularities can be reinterpreted not as neutral measurements of “better” assurance, but as evidence of accounting’s adjudicating capacity—its ability to define success and failure, allocate responsibility, and stabilise norms of appropriate organisational conduct.</w:t>
      </w:r>
    </w:p>
    <w:p w14:paraId="456D7E31" w14:textId="77777777" w:rsidR="00112014" w:rsidRPr="00382579" w:rsidRDefault="00112014" w:rsidP="00112014">
      <w:pPr>
        <w:ind w:firstLine="420"/>
      </w:pPr>
      <w:r w:rsidRPr="00382579">
        <w:t xml:space="preserve">Miller and Power (2013) emphasise that adjudication is not simply a technical outcome of calculation, but a socially legitimated practice imbued with latent normativity. Accounting acquires authority precisely because it renders organisations into “entities of a certain kind” that can be evaluated, compared, and judged (Miller and Power, 2013). The capital-market literature on sustainability assurance exemplifies this process. Findings that assurance reduces information asymmetry and risk (Fuhrmann et al., 2017; Chi et al., 2020; Sánchez-Sancho et al., 2025) document how adjudicatory inscriptions—assurance opinions, provider identities, assurance levels—circulate as abbreviated verdicts of organisational virtue. Importantly, adjudication does not operate solely through technical detail. While some evidence shows that investors differentiate based on scope and level of assurance (Fuhrmann et al., 2017; Sánchez-Sancho et al., 2025), other studies demonstrate reliance on reputational heuristics, particularly the symbolic authority of Big 4 providers (Clarkson et al., 2019; </w:t>
      </w:r>
      <w:proofErr w:type="spellStart"/>
      <w:r w:rsidRPr="00382579">
        <w:t>Oware</w:t>
      </w:r>
      <w:proofErr w:type="spellEnd"/>
      <w:r w:rsidRPr="00382579">
        <w:t xml:space="preserve"> and Appiah, 2022). This tension illustrates Miller and Power (2013)’s claim that adjudication functions as a widely diffused “style of thought,” rather than a purely rational calculus.</w:t>
      </w:r>
    </w:p>
    <w:p w14:paraId="098CB748" w14:textId="52E56556" w:rsidR="00112014" w:rsidRPr="00382579" w:rsidRDefault="00112014" w:rsidP="00112014">
      <w:pPr>
        <w:ind w:firstLine="420"/>
      </w:pPr>
      <w:r w:rsidRPr="00382579">
        <w:t xml:space="preserve">The Assurance and Greenwashing sub-stream further </w:t>
      </w:r>
      <w:proofErr w:type="gramStart"/>
      <w:r w:rsidRPr="00382579">
        <w:t>exposes</w:t>
      </w:r>
      <w:proofErr w:type="gramEnd"/>
      <w:r w:rsidRPr="00382579">
        <w:t xml:space="preserve"> adjudication’s ambivalence. Assurance is shown to deter symbolic disclosure and detect errors (Ballou et al., 2015; </w:t>
      </w:r>
      <w:proofErr w:type="spellStart"/>
      <w:r w:rsidRPr="00382579">
        <w:t>Pinnuck</w:t>
      </w:r>
      <w:proofErr w:type="spellEnd"/>
      <w:r w:rsidRPr="00382579">
        <w:t xml:space="preserve"> et al., 2021; Bentley et al., 2024), yet it can also be strategically constrained through limited scopes, provider shopping, and managerial capture, thereby sustaining a veneer of legitimacy without substantive change (Perego and Kolk, 2012; Casey and Grenier, 2015; Ackers, 2015). Paradoxical effects such as moral licensing—where ESG assurance facilitates more aggressive financial reporting—demonstrate how adjudicatory legitimacy may be transferred across domains once “good performance” is institutionally certified (Douthit et al., 2025), consistent with Miller and Power (2013)’s observation that adjudication expands readily to new objects of valuation.</w:t>
      </w:r>
    </w:p>
    <w:p w14:paraId="76600631" w14:textId="77777777" w:rsidR="00112014" w:rsidRPr="00382579" w:rsidRDefault="00112014" w:rsidP="00112014"/>
    <w:p w14:paraId="2A93AAB5" w14:textId="5CDA791D" w:rsidR="00753792" w:rsidRPr="00382579" w:rsidRDefault="00112014" w:rsidP="000E6B37">
      <w:pPr>
        <w:ind w:firstLine="420"/>
      </w:pPr>
      <w:r w:rsidRPr="00382579">
        <w:t xml:space="preserve">A critical limitation of this stream lies in its empirical concentration. Adjudicatory effects are predominantly examined in CSR/ESG contexts where data infrastructures enable commensuration, while performance audit and emerging assurance domains remain largely absent due to their resistance to quantification. From a Miller and Power (2013) perspective, this signals a significant research opportunity. Adjudication is likely to be most formative at the inception of new assurance territories—such as carbon and climate assurance—before </w:t>
      </w:r>
      <w:r w:rsidRPr="00382579">
        <w:lastRenderedPageBreak/>
        <w:t xml:space="preserve">calculative infrastructures become </w:t>
      </w:r>
      <w:proofErr w:type="spellStart"/>
      <w:r w:rsidRPr="00382579">
        <w:t>blackboxed</w:t>
      </w:r>
      <w:proofErr w:type="spellEnd"/>
      <w:r w:rsidRPr="00382579">
        <w:t xml:space="preserve"> and their normative assumptions taken for granted. The current literature therefore captures adjudication after it has stabilised, leaving under-explored the early moments when accounting actively makes up what counts as “good,” “bad,” or “credible” performance (Miller and Power, 2013).</w:t>
      </w:r>
    </w:p>
    <w:p w14:paraId="27FA573E" w14:textId="77777777" w:rsidR="00AD2A85" w:rsidRPr="00382579" w:rsidRDefault="00AD2A85" w:rsidP="00AF6699">
      <w:pPr>
        <w:jc w:val="center"/>
        <w:rPr>
          <w:b/>
          <w:bCs/>
        </w:rPr>
      </w:pPr>
    </w:p>
    <w:p w14:paraId="63ED7124" w14:textId="77777777" w:rsidR="009A54B0" w:rsidRPr="00382579" w:rsidRDefault="009A54B0" w:rsidP="00AF6699">
      <w:pPr>
        <w:pStyle w:val="ListParagraph"/>
        <w:ind w:left="360" w:firstLine="491"/>
        <w:jc w:val="both"/>
      </w:pPr>
    </w:p>
    <w:p w14:paraId="022B26EC" w14:textId="77777777" w:rsidR="008E4CC1" w:rsidRPr="00382579" w:rsidRDefault="008E4CC1" w:rsidP="008E4CC1">
      <w:pPr>
        <w:jc w:val="center"/>
        <w:rPr>
          <w:b/>
          <w:bCs/>
        </w:rPr>
      </w:pPr>
      <w:r w:rsidRPr="00382579">
        <w:rPr>
          <w:b/>
          <w:bCs/>
        </w:rPr>
        <w:t>Discussion and Conclusion</w:t>
      </w:r>
    </w:p>
    <w:p w14:paraId="0D547EC5" w14:textId="77777777" w:rsidR="008E4CC1" w:rsidRPr="00382579" w:rsidRDefault="008E4CC1" w:rsidP="00AF6699">
      <w:pPr>
        <w:pStyle w:val="ListParagraph"/>
        <w:ind w:left="360" w:firstLine="491"/>
        <w:jc w:val="both"/>
      </w:pPr>
    </w:p>
    <w:p w14:paraId="4FCB8D84" w14:textId="03F6A7BD" w:rsidR="00382579" w:rsidRDefault="00382579" w:rsidP="00382579">
      <w:pPr>
        <w:jc w:val="both"/>
        <w:rPr>
          <w:i/>
          <w:iCs/>
        </w:rPr>
      </w:pPr>
      <w:r w:rsidRPr="00382579">
        <w:rPr>
          <w:i/>
          <w:iCs/>
        </w:rPr>
        <w:t>Revisiting the Audit Society through NFIA</w:t>
      </w:r>
    </w:p>
    <w:p w14:paraId="762EF49E" w14:textId="77777777" w:rsidR="000E6B37" w:rsidRPr="00382579" w:rsidRDefault="000E6B37" w:rsidP="00382579">
      <w:pPr>
        <w:jc w:val="both"/>
        <w:rPr>
          <w:i/>
          <w:iCs/>
        </w:rPr>
      </w:pPr>
    </w:p>
    <w:p w14:paraId="78FD00C7" w14:textId="6492CFFB" w:rsidR="00382579" w:rsidRPr="00382579" w:rsidRDefault="00382579" w:rsidP="00382579">
      <w:pPr>
        <w:ind w:firstLine="420"/>
        <w:jc w:val="both"/>
      </w:pPr>
      <w:r w:rsidRPr="00382579">
        <w:t>The empirical literature on NFIA has undergone a profound transformation over the past 35 years. In the 1990s, the field was anchored in public-sector performance auditing and New Public Management (NPM) reforms, where state institutions sought to verify “value for money” (Guthrie &amp; Parker, 1999; Funnell &amp; Wade, 2012). During the 2000s, scholarly attention shifted towards corporate social responsibility (CSR) assurance as a voluntary mechanism for legitimacy repair following social and environmental controversies (Perego &amp; Kolk, 2012; Ackers, 2015). In the current decade, the literature documents an unprecedented acceleration and diversification into ESG, carbon accounting, and digitally mediated assurance regimes (Xing et al., 2025; Zhang &amp; Shi, 2024). This trajectory indicates that NFIA has evolved from a peripheral governance device—often dismissed as symbolic (Casey &amp; Grenier, 2015)—into a core infrastructure of contemporary regulation.</w:t>
      </w:r>
    </w:p>
    <w:p w14:paraId="380CF6DD" w14:textId="77777777" w:rsidR="00382579" w:rsidRPr="00382579" w:rsidRDefault="00382579" w:rsidP="00382579">
      <w:pPr>
        <w:ind w:firstLine="420"/>
        <w:jc w:val="both"/>
      </w:pPr>
      <w:r w:rsidRPr="00382579">
        <w:t>This evolution signals a qualitative shift from audit as an episodic practice to audit as a pervasive infrastructure. Mobilising Power’s (2003b) refinement of the audit explosion, the review shows that NFIA is no longer discretionary or marginal. Instead, it increasingly operates as a form of “control of control”, embedded within internal data architectures, governance routines, and automated reporting systems (</w:t>
      </w:r>
      <w:proofErr w:type="spellStart"/>
      <w:r w:rsidRPr="00382579">
        <w:t>Mardawi</w:t>
      </w:r>
      <w:proofErr w:type="spellEnd"/>
      <w:r w:rsidRPr="00382579">
        <w:t xml:space="preserve"> et al., 2024; Gu et al., 2023). In this sense, the audit society has matured into what can be described as an </w:t>
      </w:r>
      <w:r w:rsidRPr="00382579">
        <w:rPr>
          <w:b/>
          <w:bCs/>
        </w:rPr>
        <w:t>audit planet</w:t>
      </w:r>
      <w:r w:rsidRPr="00382579">
        <w:t>, where verification is not merely reactive but constitutive of how organisational and regulatory spaces are rendered governable.</w:t>
      </w:r>
    </w:p>
    <w:p w14:paraId="3D1EC6B0" w14:textId="510E98E9" w:rsidR="00382579" w:rsidRPr="00382579" w:rsidRDefault="00382579" w:rsidP="00382579">
      <w:pPr>
        <w:ind w:firstLine="420"/>
        <w:jc w:val="both"/>
      </w:pPr>
      <w:r w:rsidRPr="00382579">
        <w:t xml:space="preserve">NFIA provides a privileged empirical site for evaluating these developments because, unlike financial auditing, it remains visibly “in the making”. Financial audit has been largely stabilised and </w:t>
      </w:r>
      <w:proofErr w:type="spellStart"/>
      <w:r w:rsidRPr="00382579">
        <w:t>blackboxed</w:t>
      </w:r>
      <w:proofErr w:type="spellEnd"/>
      <w:r w:rsidRPr="00382579">
        <w:t xml:space="preserve"> through long-standing professional settlement. By contrast, NFIA is characterised by experimentation, contestation, and failure, as illustrated by the rise and decline of initiatives such as </w:t>
      </w:r>
      <w:proofErr w:type="spellStart"/>
      <w:r w:rsidRPr="00382579">
        <w:t>WebTrust</w:t>
      </w:r>
      <w:proofErr w:type="spellEnd"/>
      <w:r w:rsidRPr="00382579">
        <w:t xml:space="preserve"> (Barrett &amp; Gendron, 2006; Gendron et al., 2007) and the ongoing difficulties surrounding greenhouse gas (GHG) assurance (Green &amp; Li, 2011). The emergence of hybrid teams, negotiated auditability, and unstable standards renders the backstage mechanics of verification unusually visible, making NFIA fertile ground for empirically examining Power’s later refinements of the audit society.</w:t>
      </w:r>
    </w:p>
    <w:p w14:paraId="60B920E2" w14:textId="64675C6B" w:rsidR="00382579" w:rsidRPr="00382579" w:rsidRDefault="00382579" w:rsidP="00382579">
      <w:pPr>
        <w:jc w:val="both"/>
      </w:pPr>
    </w:p>
    <w:p w14:paraId="392F5ADD" w14:textId="6C51506E" w:rsidR="00382579" w:rsidRDefault="00382579" w:rsidP="00382579">
      <w:pPr>
        <w:jc w:val="both"/>
        <w:rPr>
          <w:i/>
          <w:iCs/>
        </w:rPr>
      </w:pPr>
      <w:r w:rsidRPr="00382579">
        <w:rPr>
          <w:i/>
          <w:iCs/>
        </w:rPr>
        <w:t>Legitimacy without Observation</w:t>
      </w:r>
    </w:p>
    <w:p w14:paraId="693D7D3D" w14:textId="77777777" w:rsidR="000E6B37" w:rsidRPr="00382579" w:rsidRDefault="000E6B37" w:rsidP="00382579">
      <w:pPr>
        <w:jc w:val="both"/>
        <w:rPr>
          <w:i/>
          <w:iCs/>
        </w:rPr>
      </w:pPr>
    </w:p>
    <w:p w14:paraId="149FCE8D" w14:textId="77777777" w:rsidR="00382579" w:rsidRPr="00382579" w:rsidRDefault="00382579" w:rsidP="00382579">
      <w:pPr>
        <w:ind w:firstLine="420"/>
        <w:jc w:val="both"/>
      </w:pPr>
      <w:r w:rsidRPr="00382579">
        <w:t>A dominant pattern identified across the review is the production of procedural legitimacy, lending strong empirical support to Power’s (2003a) argument that audit quality is defined internally within the profession rather than through direct observation. NFIA legitimacy is repeatedly shown to be constructed through standardised templates, ISAE 3000 work programmes, and the formalisation of working papers (</w:t>
      </w:r>
      <w:proofErr w:type="spellStart"/>
      <w:r w:rsidRPr="00382579">
        <w:t>Boiral</w:t>
      </w:r>
      <w:proofErr w:type="spellEnd"/>
      <w:r w:rsidRPr="00382579">
        <w:t xml:space="preserve"> et al., 2019; </w:t>
      </w:r>
      <w:proofErr w:type="spellStart"/>
      <w:r w:rsidRPr="00382579">
        <w:t>Bepari</w:t>
      </w:r>
      <w:proofErr w:type="spellEnd"/>
      <w:r w:rsidRPr="00382579">
        <w:t xml:space="preserve"> &amp; Mollik, 2016; Larrinaga et al., 2018). These artefacts stabilise uncertainty inherent in non-financial data, translating heterogeneous social and environmental claims into defensible and auditable representations.</w:t>
      </w:r>
    </w:p>
    <w:p w14:paraId="6BBD3A6C" w14:textId="77777777" w:rsidR="00382579" w:rsidRPr="00382579" w:rsidRDefault="00382579" w:rsidP="00382579">
      <w:pPr>
        <w:ind w:firstLine="420"/>
        <w:jc w:val="both"/>
      </w:pPr>
      <w:r w:rsidRPr="00382579">
        <w:lastRenderedPageBreak/>
        <w:t xml:space="preserve">This procedural legitimacy is reinforced through pre-assurance “dry runs” and backstage negotiations between assurors and auditees. Such practices operate as purification mechanisms (Power, 2003a), identifying and neutralising potential audit failures prior to the issuance of the assurance statement (Farooq &amp; de Villiers, 2019; </w:t>
      </w:r>
      <w:proofErr w:type="spellStart"/>
      <w:r w:rsidRPr="00382579">
        <w:t>Channuntapipat</w:t>
      </w:r>
      <w:proofErr w:type="spellEnd"/>
      <w:r w:rsidRPr="00382579">
        <w:t xml:space="preserve"> et al., 2019; O’Dwyer et al., 2011). By the time NFIA outputs reach external audiences, the contingent and negotiated nature of underlying performance has been largely erased, replaced by a rationalised narrative of compliance and rigour.</w:t>
      </w:r>
    </w:p>
    <w:p w14:paraId="39117337" w14:textId="4CAEDF66" w:rsidR="00382579" w:rsidRPr="00382579" w:rsidRDefault="00382579" w:rsidP="00382579">
      <w:pPr>
        <w:ind w:firstLine="420"/>
        <w:jc w:val="both"/>
      </w:pPr>
      <w:r w:rsidRPr="00382579">
        <w:t>Importantly, the review suggests that NFIA radicalises procedural legitimacy beyond the conditions originally analysed by Power. In domains such as carbon sequestration, climate modelling, or forward-looking transition risk, physical observation is often structurally impossible. In these settings, assurance becomes largely self-referential: legitimacy is derived almost exclusively from adherence to calculative protocols rather than correspondence with an observable reality (</w:t>
      </w:r>
      <w:proofErr w:type="spellStart"/>
      <w:r w:rsidRPr="00382579">
        <w:t>Boiral</w:t>
      </w:r>
      <w:proofErr w:type="spellEnd"/>
      <w:r w:rsidRPr="00382579">
        <w:t xml:space="preserve"> et al., 2018; Taylor et al., 2001). Despite this, much of the empirical literature remains weakly reflexive, continuing to treat assurance as a proxy for objective performance rather than interrogating the procedural rituals through which such objectivity is produced (O’Dwyer et al., 2011; </w:t>
      </w:r>
      <w:proofErr w:type="spellStart"/>
      <w:r w:rsidRPr="00382579">
        <w:t>Boiral</w:t>
      </w:r>
      <w:proofErr w:type="spellEnd"/>
      <w:r w:rsidRPr="00382579">
        <w:t xml:space="preserve"> et al., 2019).</w:t>
      </w:r>
    </w:p>
    <w:p w14:paraId="6D7DE0D7" w14:textId="5577306D" w:rsidR="00382579" w:rsidRPr="00382579" w:rsidRDefault="00382579" w:rsidP="00382579">
      <w:pPr>
        <w:jc w:val="both"/>
      </w:pPr>
    </w:p>
    <w:p w14:paraId="11278C79" w14:textId="5889B4B7" w:rsidR="00382579" w:rsidRDefault="00382579" w:rsidP="00382579">
      <w:pPr>
        <w:jc w:val="both"/>
        <w:rPr>
          <w:i/>
          <w:iCs/>
        </w:rPr>
      </w:pPr>
      <w:r w:rsidRPr="00382579">
        <w:rPr>
          <w:i/>
          <w:iCs/>
        </w:rPr>
        <w:t>Symbolic Verification and the Comfort Function</w:t>
      </w:r>
    </w:p>
    <w:p w14:paraId="055BADF9" w14:textId="77777777" w:rsidR="000E6B37" w:rsidRPr="00382579" w:rsidRDefault="000E6B37" w:rsidP="00382579">
      <w:pPr>
        <w:jc w:val="both"/>
        <w:rPr>
          <w:i/>
          <w:iCs/>
        </w:rPr>
      </w:pPr>
    </w:p>
    <w:p w14:paraId="3544B4E1" w14:textId="77777777" w:rsidR="00382579" w:rsidRPr="00382579" w:rsidRDefault="00382579" w:rsidP="00382579">
      <w:pPr>
        <w:ind w:firstLine="420"/>
        <w:jc w:val="both"/>
      </w:pPr>
      <w:r w:rsidRPr="00382579">
        <w:t>Whereas procedural legitimacy concerns how assurance stabilises itself internally as a credible practice, the comfort function captures how that credibility is mobilised externally to reassure markets and stakeholders.</w:t>
      </w:r>
    </w:p>
    <w:p w14:paraId="27DBFB0D" w14:textId="77777777" w:rsidR="00382579" w:rsidRPr="00382579" w:rsidRDefault="00382579" w:rsidP="00382579">
      <w:pPr>
        <w:ind w:firstLine="420"/>
        <w:jc w:val="both"/>
      </w:pPr>
      <w:r w:rsidRPr="00382579">
        <w:t xml:space="preserve">The CSR and ESG assurance literature strongly corroborates the “comfort function” identified in the audit society thesis (Power, 1997). Rather than driving substantive organisational transformation, NFIA frequently operates as a ritual of verification that produces reassurance for investors and regulators (Fuhrmann et al., 2017; Clarkson et al., 2019). Clear displacement effects are evident, whereby documentation and symbolic disclosure become ends in themselves, increasingly decoupled from underlying social or environmental outcomes (Perego &amp; Kolk, 2012; </w:t>
      </w:r>
      <w:proofErr w:type="spellStart"/>
      <w:r w:rsidRPr="00382579">
        <w:t>Bepari</w:t>
      </w:r>
      <w:proofErr w:type="spellEnd"/>
      <w:r w:rsidRPr="00382579">
        <w:t xml:space="preserve"> &amp; Mollik, 2016).</w:t>
      </w:r>
    </w:p>
    <w:p w14:paraId="3D3AD6FF" w14:textId="77777777" w:rsidR="00382579" w:rsidRPr="00382579" w:rsidRDefault="00382579" w:rsidP="00382579">
      <w:pPr>
        <w:ind w:firstLine="420"/>
        <w:jc w:val="both"/>
      </w:pPr>
      <w:r w:rsidRPr="00382579">
        <w:t xml:space="preserve">This symbolic verification is mediated through reputational heuristics and moral licensing. The presence of a Big 4 assurance provider frequently substitutes for scrutiny of assurance scope or depth (Clarkson et al., 2019; Casey &amp; Grenier, 2015; Yang &amp; </w:t>
      </w:r>
      <w:proofErr w:type="spellStart"/>
      <w:r w:rsidRPr="00382579">
        <w:t>Maresova</w:t>
      </w:r>
      <w:proofErr w:type="spellEnd"/>
      <w:r w:rsidRPr="00382579">
        <w:t>, 2025). While provider identity underwrites investment decisions and risk assessments, moral licensing effects suggest that ESG assurance may also legitimise aggressive financial reporting or continued environmental externalisation (Douthit et al., 2025).</w:t>
      </w:r>
    </w:p>
    <w:p w14:paraId="1556D419" w14:textId="77777777" w:rsidR="00382579" w:rsidRPr="00382579" w:rsidRDefault="00382579" w:rsidP="00382579">
      <w:pPr>
        <w:ind w:firstLine="420"/>
        <w:jc w:val="both"/>
      </w:pPr>
      <w:r w:rsidRPr="00382579">
        <w:t>A key contribution of the NFIA literature is showing that comfort production has migrated from public-sector governance into financialised markets. Whereas Power (1997) framed audit as governing at a distance within the state, NFIA now operates as a market-facing infrastructure supplying the institutional comfort required for the circulation of capital under uncertainty.</w:t>
      </w:r>
    </w:p>
    <w:p w14:paraId="1E94CF3D" w14:textId="77777777" w:rsidR="00382579" w:rsidRPr="00382579" w:rsidRDefault="00382579" w:rsidP="00382579">
      <w:pPr>
        <w:ind w:firstLine="420"/>
        <w:jc w:val="both"/>
      </w:pPr>
    </w:p>
    <w:p w14:paraId="6B13C276" w14:textId="0D75817D" w:rsidR="00382579" w:rsidRDefault="00382579" w:rsidP="00382579">
      <w:pPr>
        <w:jc w:val="both"/>
        <w:rPr>
          <w:i/>
          <w:iCs/>
        </w:rPr>
      </w:pPr>
      <w:r w:rsidRPr="00382579">
        <w:rPr>
          <w:i/>
          <w:iCs/>
        </w:rPr>
        <w:t>Control of Control in Non-Financial Domains</w:t>
      </w:r>
    </w:p>
    <w:p w14:paraId="5EA71853" w14:textId="77777777" w:rsidR="000E6B37" w:rsidRPr="00382579" w:rsidRDefault="000E6B37" w:rsidP="00382579">
      <w:pPr>
        <w:jc w:val="both"/>
        <w:rPr>
          <w:i/>
          <w:iCs/>
        </w:rPr>
      </w:pPr>
    </w:p>
    <w:p w14:paraId="70181330" w14:textId="77777777" w:rsidR="00382579" w:rsidRPr="00382579" w:rsidRDefault="00382579" w:rsidP="00382579">
      <w:pPr>
        <w:ind w:firstLine="420"/>
        <w:jc w:val="both"/>
      </w:pPr>
      <w:r w:rsidRPr="00382579">
        <w:t xml:space="preserve">Consistent with Power’s (2003b) analysis, NFIA research confirms a marked shift away from first-order operational scrutiny towards the “control of control”. Assurors rarely verify actual environmental or social impacts, focusing instead on the management systems and internal controls through which organisations claim to measure those impacts (Owen et al., 2000; </w:t>
      </w:r>
      <w:proofErr w:type="spellStart"/>
      <w:r w:rsidRPr="00382579">
        <w:t>Bepari</w:t>
      </w:r>
      <w:proofErr w:type="spellEnd"/>
      <w:r w:rsidRPr="00382579">
        <w:t xml:space="preserve"> &amp; Mollik, 2016; Hummel et al., 2017). This systems-oriented focus privileges procedural integrity over substantive outcomes.</w:t>
      </w:r>
    </w:p>
    <w:p w14:paraId="66A50F0C" w14:textId="77777777" w:rsidR="00382579" w:rsidRPr="00382579" w:rsidRDefault="00382579" w:rsidP="00382579">
      <w:pPr>
        <w:ind w:firstLine="420"/>
        <w:jc w:val="both"/>
      </w:pPr>
      <w:r w:rsidRPr="00382579">
        <w:t xml:space="preserve">The implications for accountability are significant. Environmental and social problems are reframed as technical matters of risk management and compliance, facilitating blame </w:t>
      </w:r>
      <w:r w:rsidRPr="00382579">
        <w:lastRenderedPageBreak/>
        <w:t>avoidance and liability management (Skærbæk &amp; Christensen, 2015; Radcliffe, 2008; Cordery &amp; Hay, 2019). In this process, political and ethical dimensions are cooled and transformed into governable calculative territories.</w:t>
      </w:r>
    </w:p>
    <w:p w14:paraId="653F2DE0" w14:textId="77777777" w:rsidR="00382579" w:rsidRPr="00382579" w:rsidRDefault="00382579" w:rsidP="00382579">
      <w:pPr>
        <w:ind w:firstLine="420"/>
        <w:jc w:val="both"/>
      </w:pPr>
      <w:r w:rsidRPr="00382579">
        <w:t>In domains such as climate change and ESG, this control-of-control logic is not merely strategic but often unavoidable. Where phenomena are diffuse, uncertain, or future-oriented, auditing management systems becomes the primary means of enacting accountability. NFIA thus intensifies the dynamics identified by Power (2003b), rendering system-level control the dominant object of governance.</w:t>
      </w:r>
    </w:p>
    <w:p w14:paraId="43CFE781" w14:textId="6FF557DF" w:rsidR="00382579" w:rsidRPr="00382579" w:rsidRDefault="00382579" w:rsidP="00382579">
      <w:pPr>
        <w:jc w:val="both"/>
      </w:pPr>
    </w:p>
    <w:p w14:paraId="19F126BE" w14:textId="32390072" w:rsidR="00382579" w:rsidRDefault="00382579" w:rsidP="00382579">
      <w:pPr>
        <w:jc w:val="both"/>
        <w:rPr>
          <w:i/>
          <w:iCs/>
        </w:rPr>
      </w:pPr>
      <w:r w:rsidRPr="00382579">
        <w:rPr>
          <w:i/>
          <w:iCs/>
        </w:rPr>
        <w:t>Professional Identities in an Audit Planet</w:t>
      </w:r>
    </w:p>
    <w:p w14:paraId="4B0274DC" w14:textId="77777777" w:rsidR="000E6B37" w:rsidRPr="00382579" w:rsidRDefault="000E6B37" w:rsidP="00382579">
      <w:pPr>
        <w:jc w:val="both"/>
        <w:rPr>
          <w:i/>
          <w:iCs/>
        </w:rPr>
      </w:pPr>
    </w:p>
    <w:p w14:paraId="5368098F" w14:textId="77777777" w:rsidR="00382579" w:rsidRPr="00382579" w:rsidRDefault="00382579" w:rsidP="000E6B37">
      <w:pPr>
        <w:ind w:firstLine="420"/>
        <w:jc w:val="both"/>
      </w:pPr>
      <w:r w:rsidRPr="00382579">
        <w:t xml:space="preserve">NFIA constitutes a critical site </w:t>
      </w:r>
      <w:proofErr w:type="gramStart"/>
      <w:r w:rsidRPr="00382579">
        <w:t>for the production of</w:t>
      </w:r>
      <w:proofErr w:type="gramEnd"/>
      <w:r w:rsidRPr="00382579">
        <w:t xml:space="preserve"> new calculative subjectivities. The literature documents hybrid professional identities, including sustainability auditors navigating tensions between accounting logic and scientific expertise, and professionalised auditees adept at managing inspection regimes (Maltby, 1995; O’Dwyer, 2011; Gillet-</w:t>
      </w:r>
      <w:proofErr w:type="spellStart"/>
      <w:r w:rsidRPr="00382579">
        <w:t>Monjarret</w:t>
      </w:r>
      <w:proofErr w:type="spellEnd"/>
      <w:r w:rsidRPr="00382579">
        <w:t>, 2022).</w:t>
      </w:r>
    </w:p>
    <w:p w14:paraId="5943982D" w14:textId="77777777" w:rsidR="00382579" w:rsidRPr="00382579" w:rsidRDefault="00382579" w:rsidP="00382579">
      <w:pPr>
        <w:jc w:val="both"/>
      </w:pPr>
      <w:r w:rsidRPr="00382579">
        <w:t>Jurisdictional competition between accounting firms and specialist providers reflects competing constructions of professional selfhood. Standards such as ISAE 3000 and AA1000 embed distinct logics of responsibility, privileging procedural rigour or stakeholder engagement respectively (</w:t>
      </w:r>
      <w:proofErr w:type="spellStart"/>
      <w:r w:rsidRPr="00382579">
        <w:t>Boiral</w:t>
      </w:r>
      <w:proofErr w:type="spellEnd"/>
      <w:r w:rsidRPr="00382579">
        <w:t xml:space="preserve"> et al., 2019; </w:t>
      </w:r>
      <w:proofErr w:type="spellStart"/>
      <w:r w:rsidRPr="00382579">
        <w:t>Bepari</w:t>
      </w:r>
      <w:proofErr w:type="spellEnd"/>
      <w:r w:rsidRPr="00382579">
        <w:t xml:space="preserve"> &amp; Mollik, 2016; Farooq &amp; de Villiers, 2019). The growing dominance of accounting firms signals a </w:t>
      </w:r>
      <w:proofErr w:type="spellStart"/>
      <w:r w:rsidRPr="00382579">
        <w:t>subjectivisation</w:t>
      </w:r>
      <w:proofErr w:type="spellEnd"/>
      <w:r w:rsidRPr="00382579">
        <w:t xml:space="preserve"> of the assuror as a risk-oriented procedural actor.</w:t>
      </w:r>
    </w:p>
    <w:p w14:paraId="1131DF66" w14:textId="41CA2445" w:rsidR="00382579" w:rsidRPr="00382579" w:rsidRDefault="00FA61E5" w:rsidP="000E6B37">
      <w:pPr>
        <w:ind w:firstLine="420"/>
        <w:jc w:val="both"/>
      </w:pPr>
      <w:r w:rsidRPr="00FA61E5">
        <w:t>Conversely</w:t>
      </w:r>
      <w:r>
        <w:t xml:space="preserve">, </w:t>
      </w:r>
      <w:r w:rsidR="00382579" w:rsidRPr="00382579">
        <w:t xml:space="preserve">professional identities remain unstable. As NFIA increasingly relies on multidisciplinary, team-based models—particularly in carbon assurance—the auditor is no longer a singular professional subject. Instead, assurance is assembled through distributed expertise and layered review hierarchies (Canning et al., 2019; Green et al., 2017; </w:t>
      </w:r>
      <w:proofErr w:type="spellStart"/>
      <w:r w:rsidR="00382579" w:rsidRPr="00382579">
        <w:t>Ekasingh</w:t>
      </w:r>
      <w:proofErr w:type="spellEnd"/>
      <w:r w:rsidR="00382579" w:rsidRPr="00382579">
        <w:t xml:space="preserve"> et al., 2021). In the audit planet, professional identity becomes situational and continuously reconfigured.</w:t>
      </w:r>
    </w:p>
    <w:p w14:paraId="415418DB" w14:textId="4FD2E7C2" w:rsidR="00382579" w:rsidRPr="00382579" w:rsidRDefault="00382579" w:rsidP="00382579">
      <w:pPr>
        <w:jc w:val="both"/>
      </w:pPr>
    </w:p>
    <w:p w14:paraId="524A6A5D" w14:textId="3398A8DE" w:rsidR="00382579" w:rsidRDefault="00382579" w:rsidP="00382579">
      <w:pPr>
        <w:jc w:val="both"/>
        <w:rPr>
          <w:i/>
          <w:iCs/>
        </w:rPr>
      </w:pPr>
      <w:r w:rsidRPr="00382579">
        <w:rPr>
          <w:i/>
          <w:iCs/>
        </w:rPr>
        <w:t>From Audit Society to Audit Planet</w:t>
      </w:r>
    </w:p>
    <w:p w14:paraId="06272561" w14:textId="77777777" w:rsidR="000E6B37" w:rsidRPr="00382579" w:rsidRDefault="000E6B37" w:rsidP="00382579">
      <w:pPr>
        <w:jc w:val="both"/>
        <w:rPr>
          <w:i/>
          <w:iCs/>
        </w:rPr>
      </w:pPr>
    </w:p>
    <w:p w14:paraId="0BDF65B4" w14:textId="77777777" w:rsidR="00382579" w:rsidRPr="00382579" w:rsidRDefault="00382579" w:rsidP="00382579">
      <w:pPr>
        <w:ind w:firstLine="420"/>
        <w:jc w:val="both"/>
      </w:pPr>
      <w:r w:rsidRPr="00382579">
        <w:t>Taken together, the findings indicate that NFIA represents a qualitative evolution of the audit society diagnosed by Power. While the audit explosion was initially framed as the diffusion of verification practices into new domains, contemporary NFIA reveals a further transformation: audit has become infrastructural, generative, and constitutive of the objects it governs. NFIA does not merely extend audit techniques into sustainability and climate reporting; it participates in constructing the conditions under which these domains become auditable (Power, 1996; Aquino et al., 2023; Gu et al., 2023).</w:t>
      </w:r>
    </w:p>
    <w:p w14:paraId="144D5DCB" w14:textId="77777777" w:rsidR="00382579" w:rsidRPr="00382579" w:rsidRDefault="00382579" w:rsidP="00382579">
      <w:pPr>
        <w:ind w:firstLine="420"/>
        <w:jc w:val="both"/>
      </w:pPr>
      <w:r w:rsidRPr="00382579">
        <w:t>Across the literature, assurance no longer appears as an episodic intervention but as an organising logic embedded within data infrastructures, management systems, and governance routines. Carbon emissions, social impacts, and sustainability risks are rendered auditable not because they are inherently measurable, but because calculative envelopes are drawn around them, stabilising uncertainty through procedural legitimacy, symbolic verification, and system-level control (Power, 1996; Power, 2003b).</w:t>
      </w:r>
    </w:p>
    <w:p w14:paraId="7713FF72" w14:textId="77777777" w:rsidR="00382579" w:rsidRPr="00382579" w:rsidRDefault="00382579" w:rsidP="00382579">
      <w:pPr>
        <w:ind w:firstLine="420"/>
        <w:jc w:val="both"/>
      </w:pPr>
      <w:r w:rsidRPr="00382579">
        <w:t xml:space="preserve">The concept of an audit planet is advanced here as an analytical extension rather than a rejection of the audit society thesis. In this configuration, audit becomes a background condition of governance itself, shaping problem framing, responsibility allocation, expertise formation, and legitimacy performance across organisational and political arenas. This shift is not confined to advanced economies: NFIA is expanding rapidly across developed and developing contexts, governing increasingly atmospheric and future-oriented phenomena (Carey et al., 2021; </w:t>
      </w:r>
      <w:proofErr w:type="spellStart"/>
      <w:r w:rsidRPr="00382579">
        <w:t>Oware</w:t>
      </w:r>
      <w:proofErr w:type="spellEnd"/>
      <w:r w:rsidRPr="00382579">
        <w:t xml:space="preserve"> &amp; Appiah, 2022; Tetteh et al., 2023).</w:t>
      </w:r>
    </w:p>
    <w:p w14:paraId="553BBC49" w14:textId="2C155D25" w:rsidR="00382579" w:rsidRPr="00382579" w:rsidRDefault="0067354F" w:rsidP="00382579">
      <w:pPr>
        <w:ind w:firstLine="420"/>
        <w:jc w:val="both"/>
      </w:pPr>
      <w:r>
        <w:lastRenderedPageBreak/>
        <w:t>Meanwhile</w:t>
      </w:r>
      <w:r w:rsidR="00382579" w:rsidRPr="00382579">
        <w:t>, the audit planet remains fragmented and unstable. Persistent tensions between procedural legitimacy and substantive accountability, symbolic comfort and behavioural change, and professional jurisdictions and hybrid expertise are not anomalies but constitutive features. Consistent with Power’s emphasis on endemic failure and continual reform, NFIA emerges as a site in which auditability is continuously negotiated rather than progressively perfected.</w:t>
      </w:r>
    </w:p>
    <w:p w14:paraId="6FB330BB" w14:textId="02930D8A" w:rsidR="00382579" w:rsidRPr="00382579" w:rsidRDefault="00382579" w:rsidP="00382579">
      <w:pPr>
        <w:jc w:val="both"/>
      </w:pPr>
    </w:p>
    <w:p w14:paraId="5055EEF3" w14:textId="77777777" w:rsidR="009C776F" w:rsidRDefault="009C776F" w:rsidP="00382579">
      <w:pPr>
        <w:jc w:val="both"/>
        <w:rPr>
          <w:i/>
          <w:iCs/>
        </w:rPr>
      </w:pPr>
    </w:p>
    <w:p w14:paraId="48616B92" w14:textId="4017138D" w:rsidR="00382579" w:rsidRPr="00382579" w:rsidRDefault="00382579" w:rsidP="00382579">
      <w:pPr>
        <w:jc w:val="both"/>
        <w:rPr>
          <w:i/>
          <w:iCs/>
        </w:rPr>
      </w:pPr>
      <w:r w:rsidRPr="00382579">
        <w:rPr>
          <w:i/>
          <w:iCs/>
        </w:rPr>
        <w:t>Conclusion</w:t>
      </w:r>
    </w:p>
    <w:p w14:paraId="5C68A0C5" w14:textId="77777777" w:rsidR="00382579" w:rsidRPr="00382579" w:rsidRDefault="00382579" w:rsidP="00382579">
      <w:pPr>
        <w:ind w:firstLine="420"/>
        <w:jc w:val="both"/>
      </w:pPr>
      <w:r w:rsidRPr="00382579">
        <w:t>This review examined how the empirical literature on non-financial information assurance has developed over the past 35 years and assessed the extent to which it engages—explicitly or implicitly—with Power’s later refinements of the audit society. The analysis shows a shift from early public-sector accountability concerns towards market-facing governance, system-based control, and capital-market consequences, reflecting the deep entrenchment of audit logics within sustainability, ESG, and climate governance.</w:t>
      </w:r>
    </w:p>
    <w:p w14:paraId="34EC9283" w14:textId="77777777" w:rsidR="00382579" w:rsidRPr="00382579" w:rsidRDefault="00382579" w:rsidP="00382579">
      <w:pPr>
        <w:ind w:firstLine="420"/>
        <w:jc w:val="both"/>
      </w:pPr>
      <w:r w:rsidRPr="00382579">
        <w:t xml:space="preserve">In addressing RQ2, the review demonstrates strong resonance between NFIA research and Power’s later insights. Studies of pre-assurance practices, negotiated auditability, and working papers substantiate the claim that audit legitimacy is produced procedurally rather than observationally (Power, 2003a; Farooq &amp; de Villiers, 2019; </w:t>
      </w:r>
      <w:proofErr w:type="spellStart"/>
      <w:r w:rsidRPr="00382579">
        <w:t>Channuntapipat</w:t>
      </w:r>
      <w:proofErr w:type="spellEnd"/>
      <w:r w:rsidRPr="00382579">
        <w:t xml:space="preserve"> et al., 2019). Research on symbolic verification, moral licensing, and reputational heuristics confirms the enduring comfort function of audit (Power, 1997; Clarkson et al., 2019; Douthit et al., 2025). Analyses of system-focused assurance, risk management, and blame avoidance extend the control-of-control logic into non-financial domains characterised by uncertainty (Power, 2003b; </w:t>
      </w:r>
      <w:proofErr w:type="spellStart"/>
      <w:r w:rsidRPr="00382579">
        <w:t>Bepari</w:t>
      </w:r>
      <w:proofErr w:type="spellEnd"/>
      <w:r w:rsidRPr="00382579">
        <w:t xml:space="preserve"> &amp; Mollik, 2016; Skærbæk &amp; Christensen, 2015). Finally, work on professional identity and jurisdictional competition illustrates how audit subjectivities are actively constructed and destabilised within contemporary assurance practices (O’Dwyer, 2011; </w:t>
      </w:r>
      <w:proofErr w:type="spellStart"/>
      <w:r w:rsidRPr="00382579">
        <w:t>Boiral</w:t>
      </w:r>
      <w:proofErr w:type="spellEnd"/>
      <w:r w:rsidRPr="00382579">
        <w:t xml:space="preserve"> et al., 2019).</w:t>
      </w:r>
    </w:p>
    <w:p w14:paraId="72BD8979" w14:textId="77777777" w:rsidR="00382579" w:rsidRPr="00382579" w:rsidRDefault="00382579" w:rsidP="00382579">
      <w:pPr>
        <w:jc w:val="both"/>
      </w:pPr>
      <w:r w:rsidRPr="00382579">
        <w:t>Despite this progress, empirical attention remains uneven. Adjudicatory effects are concentrated in CSR and ESG contexts where data infrastructures enable quantification, while performance audit and emerging domains—most notably carbon and climate assurance—remain under-explored. Consequently, much of the literature captures audit after its calculative assumptions have stabilised, leaving formative moments of auditability construction insufficiently examined.</w:t>
      </w:r>
    </w:p>
    <w:p w14:paraId="6C4FD7A6" w14:textId="77777777" w:rsidR="00382579" w:rsidRPr="00382579" w:rsidRDefault="00382579" w:rsidP="00382579">
      <w:pPr>
        <w:ind w:firstLine="420"/>
        <w:jc w:val="both"/>
      </w:pPr>
      <w:r w:rsidRPr="00382579">
        <w:t xml:space="preserve">Future research should therefore focus on these early-stage dynamics, investigating how new assurance domains are assembled before becoming </w:t>
      </w:r>
      <w:proofErr w:type="spellStart"/>
      <w:r w:rsidRPr="00382579">
        <w:t>blackboxed</w:t>
      </w:r>
      <w:proofErr w:type="spellEnd"/>
      <w:r w:rsidRPr="00382579">
        <w:t>. Greater attention to hybrid assurance models, political and managerial mediation, and lived audit subjectivities would deepen understanding of how the audit planet is being built and governed.</w:t>
      </w:r>
    </w:p>
    <w:p w14:paraId="18E772C8" w14:textId="77777777" w:rsidR="008E4CC1" w:rsidRPr="00382579" w:rsidRDefault="008E4CC1" w:rsidP="00382579">
      <w:pPr>
        <w:jc w:val="both"/>
      </w:pPr>
    </w:p>
    <w:p w14:paraId="197743EC" w14:textId="77777777" w:rsidR="00382579" w:rsidRPr="00382579" w:rsidRDefault="00382579">
      <w:pPr>
        <w:spacing w:after="160" w:line="278" w:lineRule="auto"/>
        <w:rPr>
          <w:b/>
          <w:bCs/>
        </w:rPr>
      </w:pPr>
      <w:r w:rsidRPr="00382579">
        <w:rPr>
          <w:b/>
          <w:bCs/>
        </w:rPr>
        <w:br w:type="page"/>
      </w:r>
    </w:p>
    <w:p w14:paraId="02844303" w14:textId="4D323064" w:rsidR="004424DB" w:rsidRPr="00382579" w:rsidRDefault="004424DB" w:rsidP="008E6283">
      <w:pPr>
        <w:jc w:val="center"/>
        <w:rPr>
          <w:b/>
          <w:bCs/>
        </w:rPr>
      </w:pPr>
      <w:r w:rsidRPr="00382579">
        <w:rPr>
          <w:b/>
          <w:bCs/>
        </w:rPr>
        <w:lastRenderedPageBreak/>
        <w:t>References</w:t>
      </w:r>
    </w:p>
    <w:p w14:paraId="3EC5DFEE" w14:textId="77777777" w:rsidR="00B9430A" w:rsidRPr="00382579" w:rsidRDefault="005E5BC8" w:rsidP="00B9430A">
      <w:pPr>
        <w:pStyle w:val="EndNoteBibliography"/>
        <w:ind w:left="720" w:hanging="720"/>
      </w:pPr>
      <w:r w:rsidRPr="00382579">
        <w:rPr>
          <w:rFonts w:ascii="Times New Roman" w:hAnsi="Times New Roman"/>
        </w:rPr>
        <w:fldChar w:fldCharType="begin"/>
      </w:r>
      <w:r w:rsidRPr="00382579">
        <w:rPr>
          <w:rFonts w:ascii="Times New Roman" w:hAnsi="Times New Roman"/>
        </w:rPr>
        <w:instrText xml:space="preserve"> ADDIN EN.REFLIST </w:instrText>
      </w:r>
      <w:r w:rsidRPr="00382579">
        <w:rPr>
          <w:rFonts w:ascii="Times New Roman" w:hAnsi="Times New Roman"/>
        </w:rPr>
        <w:fldChar w:fldCharType="separate"/>
      </w:r>
      <w:r w:rsidR="00B9430A" w:rsidRPr="00382579">
        <w:t xml:space="preserve">Ackers, B. &amp; Eccles, N. S. 2015. Mandatory corporate social responsibility assurance practices. </w:t>
      </w:r>
      <w:r w:rsidR="00B9430A" w:rsidRPr="00382579">
        <w:rPr>
          <w:i/>
        </w:rPr>
        <w:t>Accounting, Auditing &amp; Accountability Journal,</w:t>
      </w:r>
      <w:r w:rsidR="00B9430A" w:rsidRPr="00382579">
        <w:t xml:space="preserve"> 28</w:t>
      </w:r>
      <w:r w:rsidR="00B9430A" w:rsidRPr="00382579">
        <w:rPr>
          <w:b/>
        </w:rPr>
        <w:t>,</w:t>
      </w:r>
      <w:r w:rsidR="00B9430A" w:rsidRPr="00382579">
        <w:t xml:space="preserve"> 515-550.</w:t>
      </w:r>
    </w:p>
    <w:p w14:paraId="094E63AA" w14:textId="77777777" w:rsidR="00B9430A" w:rsidRPr="00382579" w:rsidRDefault="00B9430A" w:rsidP="00B9430A">
      <w:pPr>
        <w:pStyle w:val="EndNoteBibliography"/>
        <w:ind w:left="720" w:hanging="720"/>
      </w:pPr>
      <w:r w:rsidRPr="00382579">
        <w:t xml:space="preserve">Adams, S., Hall, M. &amp; Xiao, X. 2024. Styles of verification and the pursuit of organisational repair: The case of social impact. </w:t>
      </w:r>
      <w:r w:rsidRPr="00382579">
        <w:rPr>
          <w:i/>
        </w:rPr>
        <w:t>Accounting, Organizations and Society,</w:t>
      </w:r>
      <w:r w:rsidRPr="00382579">
        <w:t xml:space="preserve"> 113</w:t>
      </w:r>
      <w:r w:rsidRPr="00382579">
        <w:rPr>
          <w:b/>
        </w:rPr>
        <w:t>,</w:t>
      </w:r>
      <w:r w:rsidRPr="00382579">
        <w:t xml:space="preserve"> 101478.</w:t>
      </w:r>
    </w:p>
    <w:p w14:paraId="2B61F932" w14:textId="77777777" w:rsidR="00B9430A" w:rsidRPr="00382579" w:rsidRDefault="00B9430A" w:rsidP="00B9430A">
      <w:pPr>
        <w:pStyle w:val="EndNoteBibliography"/>
        <w:ind w:left="720" w:hanging="720"/>
      </w:pPr>
      <w:r w:rsidRPr="00382579">
        <w:t xml:space="preserve">Andon, P., Free, C. &amp; O'dwyer, B. 2015. Annexing new audit spaces: challenges and adaptations. </w:t>
      </w:r>
      <w:r w:rsidRPr="00382579">
        <w:rPr>
          <w:i/>
        </w:rPr>
        <w:t>Accounting, Auditing &amp; Accountability Journal,</w:t>
      </w:r>
      <w:r w:rsidRPr="00382579">
        <w:t xml:space="preserve"> 28</w:t>
      </w:r>
      <w:r w:rsidRPr="00382579">
        <w:rPr>
          <w:b/>
        </w:rPr>
        <w:t>,</w:t>
      </w:r>
      <w:r w:rsidRPr="00382579">
        <w:t xml:space="preserve"> 1400-1430.</w:t>
      </w:r>
    </w:p>
    <w:p w14:paraId="2AEAB1B1" w14:textId="77777777" w:rsidR="00B9430A" w:rsidRPr="00382579" w:rsidRDefault="00B9430A" w:rsidP="00B9430A">
      <w:pPr>
        <w:pStyle w:val="EndNoteBibliography"/>
        <w:ind w:left="720" w:hanging="720"/>
      </w:pPr>
      <w:r w:rsidRPr="00382579">
        <w:t xml:space="preserve">Baier, C., Göttsche, M., Hellmann, A. &amp; Schiemann, F. 2022. Too Good To Be True: Influencing Credibility Perceptions with Signaling Reference Explicitness and Assurance Depth: JBE. </w:t>
      </w:r>
      <w:r w:rsidRPr="00382579">
        <w:rPr>
          <w:i/>
        </w:rPr>
        <w:t>Journal of Business Ethics,</w:t>
      </w:r>
      <w:r w:rsidRPr="00382579">
        <w:t xml:space="preserve"> 178</w:t>
      </w:r>
      <w:r w:rsidRPr="00382579">
        <w:rPr>
          <w:b/>
        </w:rPr>
        <w:t>,</w:t>
      </w:r>
      <w:r w:rsidRPr="00382579">
        <w:t xml:space="preserve"> 695-714.</w:t>
      </w:r>
    </w:p>
    <w:p w14:paraId="3C922F3F" w14:textId="77777777" w:rsidR="00B9430A" w:rsidRPr="00382579" w:rsidRDefault="00B9430A" w:rsidP="00B9430A">
      <w:pPr>
        <w:pStyle w:val="EndNoteBibliography"/>
        <w:ind w:left="720" w:hanging="720"/>
      </w:pPr>
      <w:r w:rsidRPr="00382579">
        <w:t xml:space="preserve">Barrett, M. &amp; Gendron, Y. 2006. WebTrust and the "commercialistic auditor.". </w:t>
      </w:r>
      <w:r w:rsidRPr="00382579">
        <w:rPr>
          <w:i/>
        </w:rPr>
        <w:t>Accounting, Auditing &amp; Accountability Journal,</w:t>
      </w:r>
      <w:r w:rsidRPr="00382579">
        <w:t xml:space="preserve"> 19</w:t>
      </w:r>
      <w:r w:rsidRPr="00382579">
        <w:rPr>
          <w:b/>
        </w:rPr>
        <w:t>,</w:t>
      </w:r>
      <w:r w:rsidRPr="00382579">
        <w:t xml:space="preserve"> 631-662.</w:t>
      </w:r>
    </w:p>
    <w:p w14:paraId="5BA6B26A" w14:textId="77777777" w:rsidR="00B9430A" w:rsidRPr="00382579" w:rsidRDefault="00B9430A" w:rsidP="00B9430A">
      <w:pPr>
        <w:pStyle w:val="EndNoteBibliography"/>
        <w:ind w:left="720" w:hanging="720"/>
      </w:pPr>
      <w:r w:rsidRPr="00382579">
        <w:t xml:space="preserve">Bartoszewicz, A. &amp; Rutkowska-Ziarko, A. 2021. Practice of non-financial reports assurance services in the polish audit market—the range, limits and prospects for the future. </w:t>
      </w:r>
      <w:r w:rsidRPr="00382579">
        <w:rPr>
          <w:i/>
        </w:rPr>
        <w:t>Risks,</w:t>
      </w:r>
      <w:r w:rsidRPr="00382579">
        <w:t xml:space="preserve"> 9</w:t>
      </w:r>
      <w:r w:rsidRPr="00382579">
        <w:rPr>
          <w:b/>
        </w:rPr>
        <w:t>,</w:t>
      </w:r>
      <w:r w:rsidRPr="00382579">
        <w:t xml:space="preserve"> 176.</w:t>
      </w:r>
    </w:p>
    <w:p w14:paraId="0DCC955C" w14:textId="77777777" w:rsidR="00B9430A" w:rsidRPr="00382579" w:rsidRDefault="00B9430A" w:rsidP="00B9430A">
      <w:pPr>
        <w:pStyle w:val="EndNoteBibliography"/>
        <w:ind w:left="720" w:hanging="720"/>
      </w:pPr>
      <w:r w:rsidRPr="00382579">
        <w:t xml:space="preserve">Batra, G. S. &amp; Kaur, N. 1993. Emerging dimensions of audit accountability: A case study of public enterprise management and efficiency audit in India. </w:t>
      </w:r>
      <w:r w:rsidRPr="00382579">
        <w:rPr>
          <w:i/>
        </w:rPr>
        <w:t>Managerial auditing journal,</w:t>
      </w:r>
      <w:r w:rsidRPr="00382579">
        <w:t xml:space="preserve"> 8</w:t>
      </w:r>
      <w:r w:rsidRPr="00382579">
        <w:rPr>
          <w:b/>
        </w:rPr>
        <w:t>,</w:t>
      </w:r>
      <w:r w:rsidRPr="00382579">
        <w:t xml:space="preserve"> 30.</w:t>
      </w:r>
    </w:p>
    <w:p w14:paraId="4360E147" w14:textId="77777777" w:rsidR="00B9430A" w:rsidRPr="00382579" w:rsidRDefault="00B9430A" w:rsidP="00B9430A">
      <w:pPr>
        <w:pStyle w:val="EndNoteBibliography"/>
        <w:ind w:left="720" w:hanging="720"/>
      </w:pPr>
      <w:r w:rsidRPr="00382579">
        <w:t xml:space="preserve">Batra, G. S. &amp; Kaur, N. 1996. New vistas in reducing the conflicts between tourism and the environment: an environmental audit approach. </w:t>
      </w:r>
      <w:r w:rsidRPr="00382579">
        <w:rPr>
          <w:i/>
        </w:rPr>
        <w:t>Managerial auditing journal,</w:t>
      </w:r>
      <w:r w:rsidRPr="00382579">
        <w:t xml:space="preserve"> 11</w:t>
      </w:r>
      <w:r w:rsidRPr="00382579">
        <w:rPr>
          <w:b/>
        </w:rPr>
        <w:t>,</w:t>
      </w:r>
      <w:r w:rsidRPr="00382579">
        <w:t xml:space="preserve"> 3-10.</w:t>
      </w:r>
    </w:p>
    <w:p w14:paraId="73D2246A" w14:textId="77777777" w:rsidR="00B9430A" w:rsidRPr="00382579" w:rsidRDefault="00B9430A" w:rsidP="00B9430A">
      <w:pPr>
        <w:pStyle w:val="EndNoteBibliography"/>
        <w:ind w:left="720" w:hanging="720"/>
      </w:pPr>
      <w:r w:rsidRPr="00382579">
        <w:rPr>
          <w:rFonts w:hint="eastAsia"/>
        </w:rPr>
        <w:t>Bentley‐Goode, K. A., Simnett, R., Thompson, A. &amp; Trotman, A. J. 2024. Choice of assurance provider and impact on quality of</w:t>
      </w:r>
      <w:r w:rsidRPr="00382579">
        <w:t xml:space="preserve"> sustainability reporting: Evidence from sustainability reporting restatements. </w:t>
      </w:r>
      <w:r w:rsidRPr="00382579">
        <w:rPr>
          <w:i/>
        </w:rPr>
        <w:t>Accounting &amp; Finance</w:t>
      </w:r>
      <w:r w:rsidRPr="00382579">
        <w:rPr>
          <w:b/>
        </w:rPr>
        <w:t>,</w:t>
      </w:r>
      <w:r w:rsidRPr="00382579">
        <w:t xml:space="preserve"> 1.</w:t>
      </w:r>
    </w:p>
    <w:p w14:paraId="34BC402D" w14:textId="77777777" w:rsidR="00B9430A" w:rsidRPr="00382579" w:rsidRDefault="00B9430A" w:rsidP="00B9430A">
      <w:pPr>
        <w:pStyle w:val="EndNoteBibliography"/>
        <w:ind w:left="720" w:hanging="720"/>
      </w:pPr>
      <w:r w:rsidRPr="00382579">
        <w:t xml:space="preserve">Boiral, O., Heras-Saizarbitoria, I. &amp; Brotherton, M.-C. 2020. Professionalizing the assurance of sustainability reports: the auditors' perspective. </w:t>
      </w:r>
      <w:r w:rsidRPr="00382579">
        <w:rPr>
          <w:i/>
        </w:rPr>
        <w:t>Accounting, Auditing &amp; Accountability Journal,</w:t>
      </w:r>
      <w:r w:rsidRPr="00382579">
        <w:t xml:space="preserve"> 33</w:t>
      </w:r>
      <w:r w:rsidRPr="00382579">
        <w:rPr>
          <w:b/>
        </w:rPr>
        <w:t>,</w:t>
      </w:r>
      <w:r w:rsidRPr="00382579">
        <w:t xml:space="preserve"> 309-334.</w:t>
      </w:r>
    </w:p>
    <w:p w14:paraId="22B1D8E5" w14:textId="77777777" w:rsidR="00B9430A" w:rsidRPr="00382579" w:rsidRDefault="00B9430A" w:rsidP="00B9430A">
      <w:pPr>
        <w:pStyle w:val="EndNoteBibliography"/>
        <w:ind w:left="720" w:hanging="720"/>
      </w:pPr>
      <w:r w:rsidRPr="00382579">
        <w:t xml:space="preserve">Boiral, O., Heras-Saizarbitoria, I., Brotherton, M.-C. &amp; Bernard, J. 2019. Ethical Issues in the Assurance of Sustainability Reports: Perspectives from Assurance Providers: JBE. </w:t>
      </w:r>
      <w:r w:rsidRPr="00382579">
        <w:rPr>
          <w:i/>
        </w:rPr>
        <w:t>Journal of Business Ethics,</w:t>
      </w:r>
      <w:r w:rsidRPr="00382579">
        <w:t xml:space="preserve"> 159</w:t>
      </w:r>
      <w:r w:rsidRPr="00382579">
        <w:rPr>
          <w:b/>
        </w:rPr>
        <w:t>,</w:t>
      </w:r>
      <w:r w:rsidRPr="00382579">
        <w:t xml:space="preserve"> 1111-1125.</w:t>
      </w:r>
    </w:p>
    <w:p w14:paraId="2B90D3E5" w14:textId="77777777" w:rsidR="00B9430A" w:rsidRPr="00382579" w:rsidRDefault="00B9430A" w:rsidP="00B9430A">
      <w:pPr>
        <w:pStyle w:val="EndNoteBibliography"/>
        <w:ind w:left="720" w:hanging="720"/>
      </w:pPr>
      <w:r w:rsidRPr="00382579">
        <w:t xml:space="preserve">Bouten, L. &amp; Hoozée, S. 2025. How sustainability assurance work gets done: assurors' sensemaking, socialization and interactions with clients. </w:t>
      </w:r>
      <w:r w:rsidRPr="00382579">
        <w:rPr>
          <w:i/>
        </w:rPr>
        <w:t>Accounting, Auditing &amp; Accountability Journal,</w:t>
      </w:r>
      <w:r w:rsidRPr="00382579">
        <w:t xml:space="preserve"> 38</w:t>
      </w:r>
      <w:r w:rsidRPr="00382579">
        <w:rPr>
          <w:b/>
        </w:rPr>
        <w:t>,</w:t>
      </w:r>
      <w:r w:rsidRPr="00382579">
        <w:t xml:space="preserve"> 143-173.</w:t>
      </w:r>
    </w:p>
    <w:p w14:paraId="1C4D76DC" w14:textId="77777777" w:rsidR="00B9430A" w:rsidRPr="00382579" w:rsidRDefault="00B9430A" w:rsidP="00B9430A">
      <w:pPr>
        <w:pStyle w:val="EndNoteBibliography"/>
        <w:ind w:left="720" w:hanging="720"/>
      </w:pPr>
      <w:r w:rsidRPr="00382579">
        <w:t xml:space="preserve">Bowerman, M., Humphrey, C. &amp; Owen, D. 2003. STRUGGLING FOR SUPREMACY: THE CASE OF UK PUBLIC AUDIT INSTITUTIONS. </w:t>
      </w:r>
      <w:r w:rsidRPr="00382579">
        <w:rPr>
          <w:i/>
        </w:rPr>
        <w:t>Critical Perspectives on Accounting,</w:t>
      </w:r>
      <w:r w:rsidRPr="00382579">
        <w:t xml:space="preserve"> 14</w:t>
      </w:r>
      <w:r w:rsidRPr="00382579">
        <w:rPr>
          <w:b/>
        </w:rPr>
        <w:t>,</w:t>
      </w:r>
      <w:r w:rsidRPr="00382579">
        <w:t xml:space="preserve"> 1-22.</w:t>
      </w:r>
    </w:p>
    <w:p w14:paraId="47AC0785" w14:textId="77777777" w:rsidR="00B9430A" w:rsidRPr="00382579" w:rsidRDefault="00B9430A" w:rsidP="00B9430A">
      <w:pPr>
        <w:pStyle w:val="EndNoteBibliography"/>
        <w:ind w:left="720" w:hanging="720"/>
      </w:pPr>
      <w:r w:rsidRPr="00382579">
        <w:t xml:space="preserve">Breslin, D. &amp; Gatrell, C. 2023. Theorizing through literature reviews: The miner-prospector continuum. </w:t>
      </w:r>
      <w:r w:rsidRPr="00382579">
        <w:rPr>
          <w:i/>
        </w:rPr>
        <w:t>Organizational Research Methods,</w:t>
      </w:r>
      <w:r w:rsidRPr="00382579">
        <w:t xml:space="preserve"> 26</w:t>
      </w:r>
      <w:r w:rsidRPr="00382579">
        <w:rPr>
          <w:b/>
        </w:rPr>
        <w:t>,</w:t>
      </w:r>
      <w:r w:rsidRPr="00382579">
        <w:t xml:space="preserve"> 139-167.</w:t>
      </w:r>
    </w:p>
    <w:p w14:paraId="529A8634" w14:textId="77777777" w:rsidR="00B9430A" w:rsidRPr="00382579" w:rsidRDefault="00B9430A" w:rsidP="00B9430A">
      <w:pPr>
        <w:pStyle w:val="EndNoteBibliography"/>
        <w:ind w:left="720" w:hanging="720"/>
      </w:pPr>
      <w:r w:rsidRPr="00382579">
        <w:t xml:space="preserve">Bromley, P. &amp; Powell, W. W. 2012. From smoke and mirrors to walking the talk: Decoupling in the contemporary world. </w:t>
      </w:r>
      <w:r w:rsidRPr="00382579">
        <w:rPr>
          <w:i/>
        </w:rPr>
        <w:t>Academy of Management annals,</w:t>
      </w:r>
      <w:r w:rsidRPr="00382579">
        <w:t xml:space="preserve"> 6</w:t>
      </w:r>
      <w:r w:rsidRPr="00382579">
        <w:rPr>
          <w:b/>
        </w:rPr>
        <w:t>,</w:t>
      </w:r>
      <w:r w:rsidRPr="00382579">
        <w:t xml:space="preserve"> 483-530.</w:t>
      </w:r>
    </w:p>
    <w:p w14:paraId="4024B38D" w14:textId="77777777" w:rsidR="00B9430A" w:rsidRPr="00382579" w:rsidRDefault="00B9430A" w:rsidP="00B9430A">
      <w:pPr>
        <w:pStyle w:val="EndNoteBibliography"/>
        <w:ind w:left="720" w:hanging="720"/>
      </w:pPr>
      <w:r w:rsidRPr="00382579">
        <w:lastRenderedPageBreak/>
        <w:t xml:space="preserve">Brown-Liburd, H., Cohen, J. &amp; Zamora, V. L. 2018. CSR Disclosure Items Used as Fairness Heuristics in the Investment Decision: JBE. </w:t>
      </w:r>
      <w:r w:rsidRPr="00382579">
        <w:rPr>
          <w:i/>
        </w:rPr>
        <w:t>Journal of Business Ethics,</w:t>
      </w:r>
      <w:r w:rsidRPr="00382579">
        <w:t xml:space="preserve"> 152</w:t>
      </w:r>
      <w:r w:rsidRPr="00382579">
        <w:rPr>
          <w:b/>
        </w:rPr>
        <w:t>,</w:t>
      </w:r>
      <w:r w:rsidRPr="00382579">
        <w:t xml:space="preserve"> 275-289.</w:t>
      </w:r>
    </w:p>
    <w:p w14:paraId="40A9667F" w14:textId="77777777" w:rsidR="00B9430A" w:rsidRPr="00382579" w:rsidRDefault="00B9430A" w:rsidP="00B9430A">
      <w:pPr>
        <w:pStyle w:val="EndNoteBibliography"/>
        <w:ind w:left="720" w:hanging="720"/>
      </w:pPr>
      <w:r w:rsidRPr="00382579">
        <w:t xml:space="preserve">Brown-Liburd, H. &amp; Zamora, V. L. 2015. The Role of Corporate Social Responsibility (CSR) Assurance in Investors' Judgments When Managerial Pay is Explicitly Tied to CSR Performance. </w:t>
      </w:r>
      <w:r w:rsidRPr="00382579">
        <w:rPr>
          <w:i/>
        </w:rPr>
        <w:t>Auditing: A Journal of Practice &amp; Theory,</w:t>
      </w:r>
      <w:r w:rsidRPr="00382579">
        <w:t xml:space="preserve"> 34</w:t>
      </w:r>
      <w:r w:rsidRPr="00382579">
        <w:rPr>
          <w:b/>
        </w:rPr>
        <w:t>,</w:t>
      </w:r>
      <w:r w:rsidRPr="00382579">
        <w:t xml:space="preserve"> 75-96.</w:t>
      </w:r>
    </w:p>
    <w:p w14:paraId="5159C4BC" w14:textId="77777777" w:rsidR="00B9430A" w:rsidRPr="00382579" w:rsidRDefault="00B9430A" w:rsidP="00B9430A">
      <w:pPr>
        <w:pStyle w:val="EndNoteBibliography"/>
        <w:ind w:left="720" w:hanging="720"/>
      </w:pPr>
      <w:r w:rsidRPr="00382579">
        <w:t xml:space="preserve">Canning, M., O'dwyer, B. &amp; Georgakopoulos, G. 2019. Processes of auditability in sustainability assurance - the case of materiality construction. </w:t>
      </w:r>
      <w:r w:rsidRPr="00382579">
        <w:rPr>
          <w:i/>
        </w:rPr>
        <w:t>Accounting &amp; Business Research,</w:t>
      </w:r>
      <w:r w:rsidRPr="00382579">
        <w:t xml:space="preserve"> 49</w:t>
      </w:r>
      <w:r w:rsidRPr="00382579">
        <w:rPr>
          <w:b/>
        </w:rPr>
        <w:t>,</w:t>
      </w:r>
      <w:r w:rsidRPr="00382579">
        <w:t xml:space="preserve"> 1-27.</w:t>
      </w:r>
    </w:p>
    <w:p w14:paraId="701D8D1E" w14:textId="77777777" w:rsidR="00B9430A" w:rsidRPr="00382579" w:rsidRDefault="00B9430A" w:rsidP="00B9430A">
      <w:pPr>
        <w:pStyle w:val="EndNoteBibliography"/>
        <w:ind w:left="720" w:hanging="720"/>
      </w:pPr>
      <w:r w:rsidRPr="00382579">
        <w:t xml:space="preserve">Carey, P., Khan, A., Mihret, D. G. &amp; Muttakin, M. B. 2021. Voluntary sustainability assurance, capital constraint and cost of debt: International evidence. </w:t>
      </w:r>
      <w:r w:rsidRPr="00382579">
        <w:rPr>
          <w:i/>
        </w:rPr>
        <w:t>International Journal of Auditing,</w:t>
      </w:r>
      <w:r w:rsidRPr="00382579">
        <w:t xml:space="preserve"> 25</w:t>
      </w:r>
      <w:r w:rsidRPr="00382579">
        <w:rPr>
          <w:b/>
        </w:rPr>
        <w:t>,</w:t>
      </w:r>
      <w:r w:rsidRPr="00382579">
        <w:t xml:space="preserve"> 351-372.</w:t>
      </w:r>
    </w:p>
    <w:p w14:paraId="28585069" w14:textId="77777777" w:rsidR="00B9430A" w:rsidRPr="00382579" w:rsidRDefault="00B9430A" w:rsidP="00B9430A">
      <w:pPr>
        <w:pStyle w:val="EndNoteBibliography"/>
        <w:ind w:left="720" w:hanging="720"/>
      </w:pPr>
      <w:r w:rsidRPr="00382579">
        <w:t xml:space="preserve">Channuntapipat, C., Samsonova-Taddei, A. &amp; Turley, S. 2019. Exploring diversity in sustainability assurance practice: Evidence from assurance providers in the UK. </w:t>
      </w:r>
      <w:r w:rsidRPr="00382579">
        <w:rPr>
          <w:i/>
        </w:rPr>
        <w:t>Accounting, Auditing &amp; Accountability Journal,</w:t>
      </w:r>
      <w:r w:rsidRPr="00382579">
        <w:t xml:space="preserve"> 32</w:t>
      </w:r>
      <w:r w:rsidRPr="00382579">
        <w:rPr>
          <w:b/>
        </w:rPr>
        <w:t>,</w:t>
      </w:r>
      <w:r w:rsidRPr="00382579">
        <w:t xml:space="preserve"> 556-580.</w:t>
      </w:r>
    </w:p>
    <w:p w14:paraId="6D78C8EF" w14:textId="77777777" w:rsidR="00B9430A" w:rsidRPr="00382579" w:rsidRDefault="00B9430A" w:rsidP="00B9430A">
      <w:pPr>
        <w:pStyle w:val="EndNoteBibliography"/>
        <w:ind w:left="720" w:hanging="720"/>
      </w:pPr>
      <w:r w:rsidRPr="00382579">
        <w:t xml:space="preserve">Clarkson, P., Li, Y., Richardson, G. &amp; Tsang, A. 2019. Causes and consequences of voluntary assurance of CSR reports: International evidence involving Dow Jones Sustainability Index Inclusion and Firm Valuation. </w:t>
      </w:r>
      <w:r w:rsidRPr="00382579">
        <w:rPr>
          <w:i/>
        </w:rPr>
        <w:t>Accounting, Auditing &amp; Accountability Journal,</w:t>
      </w:r>
      <w:r w:rsidRPr="00382579">
        <w:t xml:space="preserve"> 32</w:t>
      </w:r>
      <w:r w:rsidRPr="00382579">
        <w:rPr>
          <w:b/>
        </w:rPr>
        <w:t>,</w:t>
      </w:r>
      <w:r w:rsidRPr="00382579">
        <w:t xml:space="preserve"> 2451-2474.</w:t>
      </w:r>
    </w:p>
    <w:p w14:paraId="6023D325" w14:textId="77777777" w:rsidR="00B9430A" w:rsidRPr="00382579" w:rsidRDefault="00B9430A" w:rsidP="00B9430A">
      <w:pPr>
        <w:pStyle w:val="EndNoteBibliography"/>
        <w:ind w:left="720" w:hanging="720"/>
      </w:pPr>
      <w:r w:rsidRPr="00382579">
        <w:t>Cordery, C., Arora, B. &amp; Manochin, M. 2023. Publ</w:t>
      </w:r>
      <w:r w:rsidRPr="00382579">
        <w:rPr>
          <w:rFonts w:hint="eastAsia"/>
        </w:rPr>
        <w:t xml:space="preserve">ic sector audit and the state's responsibility to "leave no‐one behind": The role of integrated democratic accountability. </w:t>
      </w:r>
      <w:r w:rsidRPr="00382579">
        <w:rPr>
          <w:rFonts w:hint="eastAsia"/>
          <w:i/>
        </w:rPr>
        <w:t>Financial Accountability &amp; Management,</w:t>
      </w:r>
      <w:r w:rsidRPr="00382579">
        <w:rPr>
          <w:rFonts w:hint="eastAsia"/>
        </w:rPr>
        <w:t xml:space="preserve"> 39</w:t>
      </w:r>
      <w:r w:rsidRPr="00382579">
        <w:rPr>
          <w:rFonts w:hint="eastAsia"/>
          <w:b/>
        </w:rPr>
        <w:t>,</w:t>
      </w:r>
      <w:r w:rsidRPr="00382579">
        <w:rPr>
          <w:rFonts w:hint="eastAsia"/>
        </w:rPr>
        <w:t xml:space="preserve"> 304-326.</w:t>
      </w:r>
    </w:p>
    <w:p w14:paraId="0EC285A1" w14:textId="77777777" w:rsidR="00B9430A" w:rsidRPr="00382579" w:rsidRDefault="00B9430A" w:rsidP="00B9430A">
      <w:pPr>
        <w:pStyle w:val="EndNoteBibliography"/>
        <w:ind w:left="720" w:hanging="720"/>
      </w:pPr>
      <w:r w:rsidRPr="00382579">
        <w:t xml:space="preserve">Cordery, C. J. &amp; Hay, D. C. 2022. Public sector audit in uncertain times. </w:t>
      </w:r>
      <w:r w:rsidRPr="00382579">
        <w:rPr>
          <w:i/>
        </w:rPr>
        <w:t>Financial Accountability &amp; Management,</w:t>
      </w:r>
      <w:r w:rsidRPr="00382579">
        <w:t xml:space="preserve"> 38</w:t>
      </w:r>
      <w:r w:rsidRPr="00382579">
        <w:rPr>
          <w:b/>
        </w:rPr>
        <w:t>,</w:t>
      </w:r>
      <w:r w:rsidRPr="00382579">
        <w:t xml:space="preserve"> 426-446.</w:t>
      </w:r>
    </w:p>
    <w:p w14:paraId="5AF59EBD" w14:textId="77777777" w:rsidR="00B9430A" w:rsidRPr="00382579" w:rsidRDefault="00B9430A" w:rsidP="00B9430A">
      <w:pPr>
        <w:pStyle w:val="EndNoteBibliography"/>
        <w:ind w:left="720" w:hanging="720"/>
      </w:pPr>
      <w:r w:rsidRPr="00382579">
        <w:t xml:space="preserve">Datt, R., Luo, L., Tang, Q. &amp; Mallik, G. 2018. An International Study of Determinants of Voluntary Carbon Assurance. </w:t>
      </w:r>
      <w:r w:rsidRPr="00382579">
        <w:rPr>
          <w:i/>
        </w:rPr>
        <w:t>Journal of International Accounting Research,</w:t>
      </w:r>
      <w:r w:rsidRPr="00382579">
        <w:t xml:space="preserve"> 17</w:t>
      </w:r>
      <w:r w:rsidRPr="00382579">
        <w:rPr>
          <w:b/>
        </w:rPr>
        <w:t>,</w:t>
      </w:r>
      <w:r w:rsidRPr="00382579">
        <w:t xml:space="preserve"> 1-20.</w:t>
      </w:r>
    </w:p>
    <w:p w14:paraId="61240D77" w14:textId="77777777" w:rsidR="00B9430A" w:rsidRPr="00382579" w:rsidRDefault="00B9430A" w:rsidP="00B9430A">
      <w:pPr>
        <w:pStyle w:val="EndNoteBibliography"/>
        <w:ind w:left="720" w:hanging="720"/>
      </w:pPr>
      <w:r w:rsidRPr="00382579">
        <w:t xml:space="preserve">Dogui, K., Boiral, O. &amp; Gendron, Y. 2013. ISO auditing and the construction of trust in auditor independence. </w:t>
      </w:r>
      <w:r w:rsidRPr="00382579">
        <w:rPr>
          <w:i/>
        </w:rPr>
        <w:t>Accounting, Auditing &amp; Accountability Journal,</w:t>
      </w:r>
      <w:r w:rsidRPr="00382579">
        <w:t xml:space="preserve"> 26</w:t>
      </w:r>
      <w:r w:rsidRPr="00382579">
        <w:rPr>
          <w:b/>
        </w:rPr>
        <w:t>,</w:t>
      </w:r>
      <w:r w:rsidRPr="00382579">
        <w:t xml:space="preserve"> 1279-1305.</w:t>
      </w:r>
    </w:p>
    <w:p w14:paraId="4051FA5B" w14:textId="77777777" w:rsidR="00B9430A" w:rsidRPr="00382579" w:rsidRDefault="00B9430A" w:rsidP="00B9430A">
      <w:pPr>
        <w:pStyle w:val="EndNoteBibliography"/>
        <w:ind w:left="720" w:hanging="720"/>
      </w:pPr>
      <w:r w:rsidRPr="00382579">
        <w:t xml:space="preserve">Donthu, N., Kumar, S., Mukherjee, D., Pandey, N. &amp; Lim, W. M. 2021. How to conduct a bibliometric analysis: An overview and guidelines. </w:t>
      </w:r>
      <w:r w:rsidRPr="00382579">
        <w:rPr>
          <w:i/>
        </w:rPr>
        <w:t>Journal of business research,</w:t>
      </w:r>
      <w:r w:rsidRPr="00382579">
        <w:t xml:space="preserve"> 133</w:t>
      </w:r>
      <w:r w:rsidRPr="00382579">
        <w:rPr>
          <w:b/>
        </w:rPr>
        <w:t>,</w:t>
      </w:r>
      <w:r w:rsidRPr="00382579">
        <w:t xml:space="preserve"> 285-296.</w:t>
      </w:r>
    </w:p>
    <w:p w14:paraId="7F2D8B21" w14:textId="77777777" w:rsidR="00B9430A" w:rsidRPr="00382579" w:rsidRDefault="00B9430A" w:rsidP="00B9430A">
      <w:pPr>
        <w:pStyle w:val="EndNoteBibliography"/>
        <w:ind w:left="720" w:hanging="720"/>
      </w:pPr>
      <w:r w:rsidRPr="00382579">
        <w:t xml:space="preserve">Ekasingh, E., Simnett, R. &amp; Green, W. J. 2019. The Effect of Diversity and the Mediating Role of Elaboration on Multidisciplinary Greenhouse Gas Assurance Team Effectiveness. </w:t>
      </w:r>
      <w:r w:rsidRPr="00382579">
        <w:rPr>
          <w:i/>
        </w:rPr>
        <w:t>Behavioral Research in Accounting,</w:t>
      </w:r>
      <w:r w:rsidRPr="00382579">
        <w:t xml:space="preserve"> 31</w:t>
      </w:r>
      <w:r w:rsidRPr="00382579">
        <w:rPr>
          <w:b/>
        </w:rPr>
        <w:t>,</w:t>
      </w:r>
      <w:r w:rsidRPr="00382579">
        <w:t xml:space="preserve"> 81-96.</w:t>
      </w:r>
    </w:p>
    <w:p w14:paraId="4853C8A7" w14:textId="77777777" w:rsidR="00B9430A" w:rsidRPr="00382579" w:rsidRDefault="00B9430A" w:rsidP="00B9430A">
      <w:pPr>
        <w:pStyle w:val="EndNoteBibliography"/>
        <w:ind w:left="720" w:hanging="720"/>
      </w:pPr>
      <w:r w:rsidRPr="00382579">
        <w:t xml:space="preserve">Emery, A. R. T. &amp; Watson, M. 2003. Eco-auditing and environmental liability: An international perspective. </w:t>
      </w:r>
      <w:r w:rsidRPr="00382579">
        <w:rPr>
          <w:i/>
        </w:rPr>
        <w:t>Managerial auditing journal,</w:t>
      </w:r>
      <w:r w:rsidRPr="00382579">
        <w:t xml:space="preserve"> 18</w:t>
      </w:r>
      <w:r w:rsidRPr="00382579">
        <w:rPr>
          <w:b/>
        </w:rPr>
        <w:t>,</w:t>
      </w:r>
      <w:r w:rsidRPr="00382579">
        <w:t xml:space="preserve"> 631-636.</w:t>
      </w:r>
    </w:p>
    <w:p w14:paraId="75A0F73E" w14:textId="77777777" w:rsidR="00B9430A" w:rsidRPr="00382579" w:rsidRDefault="00B9430A" w:rsidP="00B9430A">
      <w:pPr>
        <w:pStyle w:val="EndNoteBibliography"/>
        <w:ind w:left="720" w:hanging="720"/>
      </w:pPr>
      <w:r w:rsidRPr="00382579">
        <w:t xml:space="preserve">English, L. 2003. EMASCULATING PUBLIC ACCOUNTABILITY IN THE NAME OF COMPETITION: TRANSFORMATION OF STATE AUDIT IN VICTORIA. </w:t>
      </w:r>
      <w:r w:rsidRPr="00382579">
        <w:rPr>
          <w:i/>
        </w:rPr>
        <w:t>Critical Perspectives on Accounting,</w:t>
      </w:r>
      <w:r w:rsidRPr="00382579">
        <w:t xml:space="preserve"> 14</w:t>
      </w:r>
      <w:r w:rsidRPr="00382579">
        <w:rPr>
          <w:b/>
        </w:rPr>
        <w:t>,</w:t>
      </w:r>
      <w:r w:rsidRPr="00382579">
        <w:t xml:space="preserve"> 51-76.</w:t>
      </w:r>
    </w:p>
    <w:p w14:paraId="3A7F1364" w14:textId="77777777" w:rsidR="00B9430A" w:rsidRPr="00382579" w:rsidRDefault="00B9430A" w:rsidP="00B9430A">
      <w:pPr>
        <w:pStyle w:val="EndNoteBibliography"/>
        <w:ind w:left="720" w:hanging="720"/>
      </w:pPr>
      <w:r w:rsidRPr="00382579">
        <w:lastRenderedPageBreak/>
        <w:t xml:space="preserve">Everett, J. 2003. THE POLITICS OF COMPREHENSIVE AUDITING IN FIELDS OF HIGH OUTCOME AND CAUSE UNCERTAINTY. </w:t>
      </w:r>
      <w:r w:rsidRPr="00382579">
        <w:rPr>
          <w:i/>
        </w:rPr>
        <w:t>Critical Perspectives on Accounting,</w:t>
      </w:r>
      <w:r w:rsidRPr="00382579">
        <w:t xml:space="preserve"> 14</w:t>
      </w:r>
      <w:r w:rsidRPr="00382579">
        <w:rPr>
          <w:b/>
        </w:rPr>
        <w:t>,</w:t>
      </w:r>
      <w:r w:rsidRPr="00382579">
        <w:t xml:space="preserve"> 77-104.</w:t>
      </w:r>
    </w:p>
    <w:p w14:paraId="6F9E150B" w14:textId="77777777" w:rsidR="00B9430A" w:rsidRPr="00382579" w:rsidRDefault="00B9430A" w:rsidP="00B9430A">
      <w:pPr>
        <w:pStyle w:val="EndNoteBibliography"/>
        <w:ind w:left="720" w:hanging="720"/>
      </w:pPr>
      <w:r w:rsidRPr="00382579">
        <w:t>Fan, D.</w:t>
      </w:r>
      <w:r w:rsidRPr="00382579">
        <w:rPr>
          <w:rFonts w:hint="eastAsia"/>
        </w:rPr>
        <w:t xml:space="preserve">, Breslin, D., Callahan, J. L. &amp; Iszatt‐White, M. 2022. Advancing literature review methodology through rigour, generativity, scope and transparency. </w:t>
      </w:r>
      <w:r w:rsidRPr="00382579">
        <w:rPr>
          <w:rFonts w:hint="eastAsia"/>
          <w:i/>
        </w:rPr>
        <w:t>International journal of management reviews,</w:t>
      </w:r>
      <w:r w:rsidRPr="00382579">
        <w:rPr>
          <w:rFonts w:hint="eastAsia"/>
        </w:rPr>
        <w:t xml:space="preserve"> 24</w:t>
      </w:r>
      <w:r w:rsidRPr="00382579">
        <w:rPr>
          <w:rFonts w:hint="eastAsia"/>
          <w:b/>
        </w:rPr>
        <w:t>,</w:t>
      </w:r>
      <w:r w:rsidRPr="00382579">
        <w:rPr>
          <w:rFonts w:hint="eastAsia"/>
        </w:rPr>
        <w:t xml:space="preserve"> 171-180.</w:t>
      </w:r>
    </w:p>
    <w:p w14:paraId="0B7981D8" w14:textId="77777777" w:rsidR="00B9430A" w:rsidRPr="00382579" w:rsidRDefault="00B9430A" w:rsidP="00B9430A">
      <w:pPr>
        <w:pStyle w:val="EndNoteBibliography"/>
        <w:ind w:left="720" w:hanging="720"/>
      </w:pPr>
      <w:r w:rsidRPr="00382579">
        <w:t xml:space="preserve">Farooq, M. B., Azantouti, A. S. A. &amp; Zaman, R. 2023. Non-financial information assurance: a review of the literature and directions for future research. </w:t>
      </w:r>
      <w:r w:rsidRPr="00382579">
        <w:rPr>
          <w:i/>
        </w:rPr>
        <w:t>Sustainability Accounting, Management and Policy Journal,</w:t>
      </w:r>
      <w:r w:rsidRPr="00382579">
        <w:t xml:space="preserve"> 15</w:t>
      </w:r>
      <w:r w:rsidRPr="00382579">
        <w:rPr>
          <w:b/>
        </w:rPr>
        <w:t>,</w:t>
      </w:r>
      <w:r w:rsidRPr="00382579">
        <w:t xml:space="preserve"> 48-84.</w:t>
      </w:r>
    </w:p>
    <w:p w14:paraId="0B51F12A" w14:textId="77777777" w:rsidR="00B9430A" w:rsidRPr="00382579" w:rsidRDefault="00B9430A" w:rsidP="00B9430A">
      <w:pPr>
        <w:pStyle w:val="EndNoteBibliography"/>
        <w:ind w:left="720" w:hanging="720"/>
      </w:pPr>
      <w:r w:rsidRPr="00382579">
        <w:t xml:space="preserve">Farooq, M. B. &amp; De Villiers, C. 2019. The shaping of sustainability assurance through the competition between accounting and non-accounting providers. </w:t>
      </w:r>
      <w:r w:rsidRPr="00382579">
        <w:rPr>
          <w:i/>
        </w:rPr>
        <w:t>Accounting, Auditing &amp; Accountability Journal,</w:t>
      </w:r>
      <w:r w:rsidRPr="00382579">
        <w:t xml:space="preserve"> 32</w:t>
      </w:r>
      <w:r w:rsidRPr="00382579">
        <w:rPr>
          <w:b/>
        </w:rPr>
        <w:t>,</w:t>
      </w:r>
      <w:r w:rsidRPr="00382579">
        <w:t xml:space="preserve"> 307-336.</w:t>
      </w:r>
    </w:p>
    <w:p w14:paraId="0AE051D8" w14:textId="77777777" w:rsidR="00B9430A" w:rsidRPr="00382579" w:rsidRDefault="00B9430A" w:rsidP="00B9430A">
      <w:pPr>
        <w:pStyle w:val="EndNoteBibliography"/>
        <w:ind w:left="720" w:hanging="720"/>
      </w:pPr>
      <w:r w:rsidRPr="00382579">
        <w:t xml:space="preserve">Farooq, M. B. &amp; De Villiers, C. 2020. How sustainability assurance engagement scopes are determined, and its impact on capture and credibility enhancement. </w:t>
      </w:r>
      <w:r w:rsidRPr="00382579">
        <w:rPr>
          <w:i/>
        </w:rPr>
        <w:t>Accounting, Auditing &amp; Accountability Journal,</w:t>
      </w:r>
      <w:r w:rsidRPr="00382579">
        <w:t xml:space="preserve"> 33</w:t>
      </w:r>
      <w:r w:rsidRPr="00382579">
        <w:rPr>
          <w:b/>
        </w:rPr>
        <w:t>,</w:t>
      </w:r>
      <w:r w:rsidRPr="00382579">
        <w:t xml:space="preserve"> 417-445.</w:t>
      </w:r>
    </w:p>
    <w:p w14:paraId="2F78D9A0" w14:textId="77777777" w:rsidR="00B9430A" w:rsidRPr="00382579" w:rsidRDefault="00B9430A" w:rsidP="00B9430A">
      <w:pPr>
        <w:pStyle w:val="EndNoteBibliography"/>
        <w:ind w:left="720" w:hanging="720"/>
      </w:pPr>
      <w:r w:rsidRPr="00382579">
        <w:t xml:space="preserve">Ferguson, A. &amp; Pündrich, G. 2015. Does industry specialist assurance of non-financial information matter to investors? </w:t>
      </w:r>
      <w:r w:rsidRPr="00382579">
        <w:rPr>
          <w:i/>
        </w:rPr>
        <w:t>Auditing: A Journal of Practice &amp; Theory,</w:t>
      </w:r>
      <w:r w:rsidRPr="00382579">
        <w:t xml:space="preserve"> 34</w:t>
      </w:r>
      <w:r w:rsidRPr="00382579">
        <w:rPr>
          <w:b/>
        </w:rPr>
        <w:t>,</w:t>
      </w:r>
      <w:r w:rsidRPr="00382579">
        <w:t xml:space="preserve"> 121-146.</w:t>
      </w:r>
    </w:p>
    <w:p w14:paraId="52105384" w14:textId="77777777" w:rsidR="00B9430A" w:rsidRPr="00382579" w:rsidRDefault="00B9430A" w:rsidP="00B9430A">
      <w:pPr>
        <w:pStyle w:val="EndNoteBibliography"/>
        <w:ind w:left="720" w:hanging="720"/>
      </w:pPr>
      <w:r w:rsidRPr="00382579">
        <w:t xml:space="preserve">Free, C., Jones, S. &amp; Tremblay, M. S. 2024. Greenwashing and sustainability assurance: a review and call for future research. </w:t>
      </w:r>
      <w:r w:rsidRPr="00382579">
        <w:rPr>
          <w:i/>
        </w:rPr>
        <w:t>Journal of Accounting Literature</w:t>
      </w:r>
      <w:r w:rsidRPr="00382579">
        <w:t>.</w:t>
      </w:r>
    </w:p>
    <w:p w14:paraId="7FDAC540" w14:textId="77777777" w:rsidR="00B9430A" w:rsidRPr="00382579" w:rsidRDefault="00B9430A" w:rsidP="00B9430A">
      <w:pPr>
        <w:pStyle w:val="EndNoteBibliography"/>
        <w:ind w:left="720" w:hanging="720"/>
      </w:pPr>
      <w:r w:rsidRPr="00382579">
        <w:t xml:space="preserve">Funnell, W. 2015. Performance Auditing and Adjudicating Political Disputes. </w:t>
      </w:r>
      <w:r w:rsidRPr="00382579">
        <w:rPr>
          <w:i/>
        </w:rPr>
        <w:t>Financial Accountability &amp; Management,</w:t>
      </w:r>
      <w:r w:rsidRPr="00382579">
        <w:t xml:space="preserve"> 31</w:t>
      </w:r>
      <w:r w:rsidRPr="00382579">
        <w:rPr>
          <w:b/>
        </w:rPr>
        <w:t>,</w:t>
      </w:r>
      <w:r w:rsidRPr="00382579">
        <w:t xml:space="preserve"> 92-111.</w:t>
      </w:r>
    </w:p>
    <w:p w14:paraId="2AFBDE08" w14:textId="77777777" w:rsidR="00B9430A" w:rsidRPr="00382579" w:rsidRDefault="00B9430A" w:rsidP="00B9430A">
      <w:pPr>
        <w:pStyle w:val="EndNoteBibliography"/>
        <w:ind w:left="720" w:hanging="720"/>
      </w:pPr>
      <w:r w:rsidRPr="00382579">
        <w:t xml:space="preserve">Funnell, W. &amp; Wade, M. 2012. Negotiating the credibility of performance auditing. </w:t>
      </w:r>
      <w:r w:rsidRPr="00382579">
        <w:rPr>
          <w:i/>
        </w:rPr>
        <w:t>Critical Perspectives on Accounting,</w:t>
      </w:r>
      <w:r w:rsidRPr="00382579">
        <w:t xml:space="preserve"> 23</w:t>
      </w:r>
      <w:r w:rsidRPr="00382579">
        <w:rPr>
          <w:b/>
        </w:rPr>
        <w:t>,</w:t>
      </w:r>
      <w:r w:rsidRPr="00382579">
        <w:t xml:space="preserve"> 434-450.</w:t>
      </w:r>
    </w:p>
    <w:p w14:paraId="76D83830" w14:textId="77777777" w:rsidR="00B9430A" w:rsidRPr="00382579" w:rsidRDefault="00B9430A" w:rsidP="00B9430A">
      <w:pPr>
        <w:pStyle w:val="EndNoteBibliography"/>
        <w:ind w:left="720" w:hanging="720"/>
      </w:pPr>
      <w:r w:rsidRPr="00382579">
        <w:t xml:space="preserve">Gendron, Y. &amp; Barrett, M. 2004. Professionalization in Action: Accountants' Attempt at Building a Network of Support for the WebTrust Seal of Assurance. </w:t>
      </w:r>
      <w:r w:rsidRPr="00382579">
        <w:rPr>
          <w:i/>
        </w:rPr>
        <w:t>Contemporary Accounting Research/Recherche Comptable Contemporaine,</w:t>
      </w:r>
      <w:r w:rsidRPr="00382579">
        <w:t xml:space="preserve"> 21</w:t>
      </w:r>
      <w:r w:rsidRPr="00382579">
        <w:rPr>
          <w:b/>
        </w:rPr>
        <w:t>,</w:t>
      </w:r>
      <w:r w:rsidRPr="00382579">
        <w:t xml:space="preserve"> 563-602.</w:t>
      </w:r>
    </w:p>
    <w:p w14:paraId="6842973F" w14:textId="77777777" w:rsidR="00B9430A" w:rsidRPr="00382579" w:rsidRDefault="00B9430A" w:rsidP="00B9430A">
      <w:pPr>
        <w:pStyle w:val="EndNoteBibliography"/>
        <w:ind w:left="720" w:hanging="720"/>
      </w:pPr>
      <w:r w:rsidRPr="00382579">
        <w:t xml:space="preserve">Gendron, Y., Cooper, D. J. &amp; Townley, B. 2007. The construction of auditing expertise in measuring government performance. </w:t>
      </w:r>
      <w:r w:rsidRPr="00382579">
        <w:rPr>
          <w:i/>
        </w:rPr>
        <w:t>Accounting, Organizations &amp; Society,</w:t>
      </w:r>
      <w:r w:rsidRPr="00382579">
        <w:t xml:space="preserve"> 32</w:t>
      </w:r>
      <w:r w:rsidRPr="00382579">
        <w:rPr>
          <w:b/>
        </w:rPr>
        <w:t>,</w:t>
      </w:r>
      <w:r w:rsidRPr="00382579">
        <w:t xml:space="preserve"> 101-129.</w:t>
      </w:r>
    </w:p>
    <w:p w14:paraId="71C74DCE" w14:textId="77777777" w:rsidR="00B9430A" w:rsidRPr="00382579" w:rsidRDefault="00B9430A" w:rsidP="00B9430A">
      <w:pPr>
        <w:pStyle w:val="EndNoteBibliography"/>
        <w:ind w:left="720" w:hanging="720"/>
      </w:pPr>
      <w:r w:rsidRPr="00382579">
        <w:t xml:space="preserve">Green, W. &amp; Taylor, S. 2013. Factors that Influence Perceptions of Greenhouse Gas Assurance Provider Quality. </w:t>
      </w:r>
      <w:r w:rsidRPr="00382579">
        <w:rPr>
          <w:i/>
        </w:rPr>
        <w:t>International Journal of Auditing,</w:t>
      </w:r>
      <w:r w:rsidRPr="00382579">
        <w:t xml:space="preserve"> 17</w:t>
      </w:r>
      <w:r w:rsidRPr="00382579">
        <w:rPr>
          <w:b/>
        </w:rPr>
        <w:t>,</w:t>
      </w:r>
      <w:r w:rsidRPr="00382579">
        <w:t xml:space="preserve"> 288-307.</w:t>
      </w:r>
    </w:p>
    <w:p w14:paraId="7FA9BDB8" w14:textId="77777777" w:rsidR="00B9430A" w:rsidRPr="00382579" w:rsidRDefault="00B9430A" w:rsidP="00B9430A">
      <w:pPr>
        <w:pStyle w:val="EndNoteBibliography"/>
        <w:ind w:left="720" w:hanging="720"/>
      </w:pPr>
      <w:r w:rsidRPr="00382579">
        <w:t xml:space="preserve">Guthrie, J. E. &amp; Parker, L. D. 1999. A Quarter of a Century of Performance Auditing in the Australian Federal Public Sector: A Malleable Masque. </w:t>
      </w:r>
      <w:r w:rsidRPr="00382579">
        <w:rPr>
          <w:i/>
        </w:rPr>
        <w:t>Abacus,</w:t>
      </w:r>
      <w:r w:rsidRPr="00382579">
        <w:t xml:space="preserve"> 35</w:t>
      </w:r>
      <w:r w:rsidRPr="00382579">
        <w:rPr>
          <w:b/>
        </w:rPr>
        <w:t>,</w:t>
      </w:r>
      <w:r w:rsidRPr="00382579">
        <w:t xml:space="preserve"> 302-332.</w:t>
      </w:r>
    </w:p>
    <w:p w14:paraId="356D1CC1" w14:textId="77777777" w:rsidR="00B9430A" w:rsidRPr="00382579" w:rsidRDefault="00B9430A" w:rsidP="00B9430A">
      <w:pPr>
        <w:pStyle w:val="EndNoteBibliography"/>
        <w:ind w:left="720" w:hanging="720"/>
      </w:pPr>
      <w:r w:rsidRPr="00382579">
        <w:t xml:space="preserve">Haji, A. A., Coram, P. &amp; Troshani, I. 2022. Consequences of CSR reporting regulations worldwide: a review and research agenda. </w:t>
      </w:r>
      <w:r w:rsidRPr="00382579">
        <w:rPr>
          <w:i/>
        </w:rPr>
        <w:t>Accounting, Auditing &amp; Accountability Journal,</w:t>
      </w:r>
      <w:r w:rsidRPr="00382579">
        <w:t xml:space="preserve"> 36</w:t>
      </w:r>
      <w:r w:rsidRPr="00382579">
        <w:rPr>
          <w:b/>
        </w:rPr>
        <w:t>,</w:t>
      </w:r>
      <w:r w:rsidRPr="00382579">
        <w:t xml:space="preserve"> 177-208.</w:t>
      </w:r>
    </w:p>
    <w:p w14:paraId="50ECC563" w14:textId="77777777" w:rsidR="00B9430A" w:rsidRPr="00382579" w:rsidRDefault="00B9430A" w:rsidP="00B9430A">
      <w:pPr>
        <w:pStyle w:val="EndNoteBibliography"/>
        <w:ind w:left="720" w:hanging="720"/>
      </w:pPr>
      <w:r w:rsidRPr="00382579">
        <w:t xml:space="preserve">Hasan, M., Maijoor, S., Mock, T. J., Roebuck, P., Simnett, R. &amp; Vanstraelen, A. 2005. The different types of assurance services and levels of assurance provided. </w:t>
      </w:r>
      <w:r w:rsidRPr="00382579">
        <w:rPr>
          <w:i/>
        </w:rPr>
        <w:t>International Journal of Auditing,</w:t>
      </w:r>
      <w:r w:rsidRPr="00382579">
        <w:t xml:space="preserve"> 9</w:t>
      </w:r>
      <w:r w:rsidRPr="00382579">
        <w:rPr>
          <w:b/>
        </w:rPr>
        <w:t>,</w:t>
      </w:r>
      <w:r w:rsidRPr="00382579">
        <w:t xml:space="preserve"> 91-102.</w:t>
      </w:r>
    </w:p>
    <w:p w14:paraId="6488B99D" w14:textId="77777777" w:rsidR="00B9430A" w:rsidRPr="00382579" w:rsidRDefault="00B9430A" w:rsidP="00B9430A">
      <w:pPr>
        <w:pStyle w:val="EndNoteBibliography"/>
        <w:ind w:left="720" w:hanging="720"/>
      </w:pPr>
      <w:r w:rsidRPr="00382579">
        <w:lastRenderedPageBreak/>
        <w:t xml:space="preserve">Hillary, R. 1998. Environmental Auditing: Concepts, Methods and Developments. </w:t>
      </w:r>
      <w:r w:rsidRPr="00382579">
        <w:rPr>
          <w:i/>
        </w:rPr>
        <w:t>International Journal of Auditing,</w:t>
      </w:r>
      <w:r w:rsidRPr="00382579">
        <w:t xml:space="preserve"> 2</w:t>
      </w:r>
      <w:r w:rsidRPr="00382579">
        <w:rPr>
          <w:b/>
        </w:rPr>
        <w:t>,</w:t>
      </w:r>
      <w:r w:rsidRPr="00382579">
        <w:t xml:space="preserve"> 71-85.</w:t>
      </w:r>
    </w:p>
    <w:p w14:paraId="5D7E0143" w14:textId="77777777" w:rsidR="00B9430A" w:rsidRPr="00382579" w:rsidRDefault="00B9430A" w:rsidP="00B9430A">
      <w:pPr>
        <w:pStyle w:val="EndNoteBibliography"/>
        <w:ind w:left="720" w:hanging="720"/>
      </w:pPr>
      <w:r w:rsidRPr="00382579">
        <w:t xml:space="preserve">Hoang, H. &amp; Trotman, K. T. 2021. The Effect of CSR Assurance and Explicit Assessment on Investor Valuation Judgments. </w:t>
      </w:r>
      <w:r w:rsidRPr="00382579">
        <w:rPr>
          <w:i/>
        </w:rPr>
        <w:t>Auditing: A Journal of Practice &amp; Theory,</w:t>
      </w:r>
      <w:r w:rsidRPr="00382579">
        <w:t xml:space="preserve"> 40</w:t>
      </w:r>
      <w:r w:rsidRPr="00382579">
        <w:rPr>
          <w:b/>
        </w:rPr>
        <w:t>,</w:t>
      </w:r>
      <w:r w:rsidRPr="00382579">
        <w:t xml:space="preserve"> 19-33.</w:t>
      </w:r>
    </w:p>
    <w:p w14:paraId="14B8EFE6" w14:textId="77777777" w:rsidR="00B9430A" w:rsidRPr="00382579" w:rsidRDefault="00B9430A" w:rsidP="00B9430A">
      <w:pPr>
        <w:pStyle w:val="EndNoteBibliography"/>
        <w:ind w:left="720" w:hanging="720"/>
      </w:pPr>
      <w:r w:rsidRPr="00382579">
        <w:t xml:space="preserve">Hummel, K., Schlick, C. &amp; Fifka, M. 2019. The Role of Sustainability Performance and Accounting Assurors in Sustainability Assurance Engagements: JBE. </w:t>
      </w:r>
      <w:r w:rsidRPr="00382579">
        <w:rPr>
          <w:i/>
        </w:rPr>
        <w:t>Journal of Business Ethics,</w:t>
      </w:r>
      <w:r w:rsidRPr="00382579">
        <w:t xml:space="preserve"> 154</w:t>
      </w:r>
      <w:r w:rsidRPr="00382579">
        <w:rPr>
          <w:b/>
        </w:rPr>
        <w:t>,</w:t>
      </w:r>
      <w:r w:rsidRPr="00382579">
        <w:t xml:space="preserve"> 733-757.</w:t>
      </w:r>
    </w:p>
    <w:p w14:paraId="1CD9EC51" w14:textId="77777777" w:rsidR="00B9430A" w:rsidRPr="00382579" w:rsidRDefault="00B9430A" w:rsidP="00B9430A">
      <w:pPr>
        <w:pStyle w:val="EndNoteBibliography"/>
        <w:ind w:left="720" w:hanging="720"/>
      </w:pPr>
      <w:r w:rsidRPr="00382579">
        <w:rPr>
          <w:rFonts w:hint="eastAsia"/>
        </w:rPr>
        <w:t xml:space="preserve">Humphreys, K. A. &amp; Trotman, K. T. 2022. Judgment and decision making research on CSR reporting in the COVID‐19 pandemic environment. </w:t>
      </w:r>
      <w:r w:rsidRPr="00382579">
        <w:rPr>
          <w:rFonts w:hint="eastAsia"/>
          <w:i/>
        </w:rPr>
        <w:t>Accounting &amp; Finance,</w:t>
      </w:r>
      <w:r w:rsidRPr="00382579">
        <w:rPr>
          <w:rFonts w:hint="eastAsia"/>
        </w:rPr>
        <w:t xml:space="preserve"> 62</w:t>
      </w:r>
      <w:r w:rsidRPr="00382579">
        <w:rPr>
          <w:rFonts w:hint="eastAsia"/>
          <w:b/>
        </w:rPr>
        <w:t>,</w:t>
      </w:r>
      <w:r w:rsidRPr="00382579">
        <w:rPr>
          <w:rFonts w:hint="eastAsia"/>
        </w:rPr>
        <w:t xml:space="preserve"> 739-765.</w:t>
      </w:r>
    </w:p>
    <w:p w14:paraId="70E4C7B9" w14:textId="77777777" w:rsidR="00B9430A" w:rsidRPr="00382579" w:rsidRDefault="00B9430A" w:rsidP="00B9430A">
      <w:pPr>
        <w:pStyle w:val="EndNoteBibliography"/>
        <w:ind w:left="720" w:hanging="720"/>
      </w:pPr>
      <w:r w:rsidRPr="00382579">
        <w:t xml:space="preserve">Justesen, L. &amp; Skærbæk, P. 2010. PERFORMANCE AUDITING AND THE NARRATING OF A NEW AUDITEE IDENTITY. </w:t>
      </w:r>
      <w:r w:rsidRPr="00382579">
        <w:rPr>
          <w:i/>
        </w:rPr>
        <w:t>Financial Accountability &amp; Management,</w:t>
      </w:r>
      <w:r w:rsidRPr="00382579">
        <w:t xml:space="preserve"> 26</w:t>
      </w:r>
      <w:r w:rsidRPr="00382579">
        <w:rPr>
          <w:b/>
        </w:rPr>
        <w:t>,</w:t>
      </w:r>
      <w:r w:rsidRPr="00382579">
        <w:t xml:space="preserve"> 325-343.</w:t>
      </w:r>
    </w:p>
    <w:p w14:paraId="03FDCF1B" w14:textId="77777777" w:rsidR="00B9430A" w:rsidRPr="00382579" w:rsidRDefault="00B9430A" w:rsidP="00B9430A">
      <w:pPr>
        <w:pStyle w:val="EndNoteBibliography"/>
        <w:ind w:left="720" w:hanging="720"/>
      </w:pPr>
      <w:r w:rsidRPr="00382579">
        <w:t xml:space="preserve">Kim, S., Green, W. J. &amp; Johnstone, K. M. 2016. Biased Evidence Processing by Multidisciplinary Greenhouse Gas Assurance Teams. </w:t>
      </w:r>
      <w:r w:rsidRPr="00382579">
        <w:rPr>
          <w:i/>
        </w:rPr>
        <w:t>Auditing: A Journal of Practice &amp; Theory,</w:t>
      </w:r>
      <w:r w:rsidRPr="00382579">
        <w:t xml:space="preserve"> 35</w:t>
      </w:r>
      <w:r w:rsidRPr="00382579">
        <w:rPr>
          <w:b/>
        </w:rPr>
        <w:t>,</w:t>
      </w:r>
      <w:r w:rsidRPr="00382579">
        <w:t xml:space="preserve"> 119-139.</w:t>
      </w:r>
    </w:p>
    <w:p w14:paraId="2E102C0C" w14:textId="77777777" w:rsidR="00B9430A" w:rsidRPr="00382579" w:rsidRDefault="00B9430A" w:rsidP="00B9430A">
      <w:pPr>
        <w:pStyle w:val="EndNoteBibliography"/>
        <w:ind w:left="720" w:hanging="720"/>
      </w:pPr>
      <w:r w:rsidRPr="00382579">
        <w:t xml:space="preserve">Krasodomska, J., Simnett, R. &amp; Street, D. L. 2021. Extended external reporting assurance: Current practices and challenges. </w:t>
      </w:r>
      <w:r w:rsidRPr="00382579">
        <w:rPr>
          <w:i/>
        </w:rPr>
        <w:t>Journal of international financial management &amp; accounting,</w:t>
      </w:r>
      <w:r w:rsidRPr="00382579">
        <w:t xml:space="preserve"> 32</w:t>
      </w:r>
      <w:r w:rsidRPr="00382579">
        <w:rPr>
          <w:b/>
        </w:rPr>
        <w:t>,</w:t>
      </w:r>
      <w:r w:rsidRPr="00382579">
        <w:t xml:space="preserve"> 104-142.</w:t>
      </w:r>
    </w:p>
    <w:p w14:paraId="0392B32B" w14:textId="77777777" w:rsidR="00B9430A" w:rsidRPr="00382579" w:rsidRDefault="00B9430A" w:rsidP="00B9430A">
      <w:pPr>
        <w:pStyle w:val="EndNoteBibliography"/>
        <w:ind w:left="720" w:hanging="720"/>
      </w:pPr>
      <w:r w:rsidRPr="00382579">
        <w:t xml:space="preserve">Liao, L., Teng, L. &amp; Zhang, Y. 2018. Corporate Board and Corporate Social Responsibility Assurance: Evidence from China: JBE. </w:t>
      </w:r>
      <w:r w:rsidRPr="00382579">
        <w:rPr>
          <w:i/>
        </w:rPr>
        <w:t>Journal of Business Ethics,</w:t>
      </w:r>
      <w:r w:rsidRPr="00382579">
        <w:t xml:space="preserve"> 150</w:t>
      </w:r>
      <w:r w:rsidRPr="00382579">
        <w:rPr>
          <w:b/>
        </w:rPr>
        <w:t>,</w:t>
      </w:r>
      <w:r w:rsidRPr="00382579">
        <w:t xml:space="preserve"> 211-225.</w:t>
      </w:r>
    </w:p>
    <w:p w14:paraId="01CB06B7" w14:textId="77777777" w:rsidR="00B9430A" w:rsidRPr="00382579" w:rsidRDefault="00B9430A" w:rsidP="00B9430A">
      <w:pPr>
        <w:pStyle w:val="EndNoteBibliography"/>
        <w:ind w:left="720" w:hanging="720"/>
      </w:pPr>
      <w:r w:rsidRPr="00382579">
        <w:t xml:space="preserve">Linnenluecke, M. K., Marrone, M. &amp; Singh, A. K. 2020. Conducting systematic literature reviews and bibliometric analyses. </w:t>
      </w:r>
      <w:r w:rsidRPr="00382579">
        <w:rPr>
          <w:i/>
        </w:rPr>
        <w:t>Australian journal of management,</w:t>
      </w:r>
      <w:r w:rsidRPr="00382579">
        <w:t xml:space="preserve"> 45</w:t>
      </w:r>
      <w:r w:rsidRPr="00382579">
        <w:rPr>
          <w:b/>
        </w:rPr>
        <w:t>,</w:t>
      </w:r>
      <w:r w:rsidRPr="00382579">
        <w:t xml:space="preserve"> 175-194.</w:t>
      </w:r>
    </w:p>
    <w:p w14:paraId="324E8C06" w14:textId="77777777" w:rsidR="00B9430A" w:rsidRPr="00382579" w:rsidRDefault="00B9430A" w:rsidP="00B9430A">
      <w:pPr>
        <w:pStyle w:val="EndNoteBibliography"/>
        <w:ind w:left="720" w:hanging="720"/>
      </w:pPr>
      <w:r w:rsidRPr="00382579">
        <w:t xml:space="preserve">Maltby, J. 1995. Environmental audit: Theory and practices. </w:t>
      </w:r>
      <w:r w:rsidRPr="00382579">
        <w:rPr>
          <w:i/>
        </w:rPr>
        <w:t>Managerial auditing journal,</w:t>
      </w:r>
      <w:r w:rsidRPr="00382579">
        <w:t xml:space="preserve"> 10</w:t>
      </w:r>
      <w:r w:rsidRPr="00382579">
        <w:rPr>
          <w:b/>
        </w:rPr>
        <w:t>,</w:t>
      </w:r>
      <w:r w:rsidRPr="00382579">
        <w:t xml:space="preserve"> 15.</w:t>
      </w:r>
    </w:p>
    <w:p w14:paraId="639C35A1" w14:textId="77777777" w:rsidR="00B9430A" w:rsidRPr="00382579" w:rsidRDefault="00B9430A" w:rsidP="00B9430A">
      <w:pPr>
        <w:pStyle w:val="EndNoteBibliography"/>
        <w:ind w:left="720" w:hanging="720"/>
      </w:pPr>
      <w:r w:rsidRPr="00382579">
        <w:t xml:space="preserve">Martínez-Ferrero, J. &amp; García-Sánchez, I.-M. 2018. The Level of Sustainability Assurance: The Effects of Brand Reputation and Industry Specialisation of Assurance Providers: JBE. </w:t>
      </w:r>
      <w:r w:rsidRPr="00382579">
        <w:rPr>
          <w:i/>
        </w:rPr>
        <w:t>Journal of Business Ethics,</w:t>
      </w:r>
      <w:r w:rsidRPr="00382579">
        <w:t xml:space="preserve"> 150</w:t>
      </w:r>
      <w:r w:rsidRPr="00382579">
        <w:rPr>
          <w:b/>
        </w:rPr>
        <w:t>,</w:t>
      </w:r>
      <w:r w:rsidRPr="00382579">
        <w:t xml:space="preserve"> 971-990.</w:t>
      </w:r>
    </w:p>
    <w:p w14:paraId="6B9F33DD" w14:textId="77777777" w:rsidR="00B9430A" w:rsidRPr="00382579" w:rsidRDefault="00B9430A" w:rsidP="00B9430A">
      <w:pPr>
        <w:pStyle w:val="EndNoteBibliography"/>
        <w:ind w:left="720" w:hanging="720"/>
      </w:pPr>
      <w:r w:rsidRPr="00382579">
        <w:t xml:space="preserve">Massaro, M., Dumay, J. &amp; Guthrie, J. 2016. On the shoulders of giants: undertaking a structured literature review in accounting. </w:t>
      </w:r>
      <w:r w:rsidRPr="00382579">
        <w:rPr>
          <w:i/>
        </w:rPr>
        <w:t>Accounting, Auditing &amp; Accountability Journal,</w:t>
      </w:r>
      <w:r w:rsidRPr="00382579">
        <w:t xml:space="preserve"> 29</w:t>
      </w:r>
      <w:r w:rsidRPr="00382579">
        <w:rPr>
          <w:b/>
        </w:rPr>
        <w:t>,</w:t>
      </w:r>
      <w:r w:rsidRPr="00382579">
        <w:t xml:space="preserve"> 767-801.</w:t>
      </w:r>
    </w:p>
    <w:p w14:paraId="63D8D955" w14:textId="77777777" w:rsidR="00B9430A" w:rsidRPr="00382579" w:rsidRDefault="00B9430A" w:rsidP="00B9430A">
      <w:pPr>
        <w:pStyle w:val="EndNoteBibliography"/>
        <w:ind w:left="720" w:hanging="720"/>
      </w:pPr>
      <w:r w:rsidRPr="00382579">
        <w:t xml:space="preserve">Miller, P. &amp; Power, M. 2013. Accounting, organizing, and economizing: Connecting accounting research and organization theory. </w:t>
      </w:r>
      <w:r w:rsidRPr="00382579">
        <w:rPr>
          <w:i/>
        </w:rPr>
        <w:t>Academy of Management annals,</w:t>
      </w:r>
      <w:r w:rsidRPr="00382579">
        <w:t xml:space="preserve"> 7</w:t>
      </w:r>
      <w:r w:rsidRPr="00382579">
        <w:rPr>
          <w:b/>
        </w:rPr>
        <w:t>,</w:t>
      </w:r>
      <w:r w:rsidRPr="00382579">
        <w:t xml:space="preserve"> 557-605.</w:t>
      </w:r>
    </w:p>
    <w:p w14:paraId="0CADDD87" w14:textId="77777777" w:rsidR="00B9430A" w:rsidRPr="00382579" w:rsidRDefault="00B9430A" w:rsidP="00B9430A">
      <w:pPr>
        <w:pStyle w:val="EndNoteBibliography"/>
        <w:ind w:left="720" w:hanging="720"/>
      </w:pPr>
      <w:r w:rsidRPr="00382579">
        <w:t xml:space="preserve">Morimoto, R., Ash, J. &amp; Hope, C. 2005. Corporate Social Responsibility Audit: From Theory to Practice. </w:t>
      </w:r>
      <w:r w:rsidRPr="00382579">
        <w:rPr>
          <w:i/>
        </w:rPr>
        <w:t>Journal of Business Ethics,</w:t>
      </w:r>
      <w:r w:rsidRPr="00382579">
        <w:t xml:space="preserve"> 62</w:t>
      </w:r>
      <w:r w:rsidRPr="00382579">
        <w:rPr>
          <w:b/>
        </w:rPr>
        <w:t>,</w:t>
      </w:r>
      <w:r w:rsidRPr="00382579">
        <w:t xml:space="preserve"> 315-325.</w:t>
      </w:r>
    </w:p>
    <w:p w14:paraId="0C9840AF" w14:textId="77777777" w:rsidR="00B9430A" w:rsidRPr="00382579" w:rsidRDefault="00B9430A" w:rsidP="00B9430A">
      <w:pPr>
        <w:pStyle w:val="EndNoteBibliography"/>
        <w:ind w:left="720" w:hanging="720"/>
      </w:pPr>
      <w:r w:rsidRPr="00382579">
        <w:t xml:space="preserve">Moroney, R., Campbell, F., Hamilton, J. &amp; Warren, V. 2020. </w:t>
      </w:r>
      <w:r w:rsidRPr="00382579">
        <w:rPr>
          <w:i/>
        </w:rPr>
        <w:t>Auditing: a practical approach</w:t>
      </w:r>
      <w:r w:rsidRPr="00382579">
        <w:t>, Wiley Global Education.</w:t>
      </w:r>
    </w:p>
    <w:p w14:paraId="0EEB210C" w14:textId="77777777" w:rsidR="00B9430A" w:rsidRPr="00382579" w:rsidRDefault="00B9430A" w:rsidP="00B9430A">
      <w:pPr>
        <w:pStyle w:val="EndNoteBibliography"/>
        <w:ind w:left="720" w:hanging="720"/>
      </w:pPr>
      <w:r w:rsidRPr="00382579">
        <w:lastRenderedPageBreak/>
        <w:t xml:space="preserve">Moroney, R., Windsor, C. &amp; Aw, Y. T. 2012. Evidence of assurance enhancing the quality of voluntary environmental disclosures: an empirical analysis. </w:t>
      </w:r>
      <w:r w:rsidRPr="00382579">
        <w:rPr>
          <w:i/>
        </w:rPr>
        <w:t>Accounting &amp; Finance,</w:t>
      </w:r>
      <w:r w:rsidRPr="00382579">
        <w:t xml:space="preserve"> 52</w:t>
      </w:r>
      <w:r w:rsidRPr="00382579">
        <w:rPr>
          <w:b/>
        </w:rPr>
        <w:t>,</w:t>
      </w:r>
      <w:r w:rsidRPr="00382579">
        <w:t xml:space="preserve"> 903-939.</w:t>
      </w:r>
    </w:p>
    <w:p w14:paraId="66DD0DC6" w14:textId="77777777" w:rsidR="00B9430A" w:rsidRPr="00382579" w:rsidRDefault="00B9430A" w:rsidP="00B9430A">
      <w:pPr>
        <w:pStyle w:val="EndNoteBibliography"/>
        <w:ind w:left="720" w:hanging="720"/>
      </w:pPr>
      <w:r w:rsidRPr="00382579">
        <w:t xml:space="preserve">Muhammad Bilal, F. &amp; De Villiers, C. 2020. How sustainability assurance engagement scopes are determined, and its impact on capture and credibility enhancement. </w:t>
      </w:r>
      <w:r w:rsidRPr="00382579">
        <w:rPr>
          <w:i/>
        </w:rPr>
        <w:t>Accounting, Auditing &amp; Accountability Journal,</w:t>
      </w:r>
      <w:r w:rsidRPr="00382579">
        <w:t xml:space="preserve"> 33</w:t>
      </w:r>
      <w:r w:rsidRPr="00382579">
        <w:rPr>
          <w:b/>
        </w:rPr>
        <w:t>,</w:t>
      </w:r>
      <w:r w:rsidRPr="00382579">
        <w:t xml:space="preserve"> 417-445.</w:t>
      </w:r>
    </w:p>
    <w:p w14:paraId="73DEAD96" w14:textId="77777777" w:rsidR="00B9430A" w:rsidRPr="00382579" w:rsidRDefault="00B9430A" w:rsidP="00B9430A">
      <w:pPr>
        <w:pStyle w:val="EndNoteBibliography"/>
        <w:ind w:left="720" w:hanging="720"/>
      </w:pPr>
      <w:r w:rsidRPr="00382579">
        <w:t xml:space="preserve">O'dwyer, B. 2011. The Case of Sustainability Assurance: Constructing a New Assurance Service. </w:t>
      </w:r>
      <w:r w:rsidRPr="00382579">
        <w:rPr>
          <w:i/>
        </w:rPr>
        <w:t>Contemporary Accounting Research,</w:t>
      </w:r>
      <w:r w:rsidRPr="00382579">
        <w:t xml:space="preserve"> 28</w:t>
      </w:r>
      <w:r w:rsidRPr="00382579">
        <w:rPr>
          <w:b/>
        </w:rPr>
        <w:t>,</w:t>
      </w:r>
      <w:r w:rsidRPr="00382579">
        <w:t xml:space="preserve"> 1230-1266.</w:t>
      </w:r>
    </w:p>
    <w:p w14:paraId="053A5BEC" w14:textId="77777777" w:rsidR="00B9430A" w:rsidRPr="00382579" w:rsidRDefault="00B9430A" w:rsidP="00B9430A">
      <w:pPr>
        <w:pStyle w:val="EndNoteBibliography"/>
        <w:ind w:left="720" w:hanging="720"/>
      </w:pPr>
      <w:r w:rsidRPr="00382579">
        <w:t xml:space="preserve">O'dwyer, B. &amp; Owen, D. L. 2005. Assurance statement practice in environmental, social and sustainability reporting: a critical evaluation. </w:t>
      </w:r>
      <w:r w:rsidRPr="00382579">
        <w:rPr>
          <w:i/>
        </w:rPr>
        <w:t>British Accounting Review,</w:t>
      </w:r>
      <w:r w:rsidRPr="00382579">
        <w:t xml:space="preserve"> 37</w:t>
      </w:r>
      <w:r w:rsidRPr="00382579">
        <w:rPr>
          <w:b/>
        </w:rPr>
        <w:t>,</w:t>
      </w:r>
      <w:r w:rsidRPr="00382579">
        <w:t xml:space="preserve"> 205-229.</w:t>
      </w:r>
    </w:p>
    <w:p w14:paraId="63DC88FF" w14:textId="77777777" w:rsidR="00B9430A" w:rsidRPr="00382579" w:rsidRDefault="00B9430A" w:rsidP="00B9430A">
      <w:pPr>
        <w:pStyle w:val="EndNoteBibliography"/>
        <w:ind w:left="720" w:hanging="720"/>
      </w:pPr>
      <w:r w:rsidRPr="00382579">
        <w:t xml:space="preserve">Okoli, C. 2015. A guide to conducting a standalone systematic literature review. </w:t>
      </w:r>
      <w:r w:rsidRPr="00382579">
        <w:rPr>
          <w:i/>
        </w:rPr>
        <w:t>Communications of the association for information systems,</w:t>
      </w:r>
      <w:r w:rsidRPr="00382579">
        <w:t xml:space="preserve"> 37.</w:t>
      </w:r>
    </w:p>
    <w:p w14:paraId="469418B3" w14:textId="77777777" w:rsidR="00B9430A" w:rsidRPr="00382579" w:rsidRDefault="00B9430A" w:rsidP="00B9430A">
      <w:pPr>
        <w:pStyle w:val="EndNoteBibliography"/>
        <w:ind w:left="720" w:hanging="720"/>
      </w:pPr>
      <w:r w:rsidRPr="00382579">
        <w:t xml:space="preserve">Oware, K. M. &amp; Appiah, K. 2022. CSR assurance practice and financial distress likelihood. Evidence from India. </w:t>
      </w:r>
      <w:r w:rsidRPr="00382579">
        <w:rPr>
          <w:i/>
        </w:rPr>
        <w:t>Meditari Accountancy Research,</w:t>
      </w:r>
      <w:r w:rsidRPr="00382579">
        <w:t xml:space="preserve"> 30</w:t>
      </w:r>
      <w:r w:rsidRPr="00382579">
        <w:rPr>
          <w:b/>
        </w:rPr>
        <w:t>,</w:t>
      </w:r>
      <w:r w:rsidRPr="00382579">
        <w:t xml:space="preserve"> 1470-1492.</w:t>
      </w:r>
    </w:p>
    <w:p w14:paraId="6C4470C3" w14:textId="77777777" w:rsidR="00B9430A" w:rsidRPr="00382579" w:rsidRDefault="00B9430A" w:rsidP="00B9430A">
      <w:pPr>
        <w:pStyle w:val="EndNoteBibliography"/>
        <w:ind w:left="720" w:hanging="720"/>
      </w:pPr>
      <w:r w:rsidRPr="00382579">
        <w:t xml:space="preserve">Owen, D. L., Swift, T. A., Humphrey, C. &amp; Bowerman, M. 2000. The new social audits: accountability, managerial capture or the agenda of social champions? </w:t>
      </w:r>
      <w:r w:rsidRPr="00382579">
        <w:rPr>
          <w:i/>
        </w:rPr>
        <w:t>European Accounting Review,</w:t>
      </w:r>
      <w:r w:rsidRPr="00382579">
        <w:t xml:space="preserve"> 9</w:t>
      </w:r>
      <w:r w:rsidRPr="00382579">
        <w:rPr>
          <w:b/>
        </w:rPr>
        <w:t>,</w:t>
      </w:r>
      <w:r w:rsidRPr="00382579">
        <w:t xml:space="preserve"> 81-98.</w:t>
      </w:r>
    </w:p>
    <w:p w14:paraId="2ACAD239" w14:textId="77777777" w:rsidR="00B9430A" w:rsidRPr="00382579" w:rsidRDefault="00B9430A" w:rsidP="00B9430A">
      <w:pPr>
        <w:pStyle w:val="EndNoteBibliography"/>
        <w:ind w:left="720" w:hanging="720"/>
      </w:pPr>
      <w:r w:rsidRPr="00382579">
        <w:t xml:space="preserve">Parker, L. D. &amp; Guthrie, J. 1991. PERFORMANCE AUDITING: THE JURISDICTION OF THE AUSTRALIAN AUDITOR GENERAL - DE JURE OR DE FACTO? </w:t>
      </w:r>
      <w:r w:rsidRPr="00382579">
        <w:rPr>
          <w:i/>
        </w:rPr>
        <w:t>Financial Accountability &amp; Management,</w:t>
      </w:r>
      <w:r w:rsidRPr="00382579">
        <w:t xml:space="preserve"> 7</w:t>
      </w:r>
      <w:r w:rsidRPr="00382579">
        <w:rPr>
          <w:b/>
        </w:rPr>
        <w:t>,</w:t>
      </w:r>
      <w:r w:rsidRPr="00382579">
        <w:t xml:space="preserve"> 107.</w:t>
      </w:r>
    </w:p>
    <w:p w14:paraId="6C9C5FF7" w14:textId="77777777" w:rsidR="00B9430A" w:rsidRPr="00382579" w:rsidRDefault="00B9430A" w:rsidP="00B9430A">
      <w:pPr>
        <w:pStyle w:val="EndNoteBibliography"/>
        <w:ind w:left="720" w:hanging="720"/>
      </w:pPr>
      <w:r w:rsidRPr="00382579">
        <w:t xml:space="preserve">Parker, L. D., Schmitz, J. &amp; Jacobs, K. 2021. Auditor and auditee engagement with public sector performance audit: An institutional logics perspective. </w:t>
      </w:r>
      <w:r w:rsidRPr="00382579">
        <w:rPr>
          <w:i/>
        </w:rPr>
        <w:t>Financial Accountability &amp; Management,</w:t>
      </w:r>
      <w:r w:rsidRPr="00382579">
        <w:t xml:space="preserve"> 37</w:t>
      </w:r>
      <w:r w:rsidRPr="00382579">
        <w:rPr>
          <w:b/>
        </w:rPr>
        <w:t>,</w:t>
      </w:r>
      <w:r w:rsidRPr="00382579">
        <w:t xml:space="preserve"> 142-162.</w:t>
      </w:r>
    </w:p>
    <w:p w14:paraId="7DB26A4D" w14:textId="77777777" w:rsidR="00B9430A" w:rsidRPr="00382579" w:rsidRDefault="00B9430A" w:rsidP="00B9430A">
      <w:pPr>
        <w:pStyle w:val="EndNoteBibliography"/>
        <w:ind w:left="720" w:hanging="720"/>
      </w:pPr>
      <w:r w:rsidRPr="00382579">
        <w:t xml:space="preserve">Pollitt, C. 2003. PERFORMANCE AUDIT IN WESTERN EUROPE: TRENDS AND CHOICES. </w:t>
      </w:r>
      <w:r w:rsidRPr="00382579">
        <w:rPr>
          <w:i/>
        </w:rPr>
        <w:t>Critical Perspectives on Accounting,</w:t>
      </w:r>
      <w:r w:rsidRPr="00382579">
        <w:t xml:space="preserve"> 14</w:t>
      </w:r>
      <w:r w:rsidRPr="00382579">
        <w:rPr>
          <w:b/>
        </w:rPr>
        <w:t>,</w:t>
      </w:r>
      <w:r w:rsidRPr="00382579">
        <w:t xml:space="preserve"> 157-170.</w:t>
      </w:r>
    </w:p>
    <w:p w14:paraId="16D98BC9" w14:textId="77777777" w:rsidR="00B9430A" w:rsidRPr="00382579" w:rsidRDefault="00B9430A" w:rsidP="00B9430A">
      <w:pPr>
        <w:pStyle w:val="EndNoteBibliography"/>
        <w:ind w:left="720" w:hanging="720"/>
      </w:pPr>
      <w:r w:rsidRPr="00382579">
        <w:t xml:space="preserve">Power, M. 1994. </w:t>
      </w:r>
      <w:r w:rsidRPr="00382579">
        <w:rPr>
          <w:i/>
        </w:rPr>
        <w:t>The audit explosion</w:t>
      </w:r>
      <w:r w:rsidRPr="00382579">
        <w:t>, Demos.</w:t>
      </w:r>
    </w:p>
    <w:p w14:paraId="3D9480F3" w14:textId="77777777" w:rsidR="00B9430A" w:rsidRPr="00382579" w:rsidRDefault="00B9430A" w:rsidP="00B9430A">
      <w:pPr>
        <w:pStyle w:val="EndNoteBibliography"/>
        <w:ind w:left="720" w:hanging="720"/>
      </w:pPr>
      <w:r w:rsidRPr="00382579">
        <w:t xml:space="preserve">Power, M. 1996. MAKING THINGS AUDITABLE. </w:t>
      </w:r>
      <w:r w:rsidRPr="00382579">
        <w:rPr>
          <w:i/>
        </w:rPr>
        <w:t>Accounting, Organizations &amp; Society,</w:t>
      </w:r>
      <w:r w:rsidRPr="00382579">
        <w:t xml:space="preserve"> 21</w:t>
      </w:r>
      <w:r w:rsidRPr="00382579">
        <w:rPr>
          <w:b/>
        </w:rPr>
        <w:t>,</w:t>
      </w:r>
      <w:r w:rsidRPr="00382579">
        <w:t xml:space="preserve"> 289-315.</w:t>
      </w:r>
    </w:p>
    <w:p w14:paraId="47418EEB" w14:textId="77777777" w:rsidR="00B9430A" w:rsidRPr="00382579" w:rsidRDefault="00B9430A" w:rsidP="00B9430A">
      <w:pPr>
        <w:pStyle w:val="EndNoteBibliography"/>
        <w:ind w:left="720" w:hanging="720"/>
      </w:pPr>
      <w:r w:rsidRPr="00382579">
        <w:t xml:space="preserve">Power, M. 1997a. </w:t>
      </w:r>
      <w:r w:rsidRPr="00382579">
        <w:rPr>
          <w:i/>
        </w:rPr>
        <w:t>The audit society: Rituals of verification</w:t>
      </w:r>
      <w:r w:rsidRPr="00382579">
        <w:t>, OUP Oxford.</w:t>
      </w:r>
    </w:p>
    <w:p w14:paraId="65F86FF6" w14:textId="77777777" w:rsidR="00B9430A" w:rsidRPr="00382579" w:rsidRDefault="00B9430A" w:rsidP="00B9430A">
      <w:pPr>
        <w:pStyle w:val="EndNoteBibliography"/>
        <w:ind w:left="720" w:hanging="720"/>
      </w:pPr>
      <w:r w:rsidRPr="00382579">
        <w:t xml:space="preserve">Power, M. 1997b. EXPERTISE AND THE CONSTRUCTION OF RELEVANCE: ACCOUNTANTS AND ENVIRONMENTAL AUDIT. </w:t>
      </w:r>
      <w:r w:rsidRPr="00382579">
        <w:rPr>
          <w:i/>
        </w:rPr>
        <w:t>Accounting, Organizations &amp; Society,</w:t>
      </w:r>
      <w:r w:rsidRPr="00382579">
        <w:t xml:space="preserve"> 22</w:t>
      </w:r>
      <w:r w:rsidRPr="00382579">
        <w:rPr>
          <w:b/>
        </w:rPr>
        <w:t>,</w:t>
      </w:r>
      <w:r w:rsidRPr="00382579">
        <w:t xml:space="preserve"> 123-146.</w:t>
      </w:r>
    </w:p>
    <w:p w14:paraId="10C382D2" w14:textId="77777777" w:rsidR="00B9430A" w:rsidRPr="00382579" w:rsidRDefault="00B9430A" w:rsidP="00B9430A">
      <w:pPr>
        <w:pStyle w:val="EndNoteBibliography"/>
        <w:ind w:left="720" w:hanging="720"/>
      </w:pPr>
      <w:r w:rsidRPr="00382579">
        <w:t xml:space="preserve">Power, M. 2003a. Evaluating the Audit Explosion. </w:t>
      </w:r>
      <w:r w:rsidRPr="00382579">
        <w:rPr>
          <w:i/>
        </w:rPr>
        <w:t>Law &amp; Policy,</w:t>
      </w:r>
      <w:r w:rsidRPr="00382579">
        <w:t xml:space="preserve"> 25</w:t>
      </w:r>
      <w:r w:rsidRPr="00382579">
        <w:rPr>
          <w:b/>
        </w:rPr>
        <w:t>,</w:t>
      </w:r>
      <w:r w:rsidRPr="00382579">
        <w:t xml:space="preserve"> 185-202.</w:t>
      </w:r>
    </w:p>
    <w:p w14:paraId="0A689B78" w14:textId="77777777" w:rsidR="00B9430A" w:rsidRPr="00382579" w:rsidRDefault="00B9430A" w:rsidP="00B9430A">
      <w:pPr>
        <w:pStyle w:val="EndNoteBibliography"/>
        <w:ind w:left="720" w:hanging="720"/>
      </w:pPr>
      <w:r w:rsidRPr="00382579">
        <w:t xml:space="preserve">Power, M. 2004. Counting, control and calculation: Reflections on measuring and management. </w:t>
      </w:r>
      <w:r w:rsidRPr="00382579">
        <w:rPr>
          <w:i/>
        </w:rPr>
        <w:t>Human Relations,</w:t>
      </w:r>
      <w:r w:rsidRPr="00382579">
        <w:t xml:space="preserve"> 57</w:t>
      </w:r>
      <w:r w:rsidRPr="00382579">
        <w:rPr>
          <w:b/>
        </w:rPr>
        <w:t>,</w:t>
      </w:r>
      <w:r w:rsidRPr="00382579">
        <w:t xml:space="preserve"> 765-783.</w:t>
      </w:r>
    </w:p>
    <w:p w14:paraId="74911C4D" w14:textId="77777777" w:rsidR="00B9430A" w:rsidRPr="00382579" w:rsidRDefault="00B9430A" w:rsidP="00B9430A">
      <w:pPr>
        <w:pStyle w:val="EndNoteBibliography"/>
        <w:ind w:left="720" w:hanging="720"/>
      </w:pPr>
      <w:r w:rsidRPr="00382579">
        <w:t xml:space="preserve">Power, M. 2005. The invention of operational risk. </w:t>
      </w:r>
      <w:r w:rsidRPr="00382579">
        <w:rPr>
          <w:i/>
        </w:rPr>
        <w:t>Review of International Political Economy,</w:t>
      </w:r>
      <w:r w:rsidRPr="00382579">
        <w:t xml:space="preserve"> 12</w:t>
      </w:r>
      <w:r w:rsidRPr="00382579">
        <w:rPr>
          <w:b/>
        </w:rPr>
        <w:t>,</w:t>
      </w:r>
      <w:r w:rsidRPr="00382579">
        <w:t xml:space="preserve"> 577-599.</w:t>
      </w:r>
    </w:p>
    <w:p w14:paraId="23C12656" w14:textId="77777777" w:rsidR="00B9430A" w:rsidRPr="00382579" w:rsidRDefault="00B9430A" w:rsidP="00B9430A">
      <w:pPr>
        <w:pStyle w:val="EndNoteBibliography"/>
        <w:ind w:left="720" w:hanging="720"/>
      </w:pPr>
      <w:r w:rsidRPr="00382579">
        <w:t xml:space="preserve">Power, M. 2021. Modelling the Micro-Foundations of the Audit Society: Organizations and the Logic of the Audit Trail. </w:t>
      </w:r>
      <w:r w:rsidRPr="00382579">
        <w:rPr>
          <w:i/>
        </w:rPr>
        <w:t>Academy of Management Review,</w:t>
      </w:r>
      <w:r w:rsidRPr="00382579">
        <w:t xml:space="preserve"> 46</w:t>
      </w:r>
      <w:r w:rsidRPr="00382579">
        <w:rPr>
          <w:b/>
        </w:rPr>
        <w:t>,</w:t>
      </w:r>
      <w:r w:rsidRPr="00382579">
        <w:t xml:space="preserve"> 6-32.</w:t>
      </w:r>
    </w:p>
    <w:p w14:paraId="354158AC" w14:textId="77777777" w:rsidR="00B9430A" w:rsidRPr="00382579" w:rsidRDefault="00B9430A" w:rsidP="00B9430A">
      <w:pPr>
        <w:pStyle w:val="EndNoteBibliography"/>
        <w:ind w:left="720" w:hanging="720"/>
      </w:pPr>
      <w:r w:rsidRPr="00382579">
        <w:t xml:space="preserve">Power, M. K. 2003b. Auditing and the production of legitimacy. </w:t>
      </w:r>
      <w:r w:rsidRPr="00382579">
        <w:rPr>
          <w:i/>
        </w:rPr>
        <w:t>Accounting, Organizations &amp; Society,</w:t>
      </w:r>
      <w:r w:rsidRPr="00382579">
        <w:t xml:space="preserve"> 28</w:t>
      </w:r>
      <w:r w:rsidRPr="00382579">
        <w:rPr>
          <w:b/>
        </w:rPr>
        <w:t>,</w:t>
      </w:r>
      <w:r w:rsidRPr="00382579">
        <w:t xml:space="preserve"> 379-394.</w:t>
      </w:r>
    </w:p>
    <w:p w14:paraId="664D862E" w14:textId="77777777" w:rsidR="00B9430A" w:rsidRPr="00382579" w:rsidRDefault="00B9430A" w:rsidP="00B9430A">
      <w:pPr>
        <w:pStyle w:val="EndNoteBibliography"/>
        <w:ind w:left="720" w:hanging="720"/>
      </w:pPr>
      <w:r w:rsidRPr="00382579">
        <w:lastRenderedPageBreak/>
        <w:t xml:space="preserve">Quick, R. &amp; Inwinkl, P. 2020. Assurance on CSR reports: impact on the credibility perceptions of non-financial information by bank directors. </w:t>
      </w:r>
      <w:r w:rsidRPr="00382579">
        <w:rPr>
          <w:i/>
        </w:rPr>
        <w:t>Meditari Accountancy Research,</w:t>
      </w:r>
      <w:r w:rsidRPr="00382579">
        <w:t xml:space="preserve"> 28</w:t>
      </w:r>
      <w:r w:rsidRPr="00382579">
        <w:rPr>
          <w:b/>
        </w:rPr>
        <w:t>,</w:t>
      </w:r>
      <w:r w:rsidRPr="00382579">
        <w:t xml:space="preserve"> 833-862.</w:t>
      </w:r>
    </w:p>
    <w:p w14:paraId="09DC7FE6" w14:textId="77777777" w:rsidR="00B9430A" w:rsidRPr="00382579" w:rsidRDefault="00B9430A" w:rsidP="00B9430A">
      <w:pPr>
        <w:pStyle w:val="EndNoteBibliography"/>
        <w:ind w:left="720" w:hanging="720"/>
      </w:pPr>
      <w:r w:rsidRPr="00382579">
        <w:t xml:space="preserve">Radcliffe, V. S. 2008. Public secrecy in auditing: What government auditors cannot know. </w:t>
      </w:r>
      <w:r w:rsidRPr="00382579">
        <w:rPr>
          <w:i/>
        </w:rPr>
        <w:t>Critical Perspectives on Accounting,</w:t>
      </w:r>
      <w:r w:rsidRPr="00382579">
        <w:t xml:space="preserve"> 19</w:t>
      </w:r>
      <w:r w:rsidRPr="00382579">
        <w:rPr>
          <w:b/>
        </w:rPr>
        <w:t>,</w:t>
      </w:r>
      <w:r w:rsidRPr="00382579">
        <w:t xml:space="preserve"> 99-126.</w:t>
      </w:r>
    </w:p>
    <w:p w14:paraId="1A6C98BE" w14:textId="77777777" w:rsidR="00B9430A" w:rsidRPr="00382579" w:rsidRDefault="00B9430A" w:rsidP="00B9430A">
      <w:pPr>
        <w:pStyle w:val="EndNoteBibliography"/>
        <w:ind w:left="720" w:hanging="720"/>
      </w:pPr>
      <w:r w:rsidRPr="00382579">
        <w:t xml:space="preserve">Rika, N. &amp; Jacobs, K. 2019. Reputational risk and environmental performance auditing: A study in the Australian commonwealth public sector. </w:t>
      </w:r>
      <w:r w:rsidRPr="00382579">
        <w:rPr>
          <w:i/>
        </w:rPr>
        <w:t>Financial Accountability &amp; Management,</w:t>
      </w:r>
      <w:r w:rsidRPr="00382579">
        <w:t xml:space="preserve"> 35</w:t>
      </w:r>
      <w:r w:rsidRPr="00382579">
        <w:rPr>
          <w:b/>
        </w:rPr>
        <w:t>,</w:t>
      </w:r>
      <w:r w:rsidRPr="00382579">
        <w:t xml:space="preserve"> 182-198.</w:t>
      </w:r>
    </w:p>
    <w:p w14:paraId="5737ED2D" w14:textId="77777777" w:rsidR="00B9430A" w:rsidRPr="00382579" w:rsidRDefault="00B9430A" w:rsidP="00B9430A">
      <w:pPr>
        <w:pStyle w:val="EndNoteBibliography"/>
        <w:ind w:left="720" w:hanging="720"/>
      </w:pPr>
      <w:r w:rsidRPr="00382579">
        <w:t xml:space="preserve">Shan, Z., Simnett, R. &amp; Green, W. J. 2016. Assuring a New Market: The Interplay between Country-Level and Company-Level Factors on the Demand for Greenhouse Gas (GHG) Information Assurance and the Choice of Assurance Provider. </w:t>
      </w:r>
      <w:r w:rsidRPr="00382579">
        <w:rPr>
          <w:i/>
        </w:rPr>
        <w:t>Auditing: A Journal of Practice &amp; Theory,</w:t>
      </w:r>
      <w:r w:rsidRPr="00382579">
        <w:t xml:space="preserve"> 35</w:t>
      </w:r>
      <w:r w:rsidRPr="00382579">
        <w:rPr>
          <w:b/>
        </w:rPr>
        <w:t>,</w:t>
      </w:r>
      <w:r w:rsidRPr="00382579">
        <w:t xml:space="preserve"> 141-168.</w:t>
      </w:r>
    </w:p>
    <w:p w14:paraId="758CA31A" w14:textId="77777777" w:rsidR="00B9430A" w:rsidRPr="00382579" w:rsidRDefault="00B9430A" w:rsidP="00B9430A">
      <w:pPr>
        <w:pStyle w:val="EndNoteBibliography"/>
        <w:ind w:left="720" w:hanging="720"/>
      </w:pPr>
      <w:r w:rsidRPr="00382579">
        <w:t xml:space="preserve">Shen, H., Wu, H. &amp; Chand, P. 2017. The impact of corporate social responsibility assurance on investor decisions: Chinese evidence. </w:t>
      </w:r>
      <w:r w:rsidRPr="00382579">
        <w:rPr>
          <w:i/>
        </w:rPr>
        <w:t>International Journal of Auditing,</w:t>
      </w:r>
      <w:r w:rsidRPr="00382579">
        <w:t xml:space="preserve"> 21</w:t>
      </w:r>
      <w:r w:rsidRPr="00382579">
        <w:rPr>
          <w:b/>
        </w:rPr>
        <w:t>,</w:t>
      </w:r>
      <w:r w:rsidRPr="00382579">
        <w:t xml:space="preserve"> 271-287.</w:t>
      </w:r>
    </w:p>
    <w:p w14:paraId="2CC5382D" w14:textId="77777777" w:rsidR="00B9430A" w:rsidRPr="00382579" w:rsidRDefault="00B9430A" w:rsidP="00B9430A">
      <w:pPr>
        <w:pStyle w:val="EndNoteBibliography"/>
        <w:ind w:left="720" w:hanging="720"/>
      </w:pPr>
      <w:r w:rsidRPr="00382579">
        <w:t xml:space="preserve">Silvola, H. &amp; Vinnari, E. 2021. The limits of institutional work: a field study on auditors' efforts to promote sustainability assurance in a trust society. </w:t>
      </w:r>
      <w:r w:rsidRPr="00382579">
        <w:rPr>
          <w:i/>
        </w:rPr>
        <w:t>Accounting, Auditing &amp; Accountability Journal,</w:t>
      </w:r>
      <w:r w:rsidRPr="00382579">
        <w:t xml:space="preserve"> 34</w:t>
      </w:r>
      <w:r w:rsidRPr="00382579">
        <w:rPr>
          <w:b/>
        </w:rPr>
        <w:t>,</w:t>
      </w:r>
      <w:r w:rsidRPr="00382579">
        <w:t xml:space="preserve"> 1-30.</w:t>
      </w:r>
    </w:p>
    <w:p w14:paraId="4A8EDBE3" w14:textId="77777777" w:rsidR="00B9430A" w:rsidRPr="00382579" w:rsidRDefault="00B9430A" w:rsidP="00B9430A">
      <w:pPr>
        <w:pStyle w:val="EndNoteBibliography"/>
        <w:ind w:left="720" w:hanging="720"/>
      </w:pPr>
      <w:r w:rsidRPr="00382579">
        <w:t xml:space="preserve">Simnett, R., Nugent, M. &amp; Huggins, A. L. 2009. Developing an International Assurance Standard on Greenhouse Gas Statements. </w:t>
      </w:r>
      <w:r w:rsidRPr="00382579">
        <w:rPr>
          <w:i/>
        </w:rPr>
        <w:t>Accounting Horizons,</w:t>
      </w:r>
      <w:r w:rsidRPr="00382579">
        <w:t xml:space="preserve"> 23</w:t>
      </w:r>
      <w:r w:rsidRPr="00382579">
        <w:rPr>
          <w:b/>
        </w:rPr>
        <w:t>,</w:t>
      </w:r>
      <w:r w:rsidRPr="00382579">
        <w:t xml:space="preserve"> 347-363.</w:t>
      </w:r>
    </w:p>
    <w:p w14:paraId="34E20EB6" w14:textId="77777777" w:rsidR="00B9430A" w:rsidRPr="00382579" w:rsidRDefault="00B9430A" w:rsidP="00B9430A">
      <w:pPr>
        <w:pStyle w:val="EndNoteBibliography"/>
        <w:ind w:left="720" w:hanging="720"/>
      </w:pPr>
      <w:r w:rsidRPr="00382579">
        <w:t xml:space="preserve">Simnett, R., Vanstraelen, A. &amp; Chua, W. F. 2009. Assurance on general purpose non-financial reports: An international comparison. </w:t>
      </w:r>
      <w:r w:rsidRPr="00382579">
        <w:rPr>
          <w:i/>
        </w:rPr>
        <w:t>Accounting Review,</w:t>
      </w:r>
      <w:r w:rsidRPr="00382579">
        <w:t xml:space="preserve"> 84</w:t>
      </w:r>
      <w:r w:rsidRPr="00382579">
        <w:rPr>
          <w:b/>
        </w:rPr>
        <w:t>,</w:t>
      </w:r>
      <w:r w:rsidRPr="00382579">
        <w:t xml:space="preserve"> 937-967.</w:t>
      </w:r>
    </w:p>
    <w:p w14:paraId="48B06F7F" w14:textId="77777777" w:rsidR="00B9430A" w:rsidRPr="00382579" w:rsidRDefault="00B9430A" w:rsidP="00B9430A">
      <w:pPr>
        <w:pStyle w:val="EndNoteBibliography"/>
        <w:ind w:left="720" w:hanging="720"/>
      </w:pPr>
      <w:r w:rsidRPr="00382579">
        <w:t xml:space="preserve">Skaerbaek, P. 2009. Public sector auditor identities in making efficiency auditable: The National Audit Office of Denmark as independent auditor and modernizer. </w:t>
      </w:r>
      <w:r w:rsidRPr="00382579">
        <w:rPr>
          <w:i/>
        </w:rPr>
        <w:t>Accounting, Organizations and Society,</w:t>
      </w:r>
      <w:r w:rsidRPr="00382579">
        <w:t xml:space="preserve"> 34</w:t>
      </w:r>
      <w:r w:rsidRPr="00382579">
        <w:rPr>
          <w:b/>
        </w:rPr>
        <w:t>,</w:t>
      </w:r>
      <w:r w:rsidRPr="00382579">
        <w:t xml:space="preserve"> 971.</w:t>
      </w:r>
    </w:p>
    <w:p w14:paraId="335B131D" w14:textId="77777777" w:rsidR="00B9430A" w:rsidRPr="00382579" w:rsidRDefault="00B9430A" w:rsidP="00B9430A">
      <w:pPr>
        <w:pStyle w:val="EndNoteBibliography"/>
        <w:ind w:left="720" w:hanging="720"/>
      </w:pPr>
      <w:r w:rsidRPr="00382579">
        <w:t xml:space="preserve">Skaerbaek, P. &amp; Christensen, M. 2015. Auditing and the Purification of Blame. </w:t>
      </w:r>
      <w:r w:rsidRPr="00382579">
        <w:rPr>
          <w:i/>
        </w:rPr>
        <w:t>Contemporary Accounting Research,</w:t>
      </w:r>
      <w:r w:rsidRPr="00382579">
        <w:t xml:space="preserve"> 32</w:t>
      </w:r>
      <w:r w:rsidRPr="00382579">
        <w:rPr>
          <w:b/>
        </w:rPr>
        <w:t>,</w:t>
      </w:r>
      <w:r w:rsidRPr="00382579">
        <w:t xml:space="preserve"> 1263-1284.</w:t>
      </w:r>
    </w:p>
    <w:p w14:paraId="39359639" w14:textId="77777777" w:rsidR="00B9430A" w:rsidRPr="00382579" w:rsidRDefault="00B9430A" w:rsidP="00B9430A">
      <w:pPr>
        <w:pStyle w:val="EndNoteBibliography"/>
        <w:ind w:left="720" w:hanging="720"/>
      </w:pPr>
      <w:r w:rsidRPr="00382579">
        <w:t xml:space="preserve">Snyder, H. 2019. Literature review as a research methodology: An overview and guidelines. </w:t>
      </w:r>
      <w:r w:rsidRPr="00382579">
        <w:rPr>
          <w:i/>
        </w:rPr>
        <w:t>Journal of business research,</w:t>
      </w:r>
      <w:r w:rsidRPr="00382579">
        <w:t xml:space="preserve"> 104</w:t>
      </w:r>
      <w:r w:rsidRPr="00382579">
        <w:rPr>
          <w:b/>
        </w:rPr>
        <w:t>,</w:t>
      </w:r>
      <w:r w:rsidRPr="00382579">
        <w:t xml:space="preserve"> 333-339.</w:t>
      </w:r>
    </w:p>
    <w:p w14:paraId="6E5533E9" w14:textId="77777777" w:rsidR="00B9430A" w:rsidRPr="00382579" w:rsidRDefault="00B9430A" w:rsidP="00B9430A">
      <w:pPr>
        <w:pStyle w:val="EndNoteBibliography"/>
        <w:ind w:left="720" w:hanging="720"/>
      </w:pPr>
      <w:r w:rsidRPr="00382579">
        <w:t xml:space="preserve">Songini, L., Pistoni, A., Comerio, N. &amp; Tettamanzi, P. 2023. A decade of integrated reporting studies: state of the art and future research implications. </w:t>
      </w:r>
      <w:r w:rsidRPr="00382579">
        <w:rPr>
          <w:i/>
        </w:rPr>
        <w:t>Accounting, Auditing &amp; Accountability Journal,</w:t>
      </w:r>
      <w:r w:rsidRPr="00382579">
        <w:t xml:space="preserve"> 36</w:t>
      </w:r>
      <w:r w:rsidRPr="00382579">
        <w:rPr>
          <w:b/>
        </w:rPr>
        <w:t>,</w:t>
      </w:r>
      <w:r w:rsidRPr="00382579">
        <w:t xml:space="preserve"> 226-252.</w:t>
      </w:r>
    </w:p>
    <w:p w14:paraId="75EE5BE6" w14:textId="77777777" w:rsidR="00B9430A" w:rsidRPr="00382579" w:rsidRDefault="00B9430A" w:rsidP="00B9430A">
      <w:pPr>
        <w:pStyle w:val="EndNoteBibliography"/>
        <w:ind w:left="720" w:hanging="720"/>
      </w:pPr>
      <w:r w:rsidRPr="00382579">
        <w:t xml:space="preserve">Sonnerfeldt, A. L. L. &amp; Pontoppidan, C. A. 2020. The challenges of assurance on non-financial reporting. </w:t>
      </w:r>
      <w:r w:rsidRPr="00382579">
        <w:rPr>
          <w:i/>
        </w:rPr>
        <w:t>Accounting, Economics, and Law: A Convivium,</w:t>
      </w:r>
      <w:r w:rsidRPr="00382579">
        <w:t xml:space="preserve"> 10.</w:t>
      </w:r>
    </w:p>
    <w:p w14:paraId="7AB4B142" w14:textId="77777777" w:rsidR="00B9430A" w:rsidRPr="00382579" w:rsidRDefault="00B9430A" w:rsidP="00B9430A">
      <w:pPr>
        <w:pStyle w:val="EndNoteBibliography"/>
        <w:ind w:left="720" w:hanging="720"/>
      </w:pPr>
      <w:r w:rsidRPr="00382579">
        <w:t xml:space="preserve">Steinmeier, M. &amp; Stich, M. 2019. Does Sustainability Assurance Improve Managerial Investment Decisions? </w:t>
      </w:r>
      <w:r w:rsidRPr="00382579">
        <w:rPr>
          <w:i/>
        </w:rPr>
        <w:t>European Accounting Review,</w:t>
      </w:r>
      <w:r w:rsidRPr="00382579">
        <w:t xml:space="preserve"> 28</w:t>
      </w:r>
      <w:r w:rsidRPr="00382579">
        <w:rPr>
          <w:b/>
        </w:rPr>
        <w:t>,</w:t>
      </w:r>
      <w:r w:rsidRPr="00382579">
        <w:t xml:space="preserve"> 177-209.</w:t>
      </w:r>
    </w:p>
    <w:p w14:paraId="538A8877" w14:textId="77777777" w:rsidR="00B9430A" w:rsidRPr="00382579" w:rsidRDefault="00B9430A" w:rsidP="00B9430A">
      <w:pPr>
        <w:pStyle w:val="EndNoteBibliography"/>
        <w:ind w:left="720" w:hanging="720"/>
      </w:pPr>
      <w:r w:rsidRPr="00382579">
        <w:t xml:space="preserve">Taylor, D. W., Sulaiman, M. &amp; Sheahan, M. 2001. Auditing of environmental management systems: A legitimacy theory perspective. </w:t>
      </w:r>
      <w:r w:rsidRPr="00382579">
        <w:rPr>
          <w:i/>
        </w:rPr>
        <w:t>Managerial auditing journal,</w:t>
      </w:r>
      <w:r w:rsidRPr="00382579">
        <w:t xml:space="preserve"> 16</w:t>
      </w:r>
      <w:r w:rsidRPr="00382579">
        <w:rPr>
          <w:b/>
        </w:rPr>
        <w:t>,</w:t>
      </w:r>
      <w:r w:rsidRPr="00382579">
        <w:t xml:space="preserve"> 411-422.</w:t>
      </w:r>
    </w:p>
    <w:p w14:paraId="615758D1" w14:textId="77777777" w:rsidR="00B9430A" w:rsidRPr="00382579" w:rsidRDefault="00B9430A" w:rsidP="00B9430A">
      <w:pPr>
        <w:pStyle w:val="EndNoteBibliography"/>
        <w:ind w:left="720" w:hanging="720"/>
      </w:pPr>
      <w:r w:rsidRPr="00382579">
        <w:t xml:space="preserve">Tillema, S. &amp; Ter Bogt, H. J. 2010. Performance auditing: Improving the quality of political and democratic processes? </w:t>
      </w:r>
      <w:r w:rsidRPr="00382579">
        <w:rPr>
          <w:i/>
        </w:rPr>
        <w:t>Critical Perspectives on Accounting,</w:t>
      </w:r>
      <w:r w:rsidRPr="00382579">
        <w:t xml:space="preserve"> 21</w:t>
      </w:r>
      <w:r w:rsidRPr="00382579">
        <w:rPr>
          <w:b/>
        </w:rPr>
        <w:t>,</w:t>
      </w:r>
      <w:r w:rsidRPr="00382579">
        <w:t xml:space="preserve"> 754-769.</w:t>
      </w:r>
    </w:p>
    <w:p w14:paraId="5DF5F527" w14:textId="77777777" w:rsidR="00B9430A" w:rsidRPr="00382579" w:rsidRDefault="00B9430A" w:rsidP="00B9430A">
      <w:pPr>
        <w:pStyle w:val="EndNoteBibliography"/>
        <w:ind w:left="720" w:hanging="720"/>
      </w:pPr>
      <w:r w:rsidRPr="00382579">
        <w:rPr>
          <w:rFonts w:hint="eastAsia"/>
        </w:rPr>
        <w:lastRenderedPageBreak/>
        <w:t xml:space="preserve">Tranfield, D., Denyer, D. &amp; Smart, P. 2003. Towards a methodology for developing evidence‐informed management knowledge by means of systematic review. </w:t>
      </w:r>
      <w:r w:rsidRPr="00382579">
        <w:rPr>
          <w:rFonts w:hint="eastAsia"/>
          <w:i/>
        </w:rPr>
        <w:t>British Journal of Management,</w:t>
      </w:r>
      <w:r w:rsidRPr="00382579">
        <w:rPr>
          <w:rFonts w:hint="eastAsia"/>
        </w:rPr>
        <w:t xml:space="preserve"> 14</w:t>
      </w:r>
      <w:r w:rsidRPr="00382579">
        <w:rPr>
          <w:rFonts w:hint="eastAsia"/>
          <w:b/>
        </w:rPr>
        <w:t>,</w:t>
      </w:r>
      <w:r w:rsidRPr="00382579">
        <w:t xml:space="preserve"> 207-222.</w:t>
      </w:r>
    </w:p>
    <w:p w14:paraId="5E8A022A" w14:textId="77777777" w:rsidR="00B9430A" w:rsidRPr="00382579" w:rsidRDefault="00B9430A" w:rsidP="00B9430A">
      <w:pPr>
        <w:pStyle w:val="EndNoteBibliography"/>
        <w:ind w:left="720" w:hanging="720"/>
      </w:pPr>
      <w:r w:rsidRPr="00382579">
        <w:t xml:space="preserve">Vera-Muñoz, S. C., Gaynor, L. M. &amp; Kinney, W. R. 2020. Communicating Assurance Using Practitioner-Customized Procedures: An Experiment and Emerging Research Opportunities. </w:t>
      </w:r>
      <w:r w:rsidRPr="00382579">
        <w:rPr>
          <w:i/>
        </w:rPr>
        <w:t>Auditing: A Journal of Practice &amp; Theory,</w:t>
      </w:r>
      <w:r w:rsidRPr="00382579">
        <w:t xml:space="preserve"> 39</w:t>
      </w:r>
      <w:r w:rsidRPr="00382579">
        <w:rPr>
          <w:b/>
        </w:rPr>
        <w:t>,</w:t>
      </w:r>
      <w:r w:rsidRPr="00382579">
        <w:t xml:space="preserve"> 201-222.</w:t>
      </w:r>
    </w:p>
    <w:p w14:paraId="79CB49A1" w14:textId="77777777" w:rsidR="00B9430A" w:rsidRPr="00382579" w:rsidRDefault="00B9430A" w:rsidP="00B9430A">
      <w:pPr>
        <w:pStyle w:val="EndNoteBibliography"/>
        <w:ind w:left="720" w:hanging="720"/>
      </w:pPr>
      <w:r w:rsidRPr="00382579">
        <w:t>Wang, S., Scells, H., Koopman, B. &amp; Zuccon, G. Can ChatGPT write a good boolean query for systematic review literature search?  Proceedings of the 46th international ACM SIGIR conference on research and development in information retrieval, 2023. 1426-1436.</w:t>
      </w:r>
    </w:p>
    <w:p w14:paraId="4DA2ADDA" w14:textId="77777777" w:rsidR="00B9430A" w:rsidRPr="00382579" w:rsidRDefault="00B9430A" w:rsidP="00B9430A">
      <w:pPr>
        <w:pStyle w:val="EndNoteBibliography"/>
        <w:ind w:left="720" w:hanging="720"/>
      </w:pPr>
      <w:r w:rsidRPr="00382579">
        <w:t xml:space="preserve">Xu, S. G. &amp; Andrew, B. 2021. Competing for the leading role: Trials in categorizing greenhouse and energy auditors. </w:t>
      </w:r>
      <w:r w:rsidRPr="00382579">
        <w:rPr>
          <w:i/>
        </w:rPr>
        <w:t>Critical Perspectives on Accounting,</w:t>
      </w:r>
      <w:r w:rsidRPr="00382579">
        <w:t xml:space="preserve"> 77</w:t>
      </w:r>
      <w:r w:rsidRPr="00382579">
        <w:rPr>
          <w:b/>
        </w:rPr>
        <w:t>,</w:t>
      </w:r>
      <w:r w:rsidRPr="00382579">
        <w:t xml:space="preserve"> N.PAG-N.PAG.</w:t>
      </w:r>
    </w:p>
    <w:p w14:paraId="1D960A7C" w14:textId="23675132" w:rsidR="00AE163D" w:rsidRPr="00382579" w:rsidRDefault="005E5BC8" w:rsidP="00C27F5A">
      <w:r w:rsidRPr="00382579">
        <w:fldChar w:fldCharType="end"/>
      </w:r>
    </w:p>
    <w:sectPr w:rsidR="00AE163D" w:rsidRPr="00382579" w:rsidSect="00165838">
      <w:pgSz w:w="11906" w:h="16838"/>
      <w:pgMar w:top="1440" w:right="1440" w:bottom="1440" w:left="1440" w:header="851" w:footer="992"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B197F" w14:textId="77777777" w:rsidR="001F0255" w:rsidRDefault="001F0255" w:rsidP="00494C65">
      <w:r>
        <w:separator/>
      </w:r>
    </w:p>
  </w:endnote>
  <w:endnote w:type="continuationSeparator" w:id="0">
    <w:p w14:paraId="618E2A2B" w14:textId="77777777" w:rsidR="001F0255" w:rsidRDefault="001F0255" w:rsidP="00494C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C0C86" w14:textId="77777777" w:rsidR="001F0255" w:rsidRDefault="001F0255" w:rsidP="00494C65">
      <w:r>
        <w:separator/>
      </w:r>
    </w:p>
  </w:footnote>
  <w:footnote w:type="continuationSeparator" w:id="0">
    <w:p w14:paraId="30C1B5E3" w14:textId="77777777" w:rsidR="001F0255" w:rsidRDefault="001F0255" w:rsidP="00494C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812D1"/>
    <w:multiLevelType w:val="hybridMultilevel"/>
    <w:tmpl w:val="612AED0E"/>
    <w:lvl w:ilvl="0" w:tplc="A8821A04">
      <w:start w:val="1"/>
      <w:numFmt w:val="decimal"/>
      <w:lvlText w:val="(%1)"/>
      <w:lvlJc w:val="left"/>
      <w:pPr>
        <w:ind w:left="1211" w:hanging="360"/>
      </w:pPr>
      <w:rPr>
        <w:rFonts w:hint="default"/>
      </w:rPr>
    </w:lvl>
    <w:lvl w:ilvl="1" w:tplc="0C090019" w:tentative="1">
      <w:start w:val="1"/>
      <w:numFmt w:val="lowerLetter"/>
      <w:lvlText w:val="%2."/>
      <w:lvlJc w:val="left"/>
      <w:pPr>
        <w:ind w:left="1931" w:hanging="360"/>
      </w:pPr>
    </w:lvl>
    <w:lvl w:ilvl="2" w:tplc="0C09001B" w:tentative="1">
      <w:start w:val="1"/>
      <w:numFmt w:val="lowerRoman"/>
      <w:lvlText w:val="%3."/>
      <w:lvlJc w:val="right"/>
      <w:pPr>
        <w:ind w:left="2651" w:hanging="180"/>
      </w:pPr>
    </w:lvl>
    <w:lvl w:ilvl="3" w:tplc="0C09000F" w:tentative="1">
      <w:start w:val="1"/>
      <w:numFmt w:val="decimal"/>
      <w:lvlText w:val="%4."/>
      <w:lvlJc w:val="left"/>
      <w:pPr>
        <w:ind w:left="3371" w:hanging="360"/>
      </w:pPr>
    </w:lvl>
    <w:lvl w:ilvl="4" w:tplc="0C090019" w:tentative="1">
      <w:start w:val="1"/>
      <w:numFmt w:val="lowerLetter"/>
      <w:lvlText w:val="%5."/>
      <w:lvlJc w:val="left"/>
      <w:pPr>
        <w:ind w:left="4091" w:hanging="360"/>
      </w:pPr>
    </w:lvl>
    <w:lvl w:ilvl="5" w:tplc="0C09001B" w:tentative="1">
      <w:start w:val="1"/>
      <w:numFmt w:val="lowerRoman"/>
      <w:lvlText w:val="%6."/>
      <w:lvlJc w:val="right"/>
      <w:pPr>
        <w:ind w:left="4811" w:hanging="180"/>
      </w:pPr>
    </w:lvl>
    <w:lvl w:ilvl="6" w:tplc="0C09000F" w:tentative="1">
      <w:start w:val="1"/>
      <w:numFmt w:val="decimal"/>
      <w:lvlText w:val="%7."/>
      <w:lvlJc w:val="left"/>
      <w:pPr>
        <w:ind w:left="5531" w:hanging="360"/>
      </w:pPr>
    </w:lvl>
    <w:lvl w:ilvl="7" w:tplc="0C090019" w:tentative="1">
      <w:start w:val="1"/>
      <w:numFmt w:val="lowerLetter"/>
      <w:lvlText w:val="%8."/>
      <w:lvlJc w:val="left"/>
      <w:pPr>
        <w:ind w:left="6251" w:hanging="360"/>
      </w:pPr>
    </w:lvl>
    <w:lvl w:ilvl="8" w:tplc="0C09001B" w:tentative="1">
      <w:start w:val="1"/>
      <w:numFmt w:val="lowerRoman"/>
      <w:lvlText w:val="%9."/>
      <w:lvlJc w:val="right"/>
      <w:pPr>
        <w:ind w:left="6971" w:hanging="180"/>
      </w:pPr>
    </w:lvl>
  </w:abstractNum>
  <w:abstractNum w:abstractNumId="1" w15:restartNumberingAfterBreak="0">
    <w:nsid w:val="0EC83EFC"/>
    <w:multiLevelType w:val="multilevel"/>
    <w:tmpl w:val="59F0D9F0"/>
    <w:lvl w:ilvl="0">
      <w:numFmt w:val="bullet"/>
      <w:pStyle w:val="Bullet1stlevel"/>
      <w:lvlText w:val="•"/>
      <w:lvlJc w:val="left"/>
      <w:pPr>
        <w:ind w:left="567" w:hanging="567"/>
      </w:pPr>
      <w:rPr>
        <w:rFonts w:ascii="Arial" w:hAnsi="Arial" w:hint="default"/>
        <w:sz w:val="18"/>
      </w:rPr>
    </w:lvl>
    <w:lvl w:ilvl="1">
      <w:start w:val="1"/>
      <w:numFmt w:val="bullet"/>
      <w:lvlText w:val="-"/>
      <w:lvlJc w:val="left"/>
      <w:pPr>
        <w:ind w:left="1134" w:hanging="567"/>
      </w:pPr>
      <w:rPr>
        <w:rFonts w:ascii="Courier New" w:hAnsi="Courier New" w:hint="default"/>
      </w:rPr>
    </w:lvl>
    <w:lvl w:ilvl="2">
      <w:start w:val="1"/>
      <w:numFmt w:val="bullet"/>
      <w:lvlText w:val="-"/>
      <w:lvlJc w:val="left"/>
      <w:pPr>
        <w:ind w:left="1134" w:hanging="567"/>
      </w:pPr>
      <w:rPr>
        <w:rFonts w:ascii="Courier New" w:hAnsi="Courier New" w:hint="default"/>
      </w:rPr>
    </w:lvl>
    <w:lvl w:ilvl="3">
      <w:start w:val="1"/>
      <w:numFmt w:val="bullet"/>
      <w:lvlText w:val="-"/>
      <w:lvlJc w:val="left"/>
      <w:pPr>
        <w:ind w:left="1134" w:hanging="567"/>
      </w:pPr>
      <w:rPr>
        <w:rFonts w:ascii="Courier New" w:hAnsi="Courier New" w:hint="default"/>
      </w:rPr>
    </w:lvl>
    <w:lvl w:ilvl="4">
      <w:start w:val="1"/>
      <w:numFmt w:val="bullet"/>
      <w:lvlText w:val="-"/>
      <w:lvlJc w:val="left"/>
      <w:pPr>
        <w:ind w:left="1134" w:hanging="567"/>
      </w:pPr>
      <w:rPr>
        <w:rFonts w:ascii="Courier New" w:hAnsi="Courier New" w:hint="default"/>
      </w:rPr>
    </w:lvl>
    <w:lvl w:ilvl="5">
      <w:start w:val="1"/>
      <w:numFmt w:val="bullet"/>
      <w:lvlText w:val="-"/>
      <w:lvlJc w:val="left"/>
      <w:pPr>
        <w:ind w:left="1134" w:hanging="567"/>
      </w:pPr>
      <w:rPr>
        <w:rFonts w:ascii="Courier New" w:hAnsi="Courier New" w:hint="default"/>
      </w:rPr>
    </w:lvl>
    <w:lvl w:ilvl="6">
      <w:start w:val="1"/>
      <w:numFmt w:val="bullet"/>
      <w:lvlText w:val="-"/>
      <w:lvlJc w:val="left"/>
      <w:pPr>
        <w:ind w:left="1134" w:hanging="567"/>
      </w:pPr>
      <w:rPr>
        <w:rFonts w:ascii="Courier New" w:hAnsi="Courier New" w:hint="default"/>
      </w:rPr>
    </w:lvl>
    <w:lvl w:ilvl="7">
      <w:start w:val="1"/>
      <w:numFmt w:val="bullet"/>
      <w:lvlText w:val="-"/>
      <w:lvlJc w:val="left"/>
      <w:pPr>
        <w:ind w:left="1134" w:hanging="567"/>
      </w:pPr>
      <w:rPr>
        <w:rFonts w:ascii="Courier New" w:hAnsi="Courier New" w:hint="default"/>
      </w:rPr>
    </w:lvl>
    <w:lvl w:ilvl="8">
      <w:start w:val="1"/>
      <w:numFmt w:val="bullet"/>
      <w:lvlText w:val="-"/>
      <w:lvlJc w:val="left"/>
      <w:pPr>
        <w:ind w:left="1134" w:hanging="567"/>
      </w:pPr>
      <w:rPr>
        <w:rFonts w:ascii="Courier New" w:hAnsi="Courier New" w:hint="default"/>
      </w:rPr>
    </w:lvl>
  </w:abstractNum>
  <w:abstractNum w:abstractNumId="2" w15:restartNumberingAfterBreak="0">
    <w:nsid w:val="21742832"/>
    <w:multiLevelType w:val="hybridMultilevel"/>
    <w:tmpl w:val="78EA0C66"/>
    <w:lvl w:ilvl="0" w:tplc="0C09000F">
      <w:start w:val="1"/>
      <w:numFmt w:val="decimal"/>
      <w:lvlText w:val="%1."/>
      <w:lvlJc w:val="left"/>
      <w:pPr>
        <w:ind w:left="1571" w:hanging="360"/>
      </w:pPr>
    </w:lvl>
    <w:lvl w:ilvl="1" w:tplc="0C090019" w:tentative="1">
      <w:start w:val="1"/>
      <w:numFmt w:val="lowerLetter"/>
      <w:lvlText w:val="%2."/>
      <w:lvlJc w:val="left"/>
      <w:pPr>
        <w:ind w:left="2291" w:hanging="360"/>
      </w:pPr>
    </w:lvl>
    <w:lvl w:ilvl="2" w:tplc="0C09001B" w:tentative="1">
      <w:start w:val="1"/>
      <w:numFmt w:val="lowerRoman"/>
      <w:lvlText w:val="%3."/>
      <w:lvlJc w:val="right"/>
      <w:pPr>
        <w:ind w:left="3011" w:hanging="180"/>
      </w:pPr>
    </w:lvl>
    <w:lvl w:ilvl="3" w:tplc="0C09000F" w:tentative="1">
      <w:start w:val="1"/>
      <w:numFmt w:val="decimal"/>
      <w:lvlText w:val="%4."/>
      <w:lvlJc w:val="left"/>
      <w:pPr>
        <w:ind w:left="3731" w:hanging="360"/>
      </w:pPr>
    </w:lvl>
    <w:lvl w:ilvl="4" w:tplc="0C090019" w:tentative="1">
      <w:start w:val="1"/>
      <w:numFmt w:val="lowerLetter"/>
      <w:lvlText w:val="%5."/>
      <w:lvlJc w:val="left"/>
      <w:pPr>
        <w:ind w:left="4451" w:hanging="360"/>
      </w:pPr>
    </w:lvl>
    <w:lvl w:ilvl="5" w:tplc="0C09001B" w:tentative="1">
      <w:start w:val="1"/>
      <w:numFmt w:val="lowerRoman"/>
      <w:lvlText w:val="%6."/>
      <w:lvlJc w:val="right"/>
      <w:pPr>
        <w:ind w:left="5171" w:hanging="180"/>
      </w:pPr>
    </w:lvl>
    <w:lvl w:ilvl="6" w:tplc="0C09000F" w:tentative="1">
      <w:start w:val="1"/>
      <w:numFmt w:val="decimal"/>
      <w:lvlText w:val="%7."/>
      <w:lvlJc w:val="left"/>
      <w:pPr>
        <w:ind w:left="5891" w:hanging="360"/>
      </w:pPr>
    </w:lvl>
    <w:lvl w:ilvl="7" w:tplc="0C090019" w:tentative="1">
      <w:start w:val="1"/>
      <w:numFmt w:val="lowerLetter"/>
      <w:lvlText w:val="%8."/>
      <w:lvlJc w:val="left"/>
      <w:pPr>
        <w:ind w:left="6611" w:hanging="360"/>
      </w:pPr>
    </w:lvl>
    <w:lvl w:ilvl="8" w:tplc="0C09001B" w:tentative="1">
      <w:start w:val="1"/>
      <w:numFmt w:val="lowerRoman"/>
      <w:lvlText w:val="%9."/>
      <w:lvlJc w:val="right"/>
      <w:pPr>
        <w:ind w:left="7331" w:hanging="180"/>
      </w:pPr>
    </w:lvl>
  </w:abstractNum>
  <w:abstractNum w:abstractNumId="3" w15:restartNumberingAfterBreak="0">
    <w:nsid w:val="5B825756"/>
    <w:multiLevelType w:val="multilevel"/>
    <w:tmpl w:val="0F741824"/>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4" w15:restartNumberingAfterBreak="0">
    <w:nsid w:val="5E1E7251"/>
    <w:multiLevelType w:val="multilevel"/>
    <w:tmpl w:val="CEAC5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FE7452"/>
    <w:multiLevelType w:val="multilevel"/>
    <w:tmpl w:val="96B4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70375">
    <w:abstractNumId w:val="3"/>
  </w:num>
  <w:num w:numId="2" w16cid:durableId="289359669">
    <w:abstractNumId w:val="1"/>
  </w:num>
  <w:num w:numId="3" w16cid:durableId="1687559043">
    <w:abstractNumId w:val="2"/>
  </w:num>
  <w:num w:numId="4" w16cid:durableId="2055693667">
    <w:abstractNumId w:val="0"/>
  </w:num>
  <w:num w:numId="5" w16cid:durableId="2058360771">
    <w:abstractNumId w:val="4"/>
  </w:num>
  <w:num w:numId="6" w16cid:durableId="13993556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Harvard Paper 1 2025&lt;/Style&gt;&lt;LeftDelim&gt;{&lt;/LeftDelim&gt;&lt;RightDelim&gt;}&lt;/RightDelim&gt;&lt;FontName&gt;DengXi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tsetw9xmdwrwtetwx4vzv52zfavzzr20wsr&quot;&gt;2025 Paper 1 (Lit Rev)&lt;record-ids&gt;&lt;item&gt;45&lt;/item&gt;&lt;item&gt;56&lt;/item&gt;&lt;item&gt;99&lt;/item&gt;&lt;item&gt;110&lt;/item&gt;&lt;item&gt;116&lt;/item&gt;&lt;item&gt;137&lt;/item&gt;&lt;item&gt;180&lt;/item&gt;&lt;item&gt;196&lt;/item&gt;&lt;item&gt;259&lt;/item&gt;&lt;item&gt;290&lt;/item&gt;&lt;item&gt;303&lt;/item&gt;&lt;item&gt;307&lt;/item&gt;&lt;item&gt;308&lt;/item&gt;&lt;item&gt;309&lt;/item&gt;&lt;item&gt;311&lt;/item&gt;&lt;item&gt;312&lt;/item&gt;&lt;item&gt;324&lt;/item&gt;&lt;item&gt;335&lt;/item&gt;&lt;item&gt;336&lt;/item&gt;&lt;item&gt;337&lt;/item&gt;&lt;item&gt;340&lt;/item&gt;&lt;item&gt;343&lt;/item&gt;&lt;item&gt;344&lt;/item&gt;&lt;item&gt;348&lt;/item&gt;&lt;item&gt;349&lt;/item&gt;&lt;item&gt;352&lt;/item&gt;&lt;item&gt;380&lt;/item&gt;&lt;item&gt;390&lt;/item&gt;&lt;item&gt;391&lt;/item&gt;&lt;item&gt;1067&lt;/item&gt;&lt;item&gt;1071&lt;/item&gt;&lt;item&gt;1074&lt;/item&gt;&lt;item&gt;1077&lt;/item&gt;&lt;item&gt;1078&lt;/item&gt;&lt;item&gt;1079&lt;/item&gt;&lt;item&gt;1081&lt;/item&gt;&lt;item&gt;1085&lt;/item&gt;&lt;item&gt;1088&lt;/item&gt;&lt;item&gt;1093&lt;/item&gt;&lt;item&gt;1095&lt;/item&gt;&lt;item&gt;1097&lt;/item&gt;&lt;item&gt;1098&lt;/item&gt;&lt;item&gt;1102&lt;/item&gt;&lt;item&gt;1106&lt;/item&gt;&lt;item&gt;1109&lt;/item&gt;&lt;item&gt;1111&lt;/item&gt;&lt;item&gt;1114&lt;/item&gt;&lt;item&gt;1116&lt;/item&gt;&lt;item&gt;1117&lt;/item&gt;&lt;item&gt;1121&lt;/item&gt;&lt;item&gt;1123&lt;/item&gt;&lt;item&gt;1125&lt;/item&gt;&lt;item&gt;1145&lt;/item&gt;&lt;item&gt;1187&lt;/item&gt;&lt;item&gt;1199&lt;/item&gt;&lt;item&gt;1200&lt;/item&gt;&lt;item&gt;1203&lt;/item&gt;&lt;item&gt;1208&lt;/item&gt;&lt;item&gt;1210&lt;/item&gt;&lt;item&gt;1216&lt;/item&gt;&lt;item&gt;1225&lt;/item&gt;&lt;item&gt;1229&lt;/item&gt;&lt;item&gt;1230&lt;/item&gt;&lt;item&gt;1231&lt;/item&gt;&lt;item&gt;1233&lt;/item&gt;&lt;item&gt;1236&lt;/item&gt;&lt;item&gt;1237&lt;/item&gt;&lt;item&gt;1242&lt;/item&gt;&lt;item&gt;1243&lt;/item&gt;&lt;item&gt;1248&lt;/item&gt;&lt;item&gt;1251&lt;/item&gt;&lt;item&gt;1253&lt;/item&gt;&lt;item&gt;1259&lt;/item&gt;&lt;item&gt;1260&lt;/item&gt;&lt;item&gt;1262&lt;/item&gt;&lt;item&gt;1263&lt;/item&gt;&lt;item&gt;1264&lt;/item&gt;&lt;item&gt;1266&lt;/item&gt;&lt;item&gt;1267&lt;/item&gt;&lt;item&gt;1268&lt;/item&gt;&lt;item&gt;1269&lt;/item&gt;&lt;item&gt;1270&lt;/item&gt;&lt;item&gt;1271&lt;/item&gt;&lt;item&gt;1272&lt;/item&gt;&lt;item&gt;1273&lt;/item&gt;&lt;item&gt;1274&lt;/item&gt;&lt;item&gt;1275&lt;/item&gt;&lt;item&gt;1276&lt;/item&gt;&lt;item&gt;1277&lt;/item&gt;&lt;item&gt;1278&lt;/item&gt;&lt;item&gt;1279&lt;/item&gt;&lt;item&gt;1280&lt;/item&gt;&lt;item&gt;1281&lt;/item&gt;&lt;item&gt;1282&lt;/item&gt;&lt;item&gt;1283&lt;/item&gt;&lt;item&gt;1284&lt;/item&gt;&lt;item&gt;1285&lt;/item&gt;&lt;/record-ids&gt;&lt;/item&gt;&lt;/Libraries&gt;"/>
  </w:docVars>
  <w:rsids>
    <w:rsidRoot w:val="0078308C"/>
    <w:rsid w:val="0000280D"/>
    <w:rsid w:val="00003FEC"/>
    <w:rsid w:val="000067EE"/>
    <w:rsid w:val="00011367"/>
    <w:rsid w:val="00011745"/>
    <w:rsid w:val="00012EEF"/>
    <w:rsid w:val="000133F7"/>
    <w:rsid w:val="00013EAA"/>
    <w:rsid w:val="000159B7"/>
    <w:rsid w:val="00021A5E"/>
    <w:rsid w:val="00021E44"/>
    <w:rsid w:val="00023674"/>
    <w:rsid w:val="0002398E"/>
    <w:rsid w:val="00023E23"/>
    <w:rsid w:val="00025A24"/>
    <w:rsid w:val="000310CC"/>
    <w:rsid w:val="000378CE"/>
    <w:rsid w:val="00042312"/>
    <w:rsid w:val="0004259C"/>
    <w:rsid w:val="000432DD"/>
    <w:rsid w:val="000451AB"/>
    <w:rsid w:val="0004571E"/>
    <w:rsid w:val="00045BF1"/>
    <w:rsid w:val="000462D9"/>
    <w:rsid w:val="0005025F"/>
    <w:rsid w:val="0005139E"/>
    <w:rsid w:val="00051758"/>
    <w:rsid w:val="00052389"/>
    <w:rsid w:val="00052CAA"/>
    <w:rsid w:val="00053A31"/>
    <w:rsid w:val="00054B0C"/>
    <w:rsid w:val="000555A4"/>
    <w:rsid w:val="000564D2"/>
    <w:rsid w:val="00057CC5"/>
    <w:rsid w:val="00057D6F"/>
    <w:rsid w:val="000622C6"/>
    <w:rsid w:val="00063B72"/>
    <w:rsid w:val="00063C88"/>
    <w:rsid w:val="00064D54"/>
    <w:rsid w:val="00066639"/>
    <w:rsid w:val="000668EE"/>
    <w:rsid w:val="00066BB2"/>
    <w:rsid w:val="00066BBE"/>
    <w:rsid w:val="00067655"/>
    <w:rsid w:val="00067AB7"/>
    <w:rsid w:val="00070C4F"/>
    <w:rsid w:val="00070F79"/>
    <w:rsid w:val="00071D5C"/>
    <w:rsid w:val="0007379D"/>
    <w:rsid w:val="00073AD4"/>
    <w:rsid w:val="00073B80"/>
    <w:rsid w:val="00075202"/>
    <w:rsid w:val="000773E4"/>
    <w:rsid w:val="00080059"/>
    <w:rsid w:val="00082075"/>
    <w:rsid w:val="00085DF6"/>
    <w:rsid w:val="0008659A"/>
    <w:rsid w:val="000869FB"/>
    <w:rsid w:val="00090A2C"/>
    <w:rsid w:val="00091585"/>
    <w:rsid w:val="00092210"/>
    <w:rsid w:val="00092306"/>
    <w:rsid w:val="00096B87"/>
    <w:rsid w:val="00097B32"/>
    <w:rsid w:val="000A00B2"/>
    <w:rsid w:val="000A13C7"/>
    <w:rsid w:val="000A68BD"/>
    <w:rsid w:val="000B118F"/>
    <w:rsid w:val="000B11E2"/>
    <w:rsid w:val="000B3692"/>
    <w:rsid w:val="000B560F"/>
    <w:rsid w:val="000B68A6"/>
    <w:rsid w:val="000C09A9"/>
    <w:rsid w:val="000C13A9"/>
    <w:rsid w:val="000C1750"/>
    <w:rsid w:val="000C1C44"/>
    <w:rsid w:val="000C292E"/>
    <w:rsid w:val="000C2C3B"/>
    <w:rsid w:val="000C4B8A"/>
    <w:rsid w:val="000C5F73"/>
    <w:rsid w:val="000D07AC"/>
    <w:rsid w:val="000D14EF"/>
    <w:rsid w:val="000D1F81"/>
    <w:rsid w:val="000D241D"/>
    <w:rsid w:val="000E0FA1"/>
    <w:rsid w:val="000E1A81"/>
    <w:rsid w:val="000E33A1"/>
    <w:rsid w:val="000E5375"/>
    <w:rsid w:val="000E6986"/>
    <w:rsid w:val="000E6B37"/>
    <w:rsid w:val="000F1085"/>
    <w:rsid w:val="000F1174"/>
    <w:rsid w:val="000F2F4C"/>
    <w:rsid w:val="000F7CD9"/>
    <w:rsid w:val="0010388E"/>
    <w:rsid w:val="00104660"/>
    <w:rsid w:val="001049A2"/>
    <w:rsid w:val="00104A90"/>
    <w:rsid w:val="001057D6"/>
    <w:rsid w:val="00111122"/>
    <w:rsid w:val="00111CBD"/>
    <w:rsid w:val="00112014"/>
    <w:rsid w:val="00112580"/>
    <w:rsid w:val="001129BA"/>
    <w:rsid w:val="00114451"/>
    <w:rsid w:val="001178D1"/>
    <w:rsid w:val="001214B7"/>
    <w:rsid w:val="001228E2"/>
    <w:rsid w:val="001260FC"/>
    <w:rsid w:val="00126E44"/>
    <w:rsid w:val="00127554"/>
    <w:rsid w:val="001330FA"/>
    <w:rsid w:val="0013374D"/>
    <w:rsid w:val="00135878"/>
    <w:rsid w:val="00135AF2"/>
    <w:rsid w:val="0013640E"/>
    <w:rsid w:val="00137FFE"/>
    <w:rsid w:val="00141400"/>
    <w:rsid w:val="00141EF3"/>
    <w:rsid w:val="00141F11"/>
    <w:rsid w:val="0014257B"/>
    <w:rsid w:val="00142805"/>
    <w:rsid w:val="0014578A"/>
    <w:rsid w:val="0014587F"/>
    <w:rsid w:val="001470C4"/>
    <w:rsid w:val="00147297"/>
    <w:rsid w:val="00147D36"/>
    <w:rsid w:val="00150E1D"/>
    <w:rsid w:val="00150F46"/>
    <w:rsid w:val="00153742"/>
    <w:rsid w:val="0015509E"/>
    <w:rsid w:val="001553F6"/>
    <w:rsid w:val="00155FA6"/>
    <w:rsid w:val="00157649"/>
    <w:rsid w:val="00157BD2"/>
    <w:rsid w:val="00162097"/>
    <w:rsid w:val="001623B5"/>
    <w:rsid w:val="00162C86"/>
    <w:rsid w:val="00162F2C"/>
    <w:rsid w:val="00162F36"/>
    <w:rsid w:val="0016314C"/>
    <w:rsid w:val="00165838"/>
    <w:rsid w:val="00166F8E"/>
    <w:rsid w:val="001678B2"/>
    <w:rsid w:val="0017266F"/>
    <w:rsid w:val="001740A9"/>
    <w:rsid w:val="00175F35"/>
    <w:rsid w:val="001777F0"/>
    <w:rsid w:val="001804C4"/>
    <w:rsid w:val="001822E6"/>
    <w:rsid w:val="00182C70"/>
    <w:rsid w:val="001838E1"/>
    <w:rsid w:val="00183AEC"/>
    <w:rsid w:val="00183D7F"/>
    <w:rsid w:val="00190353"/>
    <w:rsid w:val="00190981"/>
    <w:rsid w:val="00192691"/>
    <w:rsid w:val="00193373"/>
    <w:rsid w:val="00193FC1"/>
    <w:rsid w:val="0019506F"/>
    <w:rsid w:val="00195DA9"/>
    <w:rsid w:val="001960C0"/>
    <w:rsid w:val="001A0F79"/>
    <w:rsid w:val="001A1870"/>
    <w:rsid w:val="001A1B1D"/>
    <w:rsid w:val="001A299B"/>
    <w:rsid w:val="001A35FB"/>
    <w:rsid w:val="001A4B04"/>
    <w:rsid w:val="001A4D25"/>
    <w:rsid w:val="001A602B"/>
    <w:rsid w:val="001B0D8A"/>
    <w:rsid w:val="001B1441"/>
    <w:rsid w:val="001B15AC"/>
    <w:rsid w:val="001B172E"/>
    <w:rsid w:val="001B1EDE"/>
    <w:rsid w:val="001B27D1"/>
    <w:rsid w:val="001B39C5"/>
    <w:rsid w:val="001B495B"/>
    <w:rsid w:val="001B5207"/>
    <w:rsid w:val="001B5781"/>
    <w:rsid w:val="001B7B6A"/>
    <w:rsid w:val="001C1C13"/>
    <w:rsid w:val="001C2A05"/>
    <w:rsid w:val="001C358A"/>
    <w:rsid w:val="001C3F4F"/>
    <w:rsid w:val="001C4ED8"/>
    <w:rsid w:val="001C4EF7"/>
    <w:rsid w:val="001C6A2C"/>
    <w:rsid w:val="001D10E0"/>
    <w:rsid w:val="001D5D4D"/>
    <w:rsid w:val="001D735C"/>
    <w:rsid w:val="001E2136"/>
    <w:rsid w:val="001E4B9E"/>
    <w:rsid w:val="001E5DE9"/>
    <w:rsid w:val="001E65B1"/>
    <w:rsid w:val="001F0255"/>
    <w:rsid w:val="001F1D52"/>
    <w:rsid w:val="001F2434"/>
    <w:rsid w:val="001F2654"/>
    <w:rsid w:val="001F358F"/>
    <w:rsid w:val="001F3E1E"/>
    <w:rsid w:val="001F6C94"/>
    <w:rsid w:val="001F7977"/>
    <w:rsid w:val="002004D0"/>
    <w:rsid w:val="00203B3C"/>
    <w:rsid w:val="002051AD"/>
    <w:rsid w:val="00206FD2"/>
    <w:rsid w:val="0021089A"/>
    <w:rsid w:val="00212508"/>
    <w:rsid w:val="00212526"/>
    <w:rsid w:val="0021362B"/>
    <w:rsid w:val="002147ED"/>
    <w:rsid w:val="00215D92"/>
    <w:rsid w:val="0021706A"/>
    <w:rsid w:val="002205DC"/>
    <w:rsid w:val="00221A7E"/>
    <w:rsid w:val="0022417C"/>
    <w:rsid w:val="00224788"/>
    <w:rsid w:val="002249DA"/>
    <w:rsid w:val="002263F2"/>
    <w:rsid w:val="00227889"/>
    <w:rsid w:val="00231333"/>
    <w:rsid w:val="002325C2"/>
    <w:rsid w:val="00232709"/>
    <w:rsid w:val="002344FD"/>
    <w:rsid w:val="0023563A"/>
    <w:rsid w:val="00235B84"/>
    <w:rsid w:val="00236BE8"/>
    <w:rsid w:val="00240138"/>
    <w:rsid w:val="00240F51"/>
    <w:rsid w:val="00243784"/>
    <w:rsid w:val="0024405A"/>
    <w:rsid w:val="0024581D"/>
    <w:rsid w:val="00245E36"/>
    <w:rsid w:val="002468BD"/>
    <w:rsid w:val="00252E14"/>
    <w:rsid w:val="002538B5"/>
    <w:rsid w:val="00253A63"/>
    <w:rsid w:val="0025732F"/>
    <w:rsid w:val="00257CE0"/>
    <w:rsid w:val="002607A2"/>
    <w:rsid w:val="00260A40"/>
    <w:rsid w:val="00262D5C"/>
    <w:rsid w:val="00263F4C"/>
    <w:rsid w:val="00264BE7"/>
    <w:rsid w:val="0026755D"/>
    <w:rsid w:val="00267D07"/>
    <w:rsid w:val="002700F6"/>
    <w:rsid w:val="00274747"/>
    <w:rsid w:val="00275EFC"/>
    <w:rsid w:val="00282D05"/>
    <w:rsid w:val="00283887"/>
    <w:rsid w:val="00283A33"/>
    <w:rsid w:val="002852D0"/>
    <w:rsid w:val="0029005D"/>
    <w:rsid w:val="00294EE8"/>
    <w:rsid w:val="00295347"/>
    <w:rsid w:val="00295FC2"/>
    <w:rsid w:val="002962C8"/>
    <w:rsid w:val="00296AAB"/>
    <w:rsid w:val="00297A7E"/>
    <w:rsid w:val="002A02BF"/>
    <w:rsid w:val="002A0AAE"/>
    <w:rsid w:val="002A2BF7"/>
    <w:rsid w:val="002A4764"/>
    <w:rsid w:val="002A4C08"/>
    <w:rsid w:val="002A5664"/>
    <w:rsid w:val="002A5BEE"/>
    <w:rsid w:val="002A61A4"/>
    <w:rsid w:val="002A6DAE"/>
    <w:rsid w:val="002A6FD6"/>
    <w:rsid w:val="002B097B"/>
    <w:rsid w:val="002B1B36"/>
    <w:rsid w:val="002B1E54"/>
    <w:rsid w:val="002B41F8"/>
    <w:rsid w:val="002B7541"/>
    <w:rsid w:val="002B757A"/>
    <w:rsid w:val="002C1F9C"/>
    <w:rsid w:val="002C650F"/>
    <w:rsid w:val="002C6969"/>
    <w:rsid w:val="002D166B"/>
    <w:rsid w:val="002D29E8"/>
    <w:rsid w:val="002D5A28"/>
    <w:rsid w:val="002D5F8D"/>
    <w:rsid w:val="002D62B3"/>
    <w:rsid w:val="002D6E24"/>
    <w:rsid w:val="002E103D"/>
    <w:rsid w:val="002E210D"/>
    <w:rsid w:val="002E2B93"/>
    <w:rsid w:val="002E371E"/>
    <w:rsid w:val="002E3B53"/>
    <w:rsid w:val="002E3E34"/>
    <w:rsid w:val="002E6D0C"/>
    <w:rsid w:val="002F06B0"/>
    <w:rsid w:val="002F1C26"/>
    <w:rsid w:val="002F2751"/>
    <w:rsid w:val="002F2A35"/>
    <w:rsid w:val="002F2E3C"/>
    <w:rsid w:val="002F4116"/>
    <w:rsid w:val="002F459B"/>
    <w:rsid w:val="002F52D8"/>
    <w:rsid w:val="002F576A"/>
    <w:rsid w:val="002F5943"/>
    <w:rsid w:val="002F78DF"/>
    <w:rsid w:val="0030159E"/>
    <w:rsid w:val="00301BA6"/>
    <w:rsid w:val="003021A4"/>
    <w:rsid w:val="0030549D"/>
    <w:rsid w:val="0030559D"/>
    <w:rsid w:val="003074FE"/>
    <w:rsid w:val="00310455"/>
    <w:rsid w:val="003127E7"/>
    <w:rsid w:val="003139E6"/>
    <w:rsid w:val="003154EC"/>
    <w:rsid w:val="00316344"/>
    <w:rsid w:val="003178A2"/>
    <w:rsid w:val="00324BC0"/>
    <w:rsid w:val="00327149"/>
    <w:rsid w:val="0033208B"/>
    <w:rsid w:val="0033232C"/>
    <w:rsid w:val="00332BD7"/>
    <w:rsid w:val="00333D46"/>
    <w:rsid w:val="0033557D"/>
    <w:rsid w:val="003363BF"/>
    <w:rsid w:val="00336893"/>
    <w:rsid w:val="00337401"/>
    <w:rsid w:val="003402F1"/>
    <w:rsid w:val="003417E7"/>
    <w:rsid w:val="003424BB"/>
    <w:rsid w:val="00343378"/>
    <w:rsid w:val="003440F1"/>
    <w:rsid w:val="00344364"/>
    <w:rsid w:val="0034477F"/>
    <w:rsid w:val="003451EE"/>
    <w:rsid w:val="003457A4"/>
    <w:rsid w:val="00347F43"/>
    <w:rsid w:val="00352A1C"/>
    <w:rsid w:val="00352A35"/>
    <w:rsid w:val="00354421"/>
    <w:rsid w:val="00355288"/>
    <w:rsid w:val="00357BD1"/>
    <w:rsid w:val="00357FBE"/>
    <w:rsid w:val="003607FE"/>
    <w:rsid w:val="00361400"/>
    <w:rsid w:val="0036162A"/>
    <w:rsid w:val="0036168A"/>
    <w:rsid w:val="0036192C"/>
    <w:rsid w:val="00361C00"/>
    <w:rsid w:val="00362CF8"/>
    <w:rsid w:val="00364E5E"/>
    <w:rsid w:val="00366ECA"/>
    <w:rsid w:val="003712C9"/>
    <w:rsid w:val="00372A60"/>
    <w:rsid w:val="00372C77"/>
    <w:rsid w:val="00372E1C"/>
    <w:rsid w:val="00374079"/>
    <w:rsid w:val="00375AD2"/>
    <w:rsid w:val="0037756F"/>
    <w:rsid w:val="00382318"/>
    <w:rsid w:val="00382579"/>
    <w:rsid w:val="00383F37"/>
    <w:rsid w:val="00385429"/>
    <w:rsid w:val="00386D0D"/>
    <w:rsid w:val="0038732C"/>
    <w:rsid w:val="003905AA"/>
    <w:rsid w:val="00391B70"/>
    <w:rsid w:val="00391D92"/>
    <w:rsid w:val="0039466B"/>
    <w:rsid w:val="0039566F"/>
    <w:rsid w:val="0039582D"/>
    <w:rsid w:val="0039599D"/>
    <w:rsid w:val="00395BEE"/>
    <w:rsid w:val="003966A8"/>
    <w:rsid w:val="003970CC"/>
    <w:rsid w:val="003A2527"/>
    <w:rsid w:val="003A5315"/>
    <w:rsid w:val="003A60F0"/>
    <w:rsid w:val="003B299F"/>
    <w:rsid w:val="003B41B0"/>
    <w:rsid w:val="003B5B81"/>
    <w:rsid w:val="003C02DD"/>
    <w:rsid w:val="003C1875"/>
    <w:rsid w:val="003C1A9C"/>
    <w:rsid w:val="003C1B7E"/>
    <w:rsid w:val="003C226F"/>
    <w:rsid w:val="003C5C77"/>
    <w:rsid w:val="003C6816"/>
    <w:rsid w:val="003D1983"/>
    <w:rsid w:val="003D1E19"/>
    <w:rsid w:val="003D3487"/>
    <w:rsid w:val="003D3589"/>
    <w:rsid w:val="003D56D6"/>
    <w:rsid w:val="003D5AC2"/>
    <w:rsid w:val="003D5E43"/>
    <w:rsid w:val="003D6017"/>
    <w:rsid w:val="003D6F0A"/>
    <w:rsid w:val="003D727F"/>
    <w:rsid w:val="003E0C79"/>
    <w:rsid w:val="003E1887"/>
    <w:rsid w:val="003E2EB6"/>
    <w:rsid w:val="003E2EE9"/>
    <w:rsid w:val="003E4A33"/>
    <w:rsid w:val="003E4D46"/>
    <w:rsid w:val="003E575B"/>
    <w:rsid w:val="003F1920"/>
    <w:rsid w:val="003F1AAE"/>
    <w:rsid w:val="003F2AFA"/>
    <w:rsid w:val="003F2F08"/>
    <w:rsid w:val="003F3702"/>
    <w:rsid w:val="003F3FFC"/>
    <w:rsid w:val="003F691B"/>
    <w:rsid w:val="003F75B9"/>
    <w:rsid w:val="003F7CFC"/>
    <w:rsid w:val="003F7FB5"/>
    <w:rsid w:val="004003CE"/>
    <w:rsid w:val="004007AC"/>
    <w:rsid w:val="00402238"/>
    <w:rsid w:val="004022F1"/>
    <w:rsid w:val="00404D8D"/>
    <w:rsid w:val="0041279B"/>
    <w:rsid w:val="004127A0"/>
    <w:rsid w:val="0041361C"/>
    <w:rsid w:val="00413AA8"/>
    <w:rsid w:val="00413BA8"/>
    <w:rsid w:val="0041546E"/>
    <w:rsid w:val="004163A1"/>
    <w:rsid w:val="00416B75"/>
    <w:rsid w:val="00416CC1"/>
    <w:rsid w:val="004172CD"/>
    <w:rsid w:val="00420286"/>
    <w:rsid w:val="00423BAA"/>
    <w:rsid w:val="004244C6"/>
    <w:rsid w:val="00424D94"/>
    <w:rsid w:val="0042577C"/>
    <w:rsid w:val="00426177"/>
    <w:rsid w:val="00426FFE"/>
    <w:rsid w:val="00427575"/>
    <w:rsid w:val="00427662"/>
    <w:rsid w:val="00437FD6"/>
    <w:rsid w:val="004424DB"/>
    <w:rsid w:val="00443161"/>
    <w:rsid w:val="00447231"/>
    <w:rsid w:val="004472DE"/>
    <w:rsid w:val="00450BCA"/>
    <w:rsid w:val="00450CB5"/>
    <w:rsid w:val="0045318D"/>
    <w:rsid w:val="00453414"/>
    <w:rsid w:val="004555D5"/>
    <w:rsid w:val="00455A4E"/>
    <w:rsid w:val="00460702"/>
    <w:rsid w:val="00463EE6"/>
    <w:rsid w:val="00464BBB"/>
    <w:rsid w:val="0046586A"/>
    <w:rsid w:val="004664A2"/>
    <w:rsid w:val="00466B57"/>
    <w:rsid w:val="00467000"/>
    <w:rsid w:val="00467138"/>
    <w:rsid w:val="004709D4"/>
    <w:rsid w:val="00472217"/>
    <w:rsid w:val="00473917"/>
    <w:rsid w:val="00473EB8"/>
    <w:rsid w:val="00477E91"/>
    <w:rsid w:val="004802E1"/>
    <w:rsid w:val="00483F93"/>
    <w:rsid w:val="00484B90"/>
    <w:rsid w:val="0049003E"/>
    <w:rsid w:val="00490A5C"/>
    <w:rsid w:val="00491D1B"/>
    <w:rsid w:val="00494C65"/>
    <w:rsid w:val="00495114"/>
    <w:rsid w:val="004A02A3"/>
    <w:rsid w:val="004A1503"/>
    <w:rsid w:val="004A602B"/>
    <w:rsid w:val="004A7A5D"/>
    <w:rsid w:val="004B1B1F"/>
    <w:rsid w:val="004B2038"/>
    <w:rsid w:val="004B2921"/>
    <w:rsid w:val="004B54AC"/>
    <w:rsid w:val="004C4080"/>
    <w:rsid w:val="004C4185"/>
    <w:rsid w:val="004C4C68"/>
    <w:rsid w:val="004C506C"/>
    <w:rsid w:val="004D0E9E"/>
    <w:rsid w:val="004D270F"/>
    <w:rsid w:val="004D2ED8"/>
    <w:rsid w:val="004E146E"/>
    <w:rsid w:val="004E4EBE"/>
    <w:rsid w:val="004E645E"/>
    <w:rsid w:val="004E70DB"/>
    <w:rsid w:val="004E7E24"/>
    <w:rsid w:val="004F027B"/>
    <w:rsid w:val="004F2140"/>
    <w:rsid w:val="004F28E8"/>
    <w:rsid w:val="004F2BDE"/>
    <w:rsid w:val="004F60A2"/>
    <w:rsid w:val="00501B80"/>
    <w:rsid w:val="00502B92"/>
    <w:rsid w:val="00502BC2"/>
    <w:rsid w:val="005045B9"/>
    <w:rsid w:val="00505416"/>
    <w:rsid w:val="0050663E"/>
    <w:rsid w:val="00512099"/>
    <w:rsid w:val="00514202"/>
    <w:rsid w:val="00514524"/>
    <w:rsid w:val="00514CF0"/>
    <w:rsid w:val="00515715"/>
    <w:rsid w:val="00515B31"/>
    <w:rsid w:val="00520FAE"/>
    <w:rsid w:val="00522C74"/>
    <w:rsid w:val="0052339A"/>
    <w:rsid w:val="00523741"/>
    <w:rsid w:val="005279F5"/>
    <w:rsid w:val="00527E2B"/>
    <w:rsid w:val="00531428"/>
    <w:rsid w:val="00532E49"/>
    <w:rsid w:val="005359C7"/>
    <w:rsid w:val="00537AE8"/>
    <w:rsid w:val="0054566A"/>
    <w:rsid w:val="00545F1B"/>
    <w:rsid w:val="00547161"/>
    <w:rsid w:val="00550DAD"/>
    <w:rsid w:val="00550DCB"/>
    <w:rsid w:val="0055187E"/>
    <w:rsid w:val="00551CEF"/>
    <w:rsid w:val="00554D47"/>
    <w:rsid w:val="005573D8"/>
    <w:rsid w:val="00557F48"/>
    <w:rsid w:val="00563E54"/>
    <w:rsid w:val="0056665C"/>
    <w:rsid w:val="00566C46"/>
    <w:rsid w:val="005712BB"/>
    <w:rsid w:val="00573089"/>
    <w:rsid w:val="00573FF5"/>
    <w:rsid w:val="00575309"/>
    <w:rsid w:val="00575637"/>
    <w:rsid w:val="005813BB"/>
    <w:rsid w:val="00581E36"/>
    <w:rsid w:val="00583195"/>
    <w:rsid w:val="00585E58"/>
    <w:rsid w:val="0058639E"/>
    <w:rsid w:val="00587177"/>
    <w:rsid w:val="00590540"/>
    <w:rsid w:val="005924F9"/>
    <w:rsid w:val="005928CB"/>
    <w:rsid w:val="00594B7C"/>
    <w:rsid w:val="00597EB6"/>
    <w:rsid w:val="00597F68"/>
    <w:rsid w:val="005A1681"/>
    <w:rsid w:val="005A4000"/>
    <w:rsid w:val="005A64FA"/>
    <w:rsid w:val="005A71F0"/>
    <w:rsid w:val="005B026F"/>
    <w:rsid w:val="005B0D83"/>
    <w:rsid w:val="005B1C32"/>
    <w:rsid w:val="005B3D84"/>
    <w:rsid w:val="005B4A5F"/>
    <w:rsid w:val="005B7D3D"/>
    <w:rsid w:val="005C3F2C"/>
    <w:rsid w:val="005C4121"/>
    <w:rsid w:val="005C60C2"/>
    <w:rsid w:val="005C61D2"/>
    <w:rsid w:val="005D1735"/>
    <w:rsid w:val="005D4179"/>
    <w:rsid w:val="005D50E8"/>
    <w:rsid w:val="005D5F9F"/>
    <w:rsid w:val="005D6A17"/>
    <w:rsid w:val="005E13BC"/>
    <w:rsid w:val="005E2368"/>
    <w:rsid w:val="005E250C"/>
    <w:rsid w:val="005E346A"/>
    <w:rsid w:val="005E3983"/>
    <w:rsid w:val="005E51DC"/>
    <w:rsid w:val="005E52AB"/>
    <w:rsid w:val="005E5BC8"/>
    <w:rsid w:val="005E62AE"/>
    <w:rsid w:val="005E7EA8"/>
    <w:rsid w:val="005F20CC"/>
    <w:rsid w:val="005F2A82"/>
    <w:rsid w:val="005F2DA9"/>
    <w:rsid w:val="005F3007"/>
    <w:rsid w:val="005F3250"/>
    <w:rsid w:val="005F4120"/>
    <w:rsid w:val="005F5090"/>
    <w:rsid w:val="005F5CF4"/>
    <w:rsid w:val="005F6308"/>
    <w:rsid w:val="005F7481"/>
    <w:rsid w:val="00600F74"/>
    <w:rsid w:val="00602B7A"/>
    <w:rsid w:val="00602D91"/>
    <w:rsid w:val="00603FAF"/>
    <w:rsid w:val="00607248"/>
    <w:rsid w:val="00610D77"/>
    <w:rsid w:val="00612130"/>
    <w:rsid w:val="00612756"/>
    <w:rsid w:val="006127FA"/>
    <w:rsid w:val="00612FFB"/>
    <w:rsid w:val="00613B7A"/>
    <w:rsid w:val="00615CF3"/>
    <w:rsid w:val="00616038"/>
    <w:rsid w:val="006164D5"/>
    <w:rsid w:val="00617839"/>
    <w:rsid w:val="00617984"/>
    <w:rsid w:val="0062426B"/>
    <w:rsid w:val="00625DE9"/>
    <w:rsid w:val="00626177"/>
    <w:rsid w:val="006272D0"/>
    <w:rsid w:val="00627880"/>
    <w:rsid w:val="00630836"/>
    <w:rsid w:val="006308F3"/>
    <w:rsid w:val="00634D6B"/>
    <w:rsid w:val="00635F1E"/>
    <w:rsid w:val="00643350"/>
    <w:rsid w:val="00643F22"/>
    <w:rsid w:val="00644FA5"/>
    <w:rsid w:val="00645A9A"/>
    <w:rsid w:val="00646F66"/>
    <w:rsid w:val="00646FA4"/>
    <w:rsid w:val="0065155C"/>
    <w:rsid w:val="00651A16"/>
    <w:rsid w:val="006556DE"/>
    <w:rsid w:val="00660152"/>
    <w:rsid w:val="006611C7"/>
    <w:rsid w:val="006614BB"/>
    <w:rsid w:val="00661FF7"/>
    <w:rsid w:val="00662071"/>
    <w:rsid w:val="006635CF"/>
    <w:rsid w:val="00663B92"/>
    <w:rsid w:val="006644F8"/>
    <w:rsid w:val="00664FF6"/>
    <w:rsid w:val="006653DE"/>
    <w:rsid w:val="0066752B"/>
    <w:rsid w:val="00671AB6"/>
    <w:rsid w:val="0067354F"/>
    <w:rsid w:val="00675666"/>
    <w:rsid w:val="00677319"/>
    <w:rsid w:val="006775E4"/>
    <w:rsid w:val="006808A3"/>
    <w:rsid w:val="006850CB"/>
    <w:rsid w:val="00690C6A"/>
    <w:rsid w:val="0069228D"/>
    <w:rsid w:val="00692997"/>
    <w:rsid w:val="00692A8A"/>
    <w:rsid w:val="00693D8F"/>
    <w:rsid w:val="0069481E"/>
    <w:rsid w:val="00696DC0"/>
    <w:rsid w:val="00697166"/>
    <w:rsid w:val="0069781C"/>
    <w:rsid w:val="006A0FCB"/>
    <w:rsid w:val="006A3E60"/>
    <w:rsid w:val="006A43BE"/>
    <w:rsid w:val="006A4A16"/>
    <w:rsid w:val="006A6E0A"/>
    <w:rsid w:val="006A748F"/>
    <w:rsid w:val="006B0C1C"/>
    <w:rsid w:val="006B27A5"/>
    <w:rsid w:val="006B4313"/>
    <w:rsid w:val="006B5217"/>
    <w:rsid w:val="006B5DB9"/>
    <w:rsid w:val="006B7783"/>
    <w:rsid w:val="006C00DD"/>
    <w:rsid w:val="006C27DB"/>
    <w:rsid w:val="006C4B35"/>
    <w:rsid w:val="006C7CCC"/>
    <w:rsid w:val="006D0195"/>
    <w:rsid w:val="006D0E79"/>
    <w:rsid w:val="006D1BDB"/>
    <w:rsid w:val="006D1CF8"/>
    <w:rsid w:val="006D69D9"/>
    <w:rsid w:val="006E1451"/>
    <w:rsid w:val="006E1A9A"/>
    <w:rsid w:val="006E2C46"/>
    <w:rsid w:val="006E43F2"/>
    <w:rsid w:val="006E44EB"/>
    <w:rsid w:val="006E61F1"/>
    <w:rsid w:val="006E7B06"/>
    <w:rsid w:val="006F03EA"/>
    <w:rsid w:val="006F23A7"/>
    <w:rsid w:val="006F5282"/>
    <w:rsid w:val="006F6B38"/>
    <w:rsid w:val="00700A37"/>
    <w:rsid w:val="00701F07"/>
    <w:rsid w:val="0070332D"/>
    <w:rsid w:val="00703D9B"/>
    <w:rsid w:val="007112EC"/>
    <w:rsid w:val="00711E09"/>
    <w:rsid w:val="0071264D"/>
    <w:rsid w:val="0071278F"/>
    <w:rsid w:val="00713FAC"/>
    <w:rsid w:val="007146B7"/>
    <w:rsid w:val="00715E9E"/>
    <w:rsid w:val="007168B2"/>
    <w:rsid w:val="00720B0E"/>
    <w:rsid w:val="0072144E"/>
    <w:rsid w:val="00721997"/>
    <w:rsid w:val="00722E42"/>
    <w:rsid w:val="00725ECE"/>
    <w:rsid w:val="00725F13"/>
    <w:rsid w:val="007302CE"/>
    <w:rsid w:val="00730732"/>
    <w:rsid w:val="007319CF"/>
    <w:rsid w:val="007332BA"/>
    <w:rsid w:val="0073422D"/>
    <w:rsid w:val="0073547E"/>
    <w:rsid w:val="007363EB"/>
    <w:rsid w:val="00737244"/>
    <w:rsid w:val="00737596"/>
    <w:rsid w:val="00741E41"/>
    <w:rsid w:val="00744956"/>
    <w:rsid w:val="007508EC"/>
    <w:rsid w:val="00753682"/>
    <w:rsid w:val="00753792"/>
    <w:rsid w:val="0075408E"/>
    <w:rsid w:val="007557FE"/>
    <w:rsid w:val="00756555"/>
    <w:rsid w:val="007622C4"/>
    <w:rsid w:val="00763D97"/>
    <w:rsid w:val="00764190"/>
    <w:rsid w:val="00771AA9"/>
    <w:rsid w:val="00771FBA"/>
    <w:rsid w:val="007732E0"/>
    <w:rsid w:val="007749E5"/>
    <w:rsid w:val="00776C43"/>
    <w:rsid w:val="00781789"/>
    <w:rsid w:val="0078308C"/>
    <w:rsid w:val="0078319E"/>
    <w:rsid w:val="007833FF"/>
    <w:rsid w:val="007863F7"/>
    <w:rsid w:val="007872BA"/>
    <w:rsid w:val="00790D0A"/>
    <w:rsid w:val="0079188F"/>
    <w:rsid w:val="00797D28"/>
    <w:rsid w:val="00797E3F"/>
    <w:rsid w:val="007A0977"/>
    <w:rsid w:val="007A1080"/>
    <w:rsid w:val="007A2296"/>
    <w:rsid w:val="007A3878"/>
    <w:rsid w:val="007A625D"/>
    <w:rsid w:val="007B0C87"/>
    <w:rsid w:val="007B0CA5"/>
    <w:rsid w:val="007B1376"/>
    <w:rsid w:val="007B2D65"/>
    <w:rsid w:val="007B385C"/>
    <w:rsid w:val="007B3BA0"/>
    <w:rsid w:val="007B47B7"/>
    <w:rsid w:val="007B5310"/>
    <w:rsid w:val="007B5EBB"/>
    <w:rsid w:val="007B615B"/>
    <w:rsid w:val="007B6E91"/>
    <w:rsid w:val="007B752C"/>
    <w:rsid w:val="007C1E62"/>
    <w:rsid w:val="007C3382"/>
    <w:rsid w:val="007C385A"/>
    <w:rsid w:val="007C4765"/>
    <w:rsid w:val="007C4D8D"/>
    <w:rsid w:val="007C751B"/>
    <w:rsid w:val="007C78BF"/>
    <w:rsid w:val="007D0CA0"/>
    <w:rsid w:val="007D0D03"/>
    <w:rsid w:val="007D26D5"/>
    <w:rsid w:val="007D2BAA"/>
    <w:rsid w:val="007D4413"/>
    <w:rsid w:val="007D4DC0"/>
    <w:rsid w:val="007D7077"/>
    <w:rsid w:val="007D7270"/>
    <w:rsid w:val="007E1881"/>
    <w:rsid w:val="007E1AA5"/>
    <w:rsid w:val="007E2382"/>
    <w:rsid w:val="007E32E2"/>
    <w:rsid w:val="007E39CE"/>
    <w:rsid w:val="007E42FA"/>
    <w:rsid w:val="007E6F6E"/>
    <w:rsid w:val="007E778F"/>
    <w:rsid w:val="007F0396"/>
    <w:rsid w:val="007F04C0"/>
    <w:rsid w:val="007F0B8A"/>
    <w:rsid w:val="007F1AD9"/>
    <w:rsid w:val="007F61C7"/>
    <w:rsid w:val="007F707D"/>
    <w:rsid w:val="007F74B9"/>
    <w:rsid w:val="007F7C50"/>
    <w:rsid w:val="00800B87"/>
    <w:rsid w:val="00807B48"/>
    <w:rsid w:val="00807CD0"/>
    <w:rsid w:val="0081028C"/>
    <w:rsid w:val="0081059F"/>
    <w:rsid w:val="008109D5"/>
    <w:rsid w:val="00813922"/>
    <w:rsid w:val="008156A0"/>
    <w:rsid w:val="00816E21"/>
    <w:rsid w:val="00821B02"/>
    <w:rsid w:val="00825D33"/>
    <w:rsid w:val="00830567"/>
    <w:rsid w:val="00831049"/>
    <w:rsid w:val="008313AA"/>
    <w:rsid w:val="00832D20"/>
    <w:rsid w:val="008330C6"/>
    <w:rsid w:val="0083383D"/>
    <w:rsid w:val="00833CBB"/>
    <w:rsid w:val="00834888"/>
    <w:rsid w:val="00840424"/>
    <w:rsid w:val="008406A1"/>
    <w:rsid w:val="008423B1"/>
    <w:rsid w:val="00842603"/>
    <w:rsid w:val="00846217"/>
    <w:rsid w:val="00846278"/>
    <w:rsid w:val="00847A81"/>
    <w:rsid w:val="0085291E"/>
    <w:rsid w:val="008539AF"/>
    <w:rsid w:val="00854235"/>
    <w:rsid w:val="008553DA"/>
    <w:rsid w:val="00860771"/>
    <w:rsid w:val="00861731"/>
    <w:rsid w:val="00861CC2"/>
    <w:rsid w:val="00862CAE"/>
    <w:rsid w:val="00865496"/>
    <w:rsid w:val="008716E7"/>
    <w:rsid w:val="00873C97"/>
    <w:rsid w:val="00880056"/>
    <w:rsid w:val="00881747"/>
    <w:rsid w:val="00881DC5"/>
    <w:rsid w:val="00882D54"/>
    <w:rsid w:val="0088334A"/>
    <w:rsid w:val="00883E3E"/>
    <w:rsid w:val="008849E2"/>
    <w:rsid w:val="00886925"/>
    <w:rsid w:val="00887B92"/>
    <w:rsid w:val="0089021E"/>
    <w:rsid w:val="008909CC"/>
    <w:rsid w:val="0089326C"/>
    <w:rsid w:val="0089378A"/>
    <w:rsid w:val="008947C7"/>
    <w:rsid w:val="008961C8"/>
    <w:rsid w:val="00896637"/>
    <w:rsid w:val="0089700E"/>
    <w:rsid w:val="0089740A"/>
    <w:rsid w:val="00897712"/>
    <w:rsid w:val="008A0FB2"/>
    <w:rsid w:val="008A591A"/>
    <w:rsid w:val="008A6DBD"/>
    <w:rsid w:val="008A6EF0"/>
    <w:rsid w:val="008B0133"/>
    <w:rsid w:val="008B2105"/>
    <w:rsid w:val="008B3CEF"/>
    <w:rsid w:val="008B426A"/>
    <w:rsid w:val="008B5A36"/>
    <w:rsid w:val="008B6C1F"/>
    <w:rsid w:val="008C0293"/>
    <w:rsid w:val="008C06C7"/>
    <w:rsid w:val="008C19D6"/>
    <w:rsid w:val="008C2930"/>
    <w:rsid w:val="008C50CF"/>
    <w:rsid w:val="008C63E9"/>
    <w:rsid w:val="008C65C5"/>
    <w:rsid w:val="008C7CB6"/>
    <w:rsid w:val="008C7EA7"/>
    <w:rsid w:val="008D0464"/>
    <w:rsid w:val="008D30CC"/>
    <w:rsid w:val="008D3273"/>
    <w:rsid w:val="008D33D9"/>
    <w:rsid w:val="008D3AB7"/>
    <w:rsid w:val="008D3D11"/>
    <w:rsid w:val="008D4CA5"/>
    <w:rsid w:val="008D6449"/>
    <w:rsid w:val="008D68A1"/>
    <w:rsid w:val="008D7D9C"/>
    <w:rsid w:val="008E06C7"/>
    <w:rsid w:val="008E1276"/>
    <w:rsid w:val="008E458D"/>
    <w:rsid w:val="008E4CC1"/>
    <w:rsid w:val="008E5F8C"/>
    <w:rsid w:val="008E6283"/>
    <w:rsid w:val="008E669F"/>
    <w:rsid w:val="008E6CD8"/>
    <w:rsid w:val="008F216F"/>
    <w:rsid w:val="008F361F"/>
    <w:rsid w:val="008F4003"/>
    <w:rsid w:val="008F4683"/>
    <w:rsid w:val="008F53EF"/>
    <w:rsid w:val="008F6223"/>
    <w:rsid w:val="008F6AC9"/>
    <w:rsid w:val="008F6DCA"/>
    <w:rsid w:val="008F7794"/>
    <w:rsid w:val="00900F17"/>
    <w:rsid w:val="00900F30"/>
    <w:rsid w:val="0090763E"/>
    <w:rsid w:val="00910069"/>
    <w:rsid w:val="0091012A"/>
    <w:rsid w:val="00910480"/>
    <w:rsid w:val="009113C2"/>
    <w:rsid w:val="00913397"/>
    <w:rsid w:val="00913B19"/>
    <w:rsid w:val="00915DB6"/>
    <w:rsid w:val="00916EA9"/>
    <w:rsid w:val="009173D0"/>
    <w:rsid w:val="009173F5"/>
    <w:rsid w:val="0091769A"/>
    <w:rsid w:val="00922CB0"/>
    <w:rsid w:val="00923496"/>
    <w:rsid w:val="00923AB1"/>
    <w:rsid w:val="00924764"/>
    <w:rsid w:val="00924DB4"/>
    <w:rsid w:val="0092586F"/>
    <w:rsid w:val="009276E5"/>
    <w:rsid w:val="00931ED4"/>
    <w:rsid w:val="0093222A"/>
    <w:rsid w:val="00933E37"/>
    <w:rsid w:val="009366B8"/>
    <w:rsid w:val="00936721"/>
    <w:rsid w:val="00940E59"/>
    <w:rsid w:val="009411BA"/>
    <w:rsid w:val="00942CA4"/>
    <w:rsid w:val="00943980"/>
    <w:rsid w:val="00946A8E"/>
    <w:rsid w:val="00950218"/>
    <w:rsid w:val="0095245A"/>
    <w:rsid w:val="009531A3"/>
    <w:rsid w:val="009548B2"/>
    <w:rsid w:val="009551DD"/>
    <w:rsid w:val="00955335"/>
    <w:rsid w:val="00963108"/>
    <w:rsid w:val="009647E5"/>
    <w:rsid w:val="00967534"/>
    <w:rsid w:val="00970CAA"/>
    <w:rsid w:val="00972EE0"/>
    <w:rsid w:val="0097313B"/>
    <w:rsid w:val="009735AF"/>
    <w:rsid w:val="00974F48"/>
    <w:rsid w:val="00975C8C"/>
    <w:rsid w:val="00976612"/>
    <w:rsid w:val="00976839"/>
    <w:rsid w:val="00976ECC"/>
    <w:rsid w:val="00977942"/>
    <w:rsid w:val="00977E92"/>
    <w:rsid w:val="00980E05"/>
    <w:rsid w:val="00984001"/>
    <w:rsid w:val="00984E46"/>
    <w:rsid w:val="00985A24"/>
    <w:rsid w:val="0099208C"/>
    <w:rsid w:val="00992A5A"/>
    <w:rsid w:val="0099341B"/>
    <w:rsid w:val="009946E9"/>
    <w:rsid w:val="00994CAB"/>
    <w:rsid w:val="009965A2"/>
    <w:rsid w:val="009A1A13"/>
    <w:rsid w:val="009A3C39"/>
    <w:rsid w:val="009A54B0"/>
    <w:rsid w:val="009A54F1"/>
    <w:rsid w:val="009A5C1F"/>
    <w:rsid w:val="009A74FC"/>
    <w:rsid w:val="009A7E23"/>
    <w:rsid w:val="009A7F3B"/>
    <w:rsid w:val="009B0295"/>
    <w:rsid w:val="009C0F01"/>
    <w:rsid w:val="009C1A2F"/>
    <w:rsid w:val="009C3B34"/>
    <w:rsid w:val="009C4102"/>
    <w:rsid w:val="009C4A85"/>
    <w:rsid w:val="009C599D"/>
    <w:rsid w:val="009C776F"/>
    <w:rsid w:val="009D10C0"/>
    <w:rsid w:val="009D25EE"/>
    <w:rsid w:val="009D5981"/>
    <w:rsid w:val="009D6AB6"/>
    <w:rsid w:val="009D7F30"/>
    <w:rsid w:val="009E3647"/>
    <w:rsid w:val="009E3831"/>
    <w:rsid w:val="009E4206"/>
    <w:rsid w:val="009E4AB9"/>
    <w:rsid w:val="009E4CF7"/>
    <w:rsid w:val="009E7196"/>
    <w:rsid w:val="009E78DD"/>
    <w:rsid w:val="009F0486"/>
    <w:rsid w:val="009F0A4F"/>
    <w:rsid w:val="009F0E02"/>
    <w:rsid w:val="009F1CA6"/>
    <w:rsid w:val="009F606F"/>
    <w:rsid w:val="009F673E"/>
    <w:rsid w:val="009F6C63"/>
    <w:rsid w:val="00A01393"/>
    <w:rsid w:val="00A02CF2"/>
    <w:rsid w:val="00A032C5"/>
    <w:rsid w:val="00A03371"/>
    <w:rsid w:val="00A04D2F"/>
    <w:rsid w:val="00A0645C"/>
    <w:rsid w:val="00A06C6E"/>
    <w:rsid w:val="00A073C7"/>
    <w:rsid w:val="00A109AE"/>
    <w:rsid w:val="00A10A6B"/>
    <w:rsid w:val="00A10FE2"/>
    <w:rsid w:val="00A111DE"/>
    <w:rsid w:val="00A12046"/>
    <w:rsid w:val="00A148FA"/>
    <w:rsid w:val="00A14C1B"/>
    <w:rsid w:val="00A16132"/>
    <w:rsid w:val="00A167E5"/>
    <w:rsid w:val="00A1760A"/>
    <w:rsid w:val="00A17A8E"/>
    <w:rsid w:val="00A206C8"/>
    <w:rsid w:val="00A21887"/>
    <w:rsid w:val="00A23180"/>
    <w:rsid w:val="00A238A2"/>
    <w:rsid w:val="00A23DF2"/>
    <w:rsid w:val="00A25DC8"/>
    <w:rsid w:val="00A2797B"/>
    <w:rsid w:val="00A30C02"/>
    <w:rsid w:val="00A31996"/>
    <w:rsid w:val="00A350A5"/>
    <w:rsid w:val="00A37DB2"/>
    <w:rsid w:val="00A404B1"/>
    <w:rsid w:val="00A42EEB"/>
    <w:rsid w:val="00A43BD5"/>
    <w:rsid w:val="00A44759"/>
    <w:rsid w:val="00A447DD"/>
    <w:rsid w:val="00A44C13"/>
    <w:rsid w:val="00A453BE"/>
    <w:rsid w:val="00A45C63"/>
    <w:rsid w:val="00A46213"/>
    <w:rsid w:val="00A502BF"/>
    <w:rsid w:val="00A51C67"/>
    <w:rsid w:val="00A5343A"/>
    <w:rsid w:val="00A54349"/>
    <w:rsid w:val="00A5576B"/>
    <w:rsid w:val="00A55FBC"/>
    <w:rsid w:val="00A577D3"/>
    <w:rsid w:val="00A637ED"/>
    <w:rsid w:val="00A67319"/>
    <w:rsid w:val="00A67AF5"/>
    <w:rsid w:val="00A70334"/>
    <w:rsid w:val="00A723AB"/>
    <w:rsid w:val="00A72A3F"/>
    <w:rsid w:val="00A73788"/>
    <w:rsid w:val="00A74CC1"/>
    <w:rsid w:val="00A76A3E"/>
    <w:rsid w:val="00A81E07"/>
    <w:rsid w:val="00A8276A"/>
    <w:rsid w:val="00A8298E"/>
    <w:rsid w:val="00A8397C"/>
    <w:rsid w:val="00A83C0D"/>
    <w:rsid w:val="00A83F36"/>
    <w:rsid w:val="00A84036"/>
    <w:rsid w:val="00A8406E"/>
    <w:rsid w:val="00A840C2"/>
    <w:rsid w:val="00A844A0"/>
    <w:rsid w:val="00A84D47"/>
    <w:rsid w:val="00A8518E"/>
    <w:rsid w:val="00A85AA4"/>
    <w:rsid w:val="00A86881"/>
    <w:rsid w:val="00A90902"/>
    <w:rsid w:val="00A91A44"/>
    <w:rsid w:val="00A91E9E"/>
    <w:rsid w:val="00A92F0A"/>
    <w:rsid w:val="00A934FE"/>
    <w:rsid w:val="00A960BA"/>
    <w:rsid w:val="00AA275C"/>
    <w:rsid w:val="00AA3884"/>
    <w:rsid w:val="00AA43A0"/>
    <w:rsid w:val="00AA43D1"/>
    <w:rsid w:val="00AA469E"/>
    <w:rsid w:val="00AA5266"/>
    <w:rsid w:val="00AB0FBF"/>
    <w:rsid w:val="00AB1C5C"/>
    <w:rsid w:val="00AB20E3"/>
    <w:rsid w:val="00AB2FF0"/>
    <w:rsid w:val="00AB53D6"/>
    <w:rsid w:val="00AB6280"/>
    <w:rsid w:val="00AB783E"/>
    <w:rsid w:val="00AB7E93"/>
    <w:rsid w:val="00AC04F8"/>
    <w:rsid w:val="00AC1653"/>
    <w:rsid w:val="00AC4B89"/>
    <w:rsid w:val="00AC55BD"/>
    <w:rsid w:val="00AC57DB"/>
    <w:rsid w:val="00AC5C44"/>
    <w:rsid w:val="00AC6DAF"/>
    <w:rsid w:val="00AC6FC1"/>
    <w:rsid w:val="00AD26A4"/>
    <w:rsid w:val="00AD2A85"/>
    <w:rsid w:val="00AD2A97"/>
    <w:rsid w:val="00AD2B9D"/>
    <w:rsid w:val="00AD332B"/>
    <w:rsid w:val="00AD42EA"/>
    <w:rsid w:val="00AD4567"/>
    <w:rsid w:val="00AD46DE"/>
    <w:rsid w:val="00AD6C2F"/>
    <w:rsid w:val="00AD7510"/>
    <w:rsid w:val="00AD753C"/>
    <w:rsid w:val="00AE163D"/>
    <w:rsid w:val="00AE18BC"/>
    <w:rsid w:val="00AE1D3E"/>
    <w:rsid w:val="00AE1EEE"/>
    <w:rsid w:val="00AE2421"/>
    <w:rsid w:val="00AE368F"/>
    <w:rsid w:val="00AE47EF"/>
    <w:rsid w:val="00AE4B3A"/>
    <w:rsid w:val="00AE5BC3"/>
    <w:rsid w:val="00AE5C24"/>
    <w:rsid w:val="00AE5F2D"/>
    <w:rsid w:val="00AF0C6A"/>
    <w:rsid w:val="00AF5373"/>
    <w:rsid w:val="00AF6699"/>
    <w:rsid w:val="00AF67D8"/>
    <w:rsid w:val="00AF76D8"/>
    <w:rsid w:val="00B001F0"/>
    <w:rsid w:val="00B02703"/>
    <w:rsid w:val="00B02AA2"/>
    <w:rsid w:val="00B02C18"/>
    <w:rsid w:val="00B02FA1"/>
    <w:rsid w:val="00B039F3"/>
    <w:rsid w:val="00B0493F"/>
    <w:rsid w:val="00B056AB"/>
    <w:rsid w:val="00B06F06"/>
    <w:rsid w:val="00B07C64"/>
    <w:rsid w:val="00B1076A"/>
    <w:rsid w:val="00B11417"/>
    <w:rsid w:val="00B12740"/>
    <w:rsid w:val="00B1319F"/>
    <w:rsid w:val="00B154EE"/>
    <w:rsid w:val="00B15648"/>
    <w:rsid w:val="00B16046"/>
    <w:rsid w:val="00B202AA"/>
    <w:rsid w:val="00B225B8"/>
    <w:rsid w:val="00B23370"/>
    <w:rsid w:val="00B23FBF"/>
    <w:rsid w:val="00B24C6A"/>
    <w:rsid w:val="00B24C75"/>
    <w:rsid w:val="00B25327"/>
    <w:rsid w:val="00B315AF"/>
    <w:rsid w:val="00B33666"/>
    <w:rsid w:val="00B34A27"/>
    <w:rsid w:val="00B36A47"/>
    <w:rsid w:val="00B37926"/>
    <w:rsid w:val="00B37C75"/>
    <w:rsid w:val="00B45D16"/>
    <w:rsid w:val="00B46178"/>
    <w:rsid w:val="00B46B52"/>
    <w:rsid w:val="00B46C5F"/>
    <w:rsid w:val="00B46FFD"/>
    <w:rsid w:val="00B51912"/>
    <w:rsid w:val="00B52C83"/>
    <w:rsid w:val="00B53330"/>
    <w:rsid w:val="00B53804"/>
    <w:rsid w:val="00B571D5"/>
    <w:rsid w:val="00B60563"/>
    <w:rsid w:val="00B60E67"/>
    <w:rsid w:val="00B62D72"/>
    <w:rsid w:val="00B66383"/>
    <w:rsid w:val="00B6695B"/>
    <w:rsid w:val="00B7305E"/>
    <w:rsid w:val="00B73A50"/>
    <w:rsid w:val="00B73E08"/>
    <w:rsid w:val="00B75760"/>
    <w:rsid w:val="00B7709F"/>
    <w:rsid w:val="00B812C8"/>
    <w:rsid w:val="00B81A1D"/>
    <w:rsid w:val="00B82822"/>
    <w:rsid w:val="00B83093"/>
    <w:rsid w:val="00B83708"/>
    <w:rsid w:val="00B847A6"/>
    <w:rsid w:val="00B85F8A"/>
    <w:rsid w:val="00B8658E"/>
    <w:rsid w:val="00B874D9"/>
    <w:rsid w:val="00B87AE2"/>
    <w:rsid w:val="00B87B86"/>
    <w:rsid w:val="00B93936"/>
    <w:rsid w:val="00B9430A"/>
    <w:rsid w:val="00B94A24"/>
    <w:rsid w:val="00B94EAA"/>
    <w:rsid w:val="00B958D0"/>
    <w:rsid w:val="00B95D98"/>
    <w:rsid w:val="00B96106"/>
    <w:rsid w:val="00B96413"/>
    <w:rsid w:val="00B969FA"/>
    <w:rsid w:val="00BA0E07"/>
    <w:rsid w:val="00BA132E"/>
    <w:rsid w:val="00BA2EA7"/>
    <w:rsid w:val="00BA308A"/>
    <w:rsid w:val="00BA47F0"/>
    <w:rsid w:val="00BA609B"/>
    <w:rsid w:val="00BA64FD"/>
    <w:rsid w:val="00BA6580"/>
    <w:rsid w:val="00BA76B5"/>
    <w:rsid w:val="00BB0726"/>
    <w:rsid w:val="00BB2EB7"/>
    <w:rsid w:val="00BB3A39"/>
    <w:rsid w:val="00BB668E"/>
    <w:rsid w:val="00BB7296"/>
    <w:rsid w:val="00BC0A81"/>
    <w:rsid w:val="00BC3CE0"/>
    <w:rsid w:val="00BC57C9"/>
    <w:rsid w:val="00BC5817"/>
    <w:rsid w:val="00BD0683"/>
    <w:rsid w:val="00BD1E6E"/>
    <w:rsid w:val="00BD2B0F"/>
    <w:rsid w:val="00BD3FE5"/>
    <w:rsid w:val="00BD5062"/>
    <w:rsid w:val="00BE34ED"/>
    <w:rsid w:val="00BE48FF"/>
    <w:rsid w:val="00BE57D5"/>
    <w:rsid w:val="00BE6437"/>
    <w:rsid w:val="00BF2F43"/>
    <w:rsid w:val="00BF5839"/>
    <w:rsid w:val="00BF5DD1"/>
    <w:rsid w:val="00BF6A0D"/>
    <w:rsid w:val="00BF6E64"/>
    <w:rsid w:val="00BF7702"/>
    <w:rsid w:val="00C01B33"/>
    <w:rsid w:val="00C01C7B"/>
    <w:rsid w:val="00C02CF7"/>
    <w:rsid w:val="00C02EA3"/>
    <w:rsid w:val="00C03038"/>
    <w:rsid w:val="00C04D5C"/>
    <w:rsid w:val="00C05939"/>
    <w:rsid w:val="00C05D67"/>
    <w:rsid w:val="00C06348"/>
    <w:rsid w:val="00C1013B"/>
    <w:rsid w:val="00C13D69"/>
    <w:rsid w:val="00C1486A"/>
    <w:rsid w:val="00C149DB"/>
    <w:rsid w:val="00C15368"/>
    <w:rsid w:val="00C1606D"/>
    <w:rsid w:val="00C207C9"/>
    <w:rsid w:val="00C2118C"/>
    <w:rsid w:val="00C2373E"/>
    <w:rsid w:val="00C250F3"/>
    <w:rsid w:val="00C25739"/>
    <w:rsid w:val="00C27190"/>
    <w:rsid w:val="00C27F5A"/>
    <w:rsid w:val="00C3058C"/>
    <w:rsid w:val="00C31153"/>
    <w:rsid w:val="00C33158"/>
    <w:rsid w:val="00C35782"/>
    <w:rsid w:val="00C455D3"/>
    <w:rsid w:val="00C456D5"/>
    <w:rsid w:val="00C4632A"/>
    <w:rsid w:val="00C47B0E"/>
    <w:rsid w:val="00C531E8"/>
    <w:rsid w:val="00C540D9"/>
    <w:rsid w:val="00C55987"/>
    <w:rsid w:val="00C568CA"/>
    <w:rsid w:val="00C6082D"/>
    <w:rsid w:val="00C6543C"/>
    <w:rsid w:val="00C675B0"/>
    <w:rsid w:val="00C67D96"/>
    <w:rsid w:val="00C71D20"/>
    <w:rsid w:val="00C71FCE"/>
    <w:rsid w:val="00C77CF6"/>
    <w:rsid w:val="00C808EA"/>
    <w:rsid w:val="00C816A7"/>
    <w:rsid w:val="00C81810"/>
    <w:rsid w:val="00C82B6A"/>
    <w:rsid w:val="00C84853"/>
    <w:rsid w:val="00C85951"/>
    <w:rsid w:val="00C8647E"/>
    <w:rsid w:val="00C86E03"/>
    <w:rsid w:val="00C877A1"/>
    <w:rsid w:val="00C87857"/>
    <w:rsid w:val="00C9060A"/>
    <w:rsid w:val="00C91CB1"/>
    <w:rsid w:val="00C941EE"/>
    <w:rsid w:val="00C94821"/>
    <w:rsid w:val="00C96A3F"/>
    <w:rsid w:val="00CA1901"/>
    <w:rsid w:val="00CA1DD2"/>
    <w:rsid w:val="00CA281E"/>
    <w:rsid w:val="00CA3FBC"/>
    <w:rsid w:val="00CA53EF"/>
    <w:rsid w:val="00CA567E"/>
    <w:rsid w:val="00CA5C40"/>
    <w:rsid w:val="00CB00C7"/>
    <w:rsid w:val="00CB173A"/>
    <w:rsid w:val="00CB3251"/>
    <w:rsid w:val="00CB3DA7"/>
    <w:rsid w:val="00CB3E42"/>
    <w:rsid w:val="00CB452C"/>
    <w:rsid w:val="00CB4E47"/>
    <w:rsid w:val="00CB54F2"/>
    <w:rsid w:val="00CC1C09"/>
    <w:rsid w:val="00CC2213"/>
    <w:rsid w:val="00CC4952"/>
    <w:rsid w:val="00CC5261"/>
    <w:rsid w:val="00CC7453"/>
    <w:rsid w:val="00CC7F91"/>
    <w:rsid w:val="00CD0B90"/>
    <w:rsid w:val="00CD0BA3"/>
    <w:rsid w:val="00CD0DFB"/>
    <w:rsid w:val="00CD29B0"/>
    <w:rsid w:val="00CD35D9"/>
    <w:rsid w:val="00CD3910"/>
    <w:rsid w:val="00CD5CDF"/>
    <w:rsid w:val="00CD761F"/>
    <w:rsid w:val="00CE0E04"/>
    <w:rsid w:val="00CE5A4C"/>
    <w:rsid w:val="00CE5B5F"/>
    <w:rsid w:val="00CE5D71"/>
    <w:rsid w:val="00CE65C8"/>
    <w:rsid w:val="00CE698B"/>
    <w:rsid w:val="00CE7291"/>
    <w:rsid w:val="00CF1195"/>
    <w:rsid w:val="00CF5A99"/>
    <w:rsid w:val="00CF5FAF"/>
    <w:rsid w:val="00CF6249"/>
    <w:rsid w:val="00CF6CDD"/>
    <w:rsid w:val="00CF6D85"/>
    <w:rsid w:val="00D00ACF"/>
    <w:rsid w:val="00D01934"/>
    <w:rsid w:val="00D0255F"/>
    <w:rsid w:val="00D02A6B"/>
    <w:rsid w:val="00D1249D"/>
    <w:rsid w:val="00D126BB"/>
    <w:rsid w:val="00D13B5C"/>
    <w:rsid w:val="00D1423C"/>
    <w:rsid w:val="00D17D28"/>
    <w:rsid w:val="00D213D0"/>
    <w:rsid w:val="00D21D1A"/>
    <w:rsid w:val="00D229B8"/>
    <w:rsid w:val="00D255A9"/>
    <w:rsid w:val="00D306A3"/>
    <w:rsid w:val="00D31EA7"/>
    <w:rsid w:val="00D34DFA"/>
    <w:rsid w:val="00D35026"/>
    <w:rsid w:val="00D35BF2"/>
    <w:rsid w:val="00D37446"/>
    <w:rsid w:val="00D37618"/>
    <w:rsid w:val="00D37625"/>
    <w:rsid w:val="00D37F65"/>
    <w:rsid w:val="00D400DC"/>
    <w:rsid w:val="00D40454"/>
    <w:rsid w:val="00D42648"/>
    <w:rsid w:val="00D445CC"/>
    <w:rsid w:val="00D44AA7"/>
    <w:rsid w:val="00D4730C"/>
    <w:rsid w:val="00D47F12"/>
    <w:rsid w:val="00D52733"/>
    <w:rsid w:val="00D53635"/>
    <w:rsid w:val="00D54216"/>
    <w:rsid w:val="00D548C6"/>
    <w:rsid w:val="00D55AB4"/>
    <w:rsid w:val="00D576D4"/>
    <w:rsid w:val="00D61910"/>
    <w:rsid w:val="00D637AB"/>
    <w:rsid w:val="00D63BCE"/>
    <w:rsid w:val="00D64933"/>
    <w:rsid w:val="00D64CFF"/>
    <w:rsid w:val="00D653FF"/>
    <w:rsid w:val="00D65457"/>
    <w:rsid w:val="00D657C3"/>
    <w:rsid w:val="00D65D46"/>
    <w:rsid w:val="00D6746D"/>
    <w:rsid w:val="00D72410"/>
    <w:rsid w:val="00D72BB0"/>
    <w:rsid w:val="00D73AFC"/>
    <w:rsid w:val="00D74E4C"/>
    <w:rsid w:val="00D75765"/>
    <w:rsid w:val="00D802CA"/>
    <w:rsid w:val="00D80B05"/>
    <w:rsid w:val="00D81384"/>
    <w:rsid w:val="00D81544"/>
    <w:rsid w:val="00D817C7"/>
    <w:rsid w:val="00D83470"/>
    <w:rsid w:val="00D84972"/>
    <w:rsid w:val="00D84CA8"/>
    <w:rsid w:val="00D85838"/>
    <w:rsid w:val="00D85C06"/>
    <w:rsid w:val="00D86513"/>
    <w:rsid w:val="00D866F0"/>
    <w:rsid w:val="00D87714"/>
    <w:rsid w:val="00D96B21"/>
    <w:rsid w:val="00D970E5"/>
    <w:rsid w:val="00DA15E4"/>
    <w:rsid w:val="00DA40F6"/>
    <w:rsid w:val="00DA484A"/>
    <w:rsid w:val="00DA5D13"/>
    <w:rsid w:val="00DA6A25"/>
    <w:rsid w:val="00DB01A6"/>
    <w:rsid w:val="00DB09BA"/>
    <w:rsid w:val="00DB5D64"/>
    <w:rsid w:val="00DB6EC2"/>
    <w:rsid w:val="00DC0173"/>
    <w:rsid w:val="00DC2AAC"/>
    <w:rsid w:val="00DC3B04"/>
    <w:rsid w:val="00DC4455"/>
    <w:rsid w:val="00DC46F4"/>
    <w:rsid w:val="00DC5926"/>
    <w:rsid w:val="00DC700E"/>
    <w:rsid w:val="00DD2806"/>
    <w:rsid w:val="00DD39F5"/>
    <w:rsid w:val="00DD5D55"/>
    <w:rsid w:val="00DD6D30"/>
    <w:rsid w:val="00DD7020"/>
    <w:rsid w:val="00DD70BA"/>
    <w:rsid w:val="00DD7E34"/>
    <w:rsid w:val="00DE1D71"/>
    <w:rsid w:val="00DE2032"/>
    <w:rsid w:val="00DF1B0C"/>
    <w:rsid w:val="00DF310E"/>
    <w:rsid w:val="00DF474A"/>
    <w:rsid w:val="00E006C4"/>
    <w:rsid w:val="00E00841"/>
    <w:rsid w:val="00E011DB"/>
    <w:rsid w:val="00E02FA9"/>
    <w:rsid w:val="00E05711"/>
    <w:rsid w:val="00E05B27"/>
    <w:rsid w:val="00E1013E"/>
    <w:rsid w:val="00E11076"/>
    <w:rsid w:val="00E1223A"/>
    <w:rsid w:val="00E13161"/>
    <w:rsid w:val="00E13871"/>
    <w:rsid w:val="00E14889"/>
    <w:rsid w:val="00E17397"/>
    <w:rsid w:val="00E21A15"/>
    <w:rsid w:val="00E21E16"/>
    <w:rsid w:val="00E22288"/>
    <w:rsid w:val="00E254DB"/>
    <w:rsid w:val="00E27130"/>
    <w:rsid w:val="00E33AE7"/>
    <w:rsid w:val="00E33CD2"/>
    <w:rsid w:val="00E34934"/>
    <w:rsid w:val="00E34A00"/>
    <w:rsid w:val="00E35326"/>
    <w:rsid w:val="00E35600"/>
    <w:rsid w:val="00E37A5B"/>
    <w:rsid w:val="00E4358F"/>
    <w:rsid w:val="00E43891"/>
    <w:rsid w:val="00E45CA2"/>
    <w:rsid w:val="00E461DF"/>
    <w:rsid w:val="00E474CC"/>
    <w:rsid w:val="00E479E2"/>
    <w:rsid w:val="00E52874"/>
    <w:rsid w:val="00E52F1E"/>
    <w:rsid w:val="00E53095"/>
    <w:rsid w:val="00E54FE9"/>
    <w:rsid w:val="00E54FEE"/>
    <w:rsid w:val="00E60075"/>
    <w:rsid w:val="00E60C5F"/>
    <w:rsid w:val="00E6115E"/>
    <w:rsid w:val="00E646BC"/>
    <w:rsid w:val="00E64925"/>
    <w:rsid w:val="00E6785C"/>
    <w:rsid w:val="00E706AD"/>
    <w:rsid w:val="00E70E66"/>
    <w:rsid w:val="00E712FA"/>
    <w:rsid w:val="00E715E1"/>
    <w:rsid w:val="00E729DF"/>
    <w:rsid w:val="00E72C49"/>
    <w:rsid w:val="00E7308B"/>
    <w:rsid w:val="00E7562C"/>
    <w:rsid w:val="00E75E54"/>
    <w:rsid w:val="00E8001C"/>
    <w:rsid w:val="00E8010E"/>
    <w:rsid w:val="00E80DCB"/>
    <w:rsid w:val="00E827A2"/>
    <w:rsid w:val="00E83F68"/>
    <w:rsid w:val="00E84A2C"/>
    <w:rsid w:val="00E85EF5"/>
    <w:rsid w:val="00E86167"/>
    <w:rsid w:val="00E86B1C"/>
    <w:rsid w:val="00E86BD0"/>
    <w:rsid w:val="00E87030"/>
    <w:rsid w:val="00E9362C"/>
    <w:rsid w:val="00E94B6F"/>
    <w:rsid w:val="00E94D79"/>
    <w:rsid w:val="00EA01AD"/>
    <w:rsid w:val="00EA324A"/>
    <w:rsid w:val="00EA33B3"/>
    <w:rsid w:val="00EA34C0"/>
    <w:rsid w:val="00EA434D"/>
    <w:rsid w:val="00EA4B74"/>
    <w:rsid w:val="00EA5FB0"/>
    <w:rsid w:val="00EA5FBA"/>
    <w:rsid w:val="00EA6761"/>
    <w:rsid w:val="00EB399F"/>
    <w:rsid w:val="00EB53C9"/>
    <w:rsid w:val="00EB579C"/>
    <w:rsid w:val="00EB5CF9"/>
    <w:rsid w:val="00EB69D1"/>
    <w:rsid w:val="00EC0146"/>
    <w:rsid w:val="00EC1728"/>
    <w:rsid w:val="00EC3E0C"/>
    <w:rsid w:val="00EC3E8A"/>
    <w:rsid w:val="00EC491C"/>
    <w:rsid w:val="00EC510A"/>
    <w:rsid w:val="00EC7022"/>
    <w:rsid w:val="00ED01EF"/>
    <w:rsid w:val="00ED08BA"/>
    <w:rsid w:val="00ED50C6"/>
    <w:rsid w:val="00ED5BA4"/>
    <w:rsid w:val="00EE23F5"/>
    <w:rsid w:val="00EE49FC"/>
    <w:rsid w:val="00EE7C6A"/>
    <w:rsid w:val="00EE7F56"/>
    <w:rsid w:val="00EF1E1A"/>
    <w:rsid w:val="00EF1E87"/>
    <w:rsid w:val="00EF405C"/>
    <w:rsid w:val="00EF42E5"/>
    <w:rsid w:val="00EF4950"/>
    <w:rsid w:val="00EF62E0"/>
    <w:rsid w:val="00EF72D0"/>
    <w:rsid w:val="00F00106"/>
    <w:rsid w:val="00F0125B"/>
    <w:rsid w:val="00F02A13"/>
    <w:rsid w:val="00F03CB1"/>
    <w:rsid w:val="00F108FB"/>
    <w:rsid w:val="00F153A9"/>
    <w:rsid w:val="00F15878"/>
    <w:rsid w:val="00F2051C"/>
    <w:rsid w:val="00F206F8"/>
    <w:rsid w:val="00F2143C"/>
    <w:rsid w:val="00F26355"/>
    <w:rsid w:val="00F26D1E"/>
    <w:rsid w:val="00F2741E"/>
    <w:rsid w:val="00F31397"/>
    <w:rsid w:val="00F37AF9"/>
    <w:rsid w:val="00F41725"/>
    <w:rsid w:val="00F41889"/>
    <w:rsid w:val="00F436E0"/>
    <w:rsid w:val="00F44E07"/>
    <w:rsid w:val="00F45605"/>
    <w:rsid w:val="00F47962"/>
    <w:rsid w:val="00F47A5F"/>
    <w:rsid w:val="00F50635"/>
    <w:rsid w:val="00F50993"/>
    <w:rsid w:val="00F529F7"/>
    <w:rsid w:val="00F530D1"/>
    <w:rsid w:val="00F53261"/>
    <w:rsid w:val="00F53CE1"/>
    <w:rsid w:val="00F5456A"/>
    <w:rsid w:val="00F5488F"/>
    <w:rsid w:val="00F62201"/>
    <w:rsid w:val="00F63E1D"/>
    <w:rsid w:val="00F64B9B"/>
    <w:rsid w:val="00F70920"/>
    <w:rsid w:val="00F70DAC"/>
    <w:rsid w:val="00F71CAC"/>
    <w:rsid w:val="00F71FED"/>
    <w:rsid w:val="00F72BFD"/>
    <w:rsid w:val="00F751F1"/>
    <w:rsid w:val="00F75865"/>
    <w:rsid w:val="00F760D1"/>
    <w:rsid w:val="00F765F1"/>
    <w:rsid w:val="00F8153F"/>
    <w:rsid w:val="00F81D8D"/>
    <w:rsid w:val="00F8232B"/>
    <w:rsid w:val="00F82A37"/>
    <w:rsid w:val="00F8695E"/>
    <w:rsid w:val="00F879D1"/>
    <w:rsid w:val="00F90472"/>
    <w:rsid w:val="00F90F3C"/>
    <w:rsid w:val="00F918A4"/>
    <w:rsid w:val="00F918B8"/>
    <w:rsid w:val="00F93253"/>
    <w:rsid w:val="00F93513"/>
    <w:rsid w:val="00F94643"/>
    <w:rsid w:val="00F94BA9"/>
    <w:rsid w:val="00F956DB"/>
    <w:rsid w:val="00FA0DFD"/>
    <w:rsid w:val="00FA1126"/>
    <w:rsid w:val="00FA293A"/>
    <w:rsid w:val="00FA4636"/>
    <w:rsid w:val="00FA600F"/>
    <w:rsid w:val="00FA61E5"/>
    <w:rsid w:val="00FA6391"/>
    <w:rsid w:val="00FA6AD0"/>
    <w:rsid w:val="00FA758D"/>
    <w:rsid w:val="00FB0697"/>
    <w:rsid w:val="00FB161C"/>
    <w:rsid w:val="00FB1B21"/>
    <w:rsid w:val="00FB2660"/>
    <w:rsid w:val="00FB2EB9"/>
    <w:rsid w:val="00FB3534"/>
    <w:rsid w:val="00FB5E8C"/>
    <w:rsid w:val="00FB61B2"/>
    <w:rsid w:val="00FB6FC3"/>
    <w:rsid w:val="00FB7277"/>
    <w:rsid w:val="00FC1C6F"/>
    <w:rsid w:val="00FC4B5D"/>
    <w:rsid w:val="00FD0722"/>
    <w:rsid w:val="00FD2D06"/>
    <w:rsid w:val="00FD40F2"/>
    <w:rsid w:val="00FD4416"/>
    <w:rsid w:val="00FD56AF"/>
    <w:rsid w:val="00FD6283"/>
    <w:rsid w:val="00FD6F6A"/>
    <w:rsid w:val="00FD72A7"/>
    <w:rsid w:val="00FE09A5"/>
    <w:rsid w:val="00FE4D56"/>
    <w:rsid w:val="00FE709A"/>
    <w:rsid w:val="00FE7B01"/>
    <w:rsid w:val="00FF1CC2"/>
    <w:rsid w:val="00FF3BDF"/>
    <w:rsid w:val="00FF4CD8"/>
    <w:rsid w:val="00FF4E6E"/>
    <w:rsid w:val="00FF55C9"/>
    <w:rsid w:val="00FF61A7"/>
    <w:rsid w:val="00FF64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A749A"/>
  <w15:chartTrackingRefBased/>
  <w15:docId w15:val="{0F7F9911-A1F0-4BD8-A477-D003300BB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0A2"/>
    <w:pPr>
      <w:spacing w:after="0" w:line="240" w:lineRule="auto"/>
    </w:pPr>
    <w:rPr>
      <w:rFonts w:ascii="Times New Roman" w:eastAsia="Times New Roman" w:hAnsi="Times New Roman" w:cs="Times New Roman"/>
      <w:kern w:val="0"/>
      <w:sz w:val="24"/>
      <w:lang w:val="en-AU"/>
      <w14:ligatures w14:val="none"/>
    </w:rPr>
  </w:style>
  <w:style w:type="paragraph" w:styleId="Heading1">
    <w:name w:val="heading 1"/>
    <w:basedOn w:val="Normal"/>
    <w:next w:val="Normal"/>
    <w:link w:val="Heading1Char"/>
    <w:uiPriority w:val="9"/>
    <w:qFormat/>
    <w:rsid w:val="0078308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78308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78308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78308C"/>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78308C"/>
    <w:pPr>
      <w:keepNext/>
      <w:keepLines/>
      <w:spacing w:before="80" w:after="40"/>
      <w:outlineLvl w:val="4"/>
    </w:pPr>
    <w:rPr>
      <w:rFonts w:cstheme="majorBidi"/>
      <w:color w:val="0F4761" w:themeColor="accent1" w:themeShade="BF"/>
    </w:rPr>
  </w:style>
  <w:style w:type="paragraph" w:styleId="Heading6">
    <w:name w:val="heading 6"/>
    <w:basedOn w:val="Normal"/>
    <w:next w:val="Normal"/>
    <w:link w:val="Heading6Char"/>
    <w:uiPriority w:val="9"/>
    <w:semiHidden/>
    <w:unhideWhenUsed/>
    <w:qFormat/>
    <w:rsid w:val="0078308C"/>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78308C"/>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78308C"/>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78308C"/>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08C"/>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78308C"/>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78308C"/>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78308C"/>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78308C"/>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78308C"/>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78308C"/>
    <w:rPr>
      <w:rFonts w:cstheme="majorBidi"/>
      <w:b/>
      <w:bCs/>
      <w:color w:val="595959" w:themeColor="text1" w:themeTint="A6"/>
    </w:rPr>
  </w:style>
  <w:style w:type="character" w:customStyle="1" w:styleId="Heading8Char">
    <w:name w:val="Heading 8 Char"/>
    <w:basedOn w:val="DefaultParagraphFont"/>
    <w:link w:val="Heading8"/>
    <w:uiPriority w:val="9"/>
    <w:semiHidden/>
    <w:rsid w:val="0078308C"/>
    <w:rPr>
      <w:rFonts w:cstheme="majorBidi"/>
      <w:color w:val="595959" w:themeColor="text1" w:themeTint="A6"/>
    </w:rPr>
  </w:style>
  <w:style w:type="character" w:customStyle="1" w:styleId="Heading9Char">
    <w:name w:val="Heading 9 Char"/>
    <w:basedOn w:val="DefaultParagraphFont"/>
    <w:link w:val="Heading9"/>
    <w:uiPriority w:val="9"/>
    <w:semiHidden/>
    <w:rsid w:val="0078308C"/>
    <w:rPr>
      <w:rFonts w:eastAsiaTheme="majorEastAsia" w:cstheme="majorBidi"/>
      <w:color w:val="595959" w:themeColor="text1" w:themeTint="A6"/>
    </w:rPr>
  </w:style>
  <w:style w:type="paragraph" w:styleId="Title">
    <w:name w:val="Title"/>
    <w:basedOn w:val="Normal"/>
    <w:next w:val="Normal"/>
    <w:link w:val="TitleChar"/>
    <w:uiPriority w:val="10"/>
    <w:qFormat/>
    <w:rsid w:val="0078308C"/>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0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08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08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8308C"/>
    <w:pPr>
      <w:spacing w:before="160"/>
      <w:jc w:val="center"/>
    </w:pPr>
    <w:rPr>
      <w:i/>
      <w:iCs/>
      <w:color w:val="404040" w:themeColor="text1" w:themeTint="BF"/>
    </w:rPr>
  </w:style>
  <w:style w:type="character" w:customStyle="1" w:styleId="QuoteChar">
    <w:name w:val="Quote Char"/>
    <w:basedOn w:val="DefaultParagraphFont"/>
    <w:link w:val="Quote"/>
    <w:uiPriority w:val="29"/>
    <w:rsid w:val="0078308C"/>
    <w:rPr>
      <w:i/>
      <w:iCs/>
      <w:color w:val="404040" w:themeColor="text1" w:themeTint="BF"/>
    </w:rPr>
  </w:style>
  <w:style w:type="paragraph" w:styleId="ListParagraph">
    <w:name w:val="List Paragraph"/>
    <w:basedOn w:val="Normal"/>
    <w:link w:val="ListParagraphChar"/>
    <w:uiPriority w:val="34"/>
    <w:qFormat/>
    <w:rsid w:val="0078308C"/>
    <w:pPr>
      <w:ind w:left="720"/>
      <w:contextualSpacing/>
    </w:pPr>
  </w:style>
  <w:style w:type="character" w:styleId="IntenseEmphasis">
    <w:name w:val="Intense Emphasis"/>
    <w:basedOn w:val="DefaultParagraphFont"/>
    <w:uiPriority w:val="21"/>
    <w:qFormat/>
    <w:rsid w:val="0078308C"/>
    <w:rPr>
      <w:i/>
      <w:iCs/>
      <w:color w:val="0F4761" w:themeColor="accent1" w:themeShade="BF"/>
    </w:rPr>
  </w:style>
  <w:style w:type="paragraph" w:styleId="IntenseQuote">
    <w:name w:val="Intense Quote"/>
    <w:basedOn w:val="Normal"/>
    <w:next w:val="Normal"/>
    <w:link w:val="IntenseQuoteChar"/>
    <w:uiPriority w:val="30"/>
    <w:qFormat/>
    <w:rsid w:val="00783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08C"/>
    <w:rPr>
      <w:i/>
      <w:iCs/>
      <w:color w:val="0F4761" w:themeColor="accent1" w:themeShade="BF"/>
    </w:rPr>
  </w:style>
  <w:style w:type="character" w:styleId="IntenseReference">
    <w:name w:val="Intense Reference"/>
    <w:basedOn w:val="DefaultParagraphFont"/>
    <w:uiPriority w:val="32"/>
    <w:qFormat/>
    <w:rsid w:val="0078308C"/>
    <w:rPr>
      <w:b/>
      <w:bCs/>
      <w:smallCaps/>
      <w:color w:val="0F4761" w:themeColor="accent1" w:themeShade="BF"/>
      <w:spacing w:val="5"/>
    </w:rPr>
  </w:style>
  <w:style w:type="paragraph" w:styleId="Header">
    <w:name w:val="header"/>
    <w:basedOn w:val="Normal"/>
    <w:link w:val="HeaderChar"/>
    <w:uiPriority w:val="99"/>
    <w:unhideWhenUsed/>
    <w:rsid w:val="00494C65"/>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494C65"/>
    <w:rPr>
      <w:sz w:val="18"/>
      <w:szCs w:val="18"/>
    </w:rPr>
  </w:style>
  <w:style w:type="paragraph" w:styleId="Footer">
    <w:name w:val="footer"/>
    <w:basedOn w:val="Normal"/>
    <w:link w:val="FooterChar"/>
    <w:uiPriority w:val="99"/>
    <w:unhideWhenUsed/>
    <w:rsid w:val="00494C65"/>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494C65"/>
    <w:rPr>
      <w:sz w:val="18"/>
      <w:szCs w:val="18"/>
    </w:rPr>
  </w:style>
  <w:style w:type="character" w:styleId="CommentReference">
    <w:name w:val="annotation reference"/>
    <w:basedOn w:val="DefaultParagraphFont"/>
    <w:uiPriority w:val="99"/>
    <w:semiHidden/>
    <w:unhideWhenUsed/>
    <w:rsid w:val="00427662"/>
    <w:rPr>
      <w:sz w:val="21"/>
      <w:szCs w:val="21"/>
    </w:rPr>
  </w:style>
  <w:style w:type="paragraph" w:styleId="CommentText">
    <w:name w:val="annotation text"/>
    <w:basedOn w:val="Normal"/>
    <w:link w:val="CommentTextChar"/>
    <w:uiPriority w:val="99"/>
    <w:unhideWhenUsed/>
    <w:rsid w:val="00427662"/>
  </w:style>
  <w:style w:type="character" w:customStyle="1" w:styleId="CommentTextChar">
    <w:name w:val="Comment Text Char"/>
    <w:basedOn w:val="DefaultParagraphFont"/>
    <w:link w:val="CommentText"/>
    <w:uiPriority w:val="99"/>
    <w:rsid w:val="00427662"/>
  </w:style>
  <w:style w:type="paragraph" w:styleId="CommentSubject">
    <w:name w:val="annotation subject"/>
    <w:basedOn w:val="CommentText"/>
    <w:next w:val="CommentText"/>
    <w:link w:val="CommentSubjectChar"/>
    <w:uiPriority w:val="99"/>
    <w:semiHidden/>
    <w:unhideWhenUsed/>
    <w:rsid w:val="00427662"/>
    <w:rPr>
      <w:b/>
      <w:bCs/>
    </w:rPr>
  </w:style>
  <w:style w:type="character" w:customStyle="1" w:styleId="CommentSubjectChar">
    <w:name w:val="Comment Subject Char"/>
    <w:basedOn w:val="CommentTextChar"/>
    <w:link w:val="CommentSubject"/>
    <w:uiPriority w:val="99"/>
    <w:semiHidden/>
    <w:rsid w:val="00427662"/>
    <w:rPr>
      <w:b/>
      <w:bCs/>
    </w:rPr>
  </w:style>
  <w:style w:type="paragraph" w:styleId="BodyText">
    <w:name w:val="Body Text"/>
    <w:aliases w:val="Body text"/>
    <w:basedOn w:val="Normal"/>
    <w:link w:val="BodyTextChar"/>
    <w:qFormat/>
    <w:rsid w:val="00A90902"/>
    <w:pPr>
      <w:spacing w:after="120"/>
    </w:pPr>
    <w:rPr>
      <w:lang w:eastAsia="en-AU"/>
    </w:rPr>
  </w:style>
  <w:style w:type="character" w:customStyle="1" w:styleId="BodyTextChar">
    <w:name w:val="Body Text Char"/>
    <w:aliases w:val="Body text Char"/>
    <w:basedOn w:val="DefaultParagraphFont"/>
    <w:link w:val="BodyText"/>
    <w:rsid w:val="00A90902"/>
    <w:rPr>
      <w:rFonts w:ascii="Times New Roman" w:eastAsia="Times New Roman" w:hAnsi="Times New Roman" w:cs="Times New Roman"/>
      <w:kern w:val="0"/>
      <w:sz w:val="24"/>
      <w:lang w:val="en-AU" w:eastAsia="en-AU"/>
      <w14:ligatures w14:val="none"/>
    </w:rPr>
  </w:style>
  <w:style w:type="character" w:styleId="Hyperlink">
    <w:name w:val="Hyperlink"/>
    <w:basedOn w:val="DefaultParagraphFont"/>
    <w:uiPriority w:val="99"/>
    <w:unhideWhenUsed/>
    <w:rsid w:val="00EC3E0C"/>
    <w:rPr>
      <w:color w:val="467886"/>
      <w:u w:val="single"/>
    </w:rPr>
  </w:style>
  <w:style w:type="paragraph" w:customStyle="1" w:styleId="Bullet1stlevel">
    <w:name w:val="Bullet 1st level"/>
    <w:basedOn w:val="BodyText"/>
    <w:link w:val="Bullet1stlevelChar"/>
    <w:qFormat/>
    <w:rsid w:val="00463EE6"/>
    <w:pPr>
      <w:numPr>
        <w:numId w:val="2"/>
      </w:numPr>
      <w:spacing w:before="60" w:after="60" w:line="240" w:lineRule="atLeast"/>
    </w:pPr>
    <w:rPr>
      <w:rFonts w:ascii="Arial" w:eastAsia="Calibri" w:hAnsi="Arial"/>
      <w:sz w:val="20"/>
      <w:szCs w:val="22"/>
      <w:lang w:eastAsia="en-US"/>
    </w:rPr>
  </w:style>
  <w:style w:type="character" w:customStyle="1" w:styleId="Bullet1stlevelChar">
    <w:name w:val="Bullet 1st level Char"/>
    <w:link w:val="Bullet1stlevel"/>
    <w:locked/>
    <w:rsid w:val="00463EE6"/>
    <w:rPr>
      <w:rFonts w:ascii="Arial" w:eastAsia="Calibri" w:hAnsi="Arial" w:cs="Times New Roman"/>
      <w:kern w:val="0"/>
      <w:sz w:val="20"/>
      <w:szCs w:val="22"/>
      <w:lang w:val="en-AU" w:eastAsia="en-US"/>
      <w14:ligatures w14:val="none"/>
    </w:rPr>
  </w:style>
  <w:style w:type="paragraph" w:styleId="NormalWeb">
    <w:name w:val="Normal (Web)"/>
    <w:basedOn w:val="Normal"/>
    <w:uiPriority w:val="99"/>
    <w:semiHidden/>
    <w:unhideWhenUsed/>
    <w:rsid w:val="0056665C"/>
  </w:style>
  <w:style w:type="table" w:styleId="TableGrid">
    <w:name w:val="Table Grid"/>
    <w:basedOn w:val="TableNormal"/>
    <w:uiPriority w:val="39"/>
    <w:rsid w:val="00AA46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B5B81"/>
    <w:pPr>
      <w:widowControl w:val="0"/>
      <w:autoSpaceDE w:val="0"/>
      <w:autoSpaceDN w:val="0"/>
      <w:adjustRightInd w:val="0"/>
      <w:spacing w:after="0" w:line="240" w:lineRule="auto"/>
    </w:pPr>
    <w:rPr>
      <w:rFonts w:ascii="Calibri" w:eastAsia="Times New Roman" w:hAnsi="Calibri" w:cs="Calibri"/>
      <w:color w:val="000000"/>
      <w:kern w:val="0"/>
      <w:sz w:val="24"/>
      <w:lang w:val="en-CA" w:eastAsia="en-CA"/>
      <w14:ligatures w14:val="none"/>
    </w:rPr>
  </w:style>
  <w:style w:type="paragraph" w:customStyle="1" w:styleId="EndNoteBibliographyTitle">
    <w:name w:val="EndNote Bibliography Title"/>
    <w:basedOn w:val="Normal"/>
    <w:link w:val="EndNoteBibliographyTitle0"/>
    <w:rsid w:val="005E5BC8"/>
    <w:pPr>
      <w:jc w:val="center"/>
    </w:pPr>
    <w:rPr>
      <w:rFonts w:ascii="DengXian" w:eastAsia="DengXian" w:hAnsi="DengXian"/>
      <w:noProof/>
    </w:rPr>
  </w:style>
  <w:style w:type="character" w:customStyle="1" w:styleId="ListParagraphChar">
    <w:name w:val="List Paragraph Char"/>
    <w:basedOn w:val="DefaultParagraphFont"/>
    <w:link w:val="ListParagraph"/>
    <w:uiPriority w:val="34"/>
    <w:rsid w:val="005E5BC8"/>
  </w:style>
  <w:style w:type="character" w:customStyle="1" w:styleId="EndNoteBibliographyTitle0">
    <w:name w:val="EndNote Bibliography Title 字符"/>
    <w:basedOn w:val="ListParagraphChar"/>
    <w:link w:val="EndNoteBibliographyTitle"/>
    <w:rsid w:val="005E5BC8"/>
    <w:rPr>
      <w:rFonts w:ascii="DengXian" w:eastAsia="DengXian" w:hAnsi="DengXian"/>
      <w:noProof/>
    </w:rPr>
  </w:style>
  <w:style w:type="paragraph" w:customStyle="1" w:styleId="EndNoteBibliography">
    <w:name w:val="EndNote Bibliography"/>
    <w:basedOn w:val="Normal"/>
    <w:link w:val="EndNoteBibliography0"/>
    <w:rsid w:val="005E5BC8"/>
    <w:rPr>
      <w:rFonts w:ascii="DengXian" w:eastAsia="DengXian" w:hAnsi="DengXian"/>
      <w:noProof/>
    </w:rPr>
  </w:style>
  <w:style w:type="character" w:customStyle="1" w:styleId="EndNoteBibliography0">
    <w:name w:val="EndNote Bibliography 字符"/>
    <w:basedOn w:val="ListParagraphChar"/>
    <w:link w:val="EndNoteBibliography"/>
    <w:rsid w:val="005E5BC8"/>
    <w:rPr>
      <w:rFonts w:ascii="DengXian" w:eastAsia="DengXian" w:hAnsi="DengXian"/>
      <w:noProof/>
    </w:rPr>
  </w:style>
  <w:style w:type="table" w:styleId="GridTable1Light">
    <w:name w:val="Grid Table 1 Light"/>
    <w:basedOn w:val="TableNormal"/>
    <w:uiPriority w:val="46"/>
    <w:rsid w:val="003D198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8267">
      <w:bodyDiv w:val="1"/>
      <w:marLeft w:val="0"/>
      <w:marRight w:val="0"/>
      <w:marTop w:val="0"/>
      <w:marBottom w:val="0"/>
      <w:divBdr>
        <w:top w:val="none" w:sz="0" w:space="0" w:color="auto"/>
        <w:left w:val="none" w:sz="0" w:space="0" w:color="auto"/>
        <w:bottom w:val="none" w:sz="0" w:space="0" w:color="auto"/>
        <w:right w:val="none" w:sz="0" w:space="0" w:color="auto"/>
      </w:divBdr>
      <w:divsChild>
        <w:div w:id="715737296">
          <w:marLeft w:val="0"/>
          <w:marRight w:val="0"/>
          <w:marTop w:val="0"/>
          <w:marBottom w:val="0"/>
          <w:divBdr>
            <w:top w:val="none" w:sz="0" w:space="0" w:color="auto"/>
            <w:left w:val="none" w:sz="0" w:space="0" w:color="auto"/>
            <w:bottom w:val="none" w:sz="0" w:space="0" w:color="auto"/>
            <w:right w:val="none" w:sz="0" w:space="0" w:color="auto"/>
          </w:divBdr>
          <w:divsChild>
            <w:div w:id="1425027637">
              <w:marLeft w:val="0"/>
              <w:marRight w:val="0"/>
              <w:marTop w:val="0"/>
              <w:marBottom w:val="0"/>
              <w:divBdr>
                <w:top w:val="none" w:sz="0" w:space="0" w:color="auto"/>
                <w:left w:val="none" w:sz="0" w:space="0" w:color="auto"/>
                <w:bottom w:val="none" w:sz="0" w:space="0" w:color="auto"/>
                <w:right w:val="none" w:sz="0" w:space="0" w:color="auto"/>
              </w:divBdr>
              <w:divsChild>
                <w:div w:id="1284000922">
                  <w:marLeft w:val="0"/>
                  <w:marRight w:val="0"/>
                  <w:marTop w:val="0"/>
                  <w:marBottom w:val="0"/>
                  <w:divBdr>
                    <w:top w:val="none" w:sz="0" w:space="0" w:color="auto"/>
                    <w:left w:val="none" w:sz="0" w:space="0" w:color="auto"/>
                    <w:bottom w:val="none" w:sz="0" w:space="0" w:color="auto"/>
                    <w:right w:val="none" w:sz="0" w:space="0" w:color="auto"/>
                  </w:divBdr>
                  <w:divsChild>
                    <w:div w:id="222254608">
                      <w:marLeft w:val="0"/>
                      <w:marRight w:val="0"/>
                      <w:marTop w:val="0"/>
                      <w:marBottom w:val="0"/>
                      <w:divBdr>
                        <w:top w:val="none" w:sz="0" w:space="0" w:color="auto"/>
                        <w:left w:val="none" w:sz="0" w:space="0" w:color="auto"/>
                        <w:bottom w:val="none" w:sz="0" w:space="0" w:color="auto"/>
                        <w:right w:val="none" w:sz="0" w:space="0" w:color="auto"/>
                      </w:divBdr>
                      <w:divsChild>
                        <w:div w:id="159004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27672">
      <w:bodyDiv w:val="1"/>
      <w:marLeft w:val="0"/>
      <w:marRight w:val="0"/>
      <w:marTop w:val="0"/>
      <w:marBottom w:val="0"/>
      <w:divBdr>
        <w:top w:val="none" w:sz="0" w:space="0" w:color="auto"/>
        <w:left w:val="none" w:sz="0" w:space="0" w:color="auto"/>
        <w:bottom w:val="none" w:sz="0" w:space="0" w:color="auto"/>
        <w:right w:val="none" w:sz="0" w:space="0" w:color="auto"/>
      </w:divBdr>
    </w:div>
    <w:div w:id="10955193">
      <w:bodyDiv w:val="1"/>
      <w:marLeft w:val="0"/>
      <w:marRight w:val="0"/>
      <w:marTop w:val="0"/>
      <w:marBottom w:val="0"/>
      <w:divBdr>
        <w:top w:val="none" w:sz="0" w:space="0" w:color="auto"/>
        <w:left w:val="none" w:sz="0" w:space="0" w:color="auto"/>
        <w:bottom w:val="none" w:sz="0" w:space="0" w:color="auto"/>
        <w:right w:val="none" w:sz="0" w:space="0" w:color="auto"/>
      </w:divBdr>
    </w:div>
    <w:div w:id="22875456">
      <w:bodyDiv w:val="1"/>
      <w:marLeft w:val="0"/>
      <w:marRight w:val="0"/>
      <w:marTop w:val="0"/>
      <w:marBottom w:val="0"/>
      <w:divBdr>
        <w:top w:val="none" w:sz="0" w:space="0" w:color="auto"/>
        <w:left w:val="none" w:sz="0" w:space="0" w:color="auto"/>
        <w:bottom w:val="none" w:sz="0" w:space="0" w:color="auto"/>
        <w:right w:val="none" w:sz="0" w:space="0" w:color="auto"/>
      </w:divBdr>
    </w:div>
    <w:div w:id="63915792">
      <w:bodyDiv w:val="1"/>
      <w:marLeft w:val="0"/>
      <w:marRight w:val="0"/>
      <w:marTop w:val="0"/>
      <w:marBottom w:val="0"/>
      <w:divBdr>
        <w:top w:val="none" w:sz="0" w:space="0" w:color="auto"/>
        <w:left w:val="none" w:sz="0" w:space="0" w:color="auto"/>
        <w:bottom w:val="none" w:sz="0" w:space="0" w:color="auto"/>
        <w:right w:val="none" w:sz="0" w:space="0" w:color="auto"/>
      </w:divBdr>
    </w:div>
    <w:div w:id="89132085">
      <w:bodyDiv w:val="1"/>
      <w:marLeft w:val="0"/>
      <w:marRight w:val="0"/>
      <w:marTop w:val="0"/>
      <w:marBottom w:val="0"/>
      <w:divBdr>
        <w:top w:val="none" w:sz="0" w:space="0" w:color="auto"/>
        <w:left w:val="none" w:sz="0" w:space="0" w:color="auto"/>
        <w:bottom w:val="none" w:sz="0" w:space="0" w:color="auto"/>
        <w:right w:val="none" w:sz="0" w:space="0" w:color="auto"/>
      </w:divBdr>
    </w:div>
    <w:div w:id="100270859">
      <w:bodyDiv w:val="1"/>
      <w:marLeft w:val="0"/>
      <w:marRight w:val="0"/>
      <w:marTop w:val="0"/>
      <w:marBottom w:val="0"/>
      <w:divBdr>
        <w:top w:val="none" w:sz="0" w:space="0" w:color="auto"/>
        <w:left w:val="none" w:sz="0" w:space="0" w:color="auto"/>
        <w:bottom w:val="none" w:sz="0" w:space="0" w:color="auto"/>
        <w:right w:val="none" w:sz="0" w:space="0" w:color="auto"/>
      </w:divBdr>
    </w:div>
    <w:div w:id="103577239">
      <w:bodyDiv w:val="1"/>
      <w:marLeft w:val="0"/>
      <w:marRight w:val="0"/>
      <w:marTop w:val="0"/>
      <w:marBottom w:val="0"/>
      <w:divBdr>
        <w:top w:val="none" w:sz="0" w:space="0" w:color="auto"/>
        <w:left w:val="none" w:sz="0" w:space="0" w:color="auto"/>
        <w:bottom w:val="none" w:sz="0" w:space="0" w:color="auto"/>
        <w:right w:val="none" w:sz="0" w:space="0" w:color="auto"/>
      </w:divBdr>
    </w:div>
    <w:div w:id="108473845">
      <w:bodyDiv w:val="1"/>
      <w:marLeft w:val="0"/>
      <w:marRight w:val="0"/>
      <w:marTop w:val="0"/>
      <w:marBottom w:val="0"/>
      <w:divBdr>
        <w:top w:val="none" w:sz="0" w:space="0" w:color="auto"/>
        <w:left w:val="none" w:sz="0" w:space="0" w:color="auto"/>
        <w:bottom w:val="none" w:sz="0" w:space="0" w:color="auto"/>
        <w:right w:val="none" w:sz="0" w:space="0" w:color="auto"/>
      </w:divBdr>
    </w:div>
    <w:div w:id="109596233">
      <w:bodyDiv w:val="1"/>
      <w:marLeft w:val="0"/>
      <w:marRight w:val="0"/>
      <w:marTop w:val="0"/>
      <w:marBottom w:val="0"/>
      <w:divBdr>
        <w:top w:val="none" w:sz="0" w:space="0" w:color="auto"/>
        <w:left w:val="none" w:sz="0" w:space="0" w:color="auto"/>
        <w:bottom w:val="none" w:sz="0" w:space="0" w:color="auto"/>
        <w:right w:val="none" w:sz="0" w:space="0" w:color="auto"/>
      </w:divBdr>
    </w:div>
    <w:div w:id="113523084">
      <w:bodyDiv w:val="1"/>
      <w:marLeft w:val="0"/>
      <w:marRight w:val="0"/>
      <w:marTop w:val="0"/>
      <w:marBottom w:val="0"/>
      <w:divBdr>
        <w:top w:val="none" w:sz="0" w:space="0" w:color="auto"/>
        <w:left w:val="none" w:sz="0" w:space="0" w:color="auto"/>
        <w:bottom w:val="none" w:sz="0" w:space="0" w:color="auto"/>
        <w:right w:val="none" w:sz="0" w:space="0" w:color="auto"/>
      </w:divBdr>
      <w:divsChild>
        <w:div w:id="610867218">
          <w:marLeft w:val="0"/>
          <w:marRight w:val="0"/>
          <w:marTop w:val="0"/>
          <w:marBottom w:val="0"/>
          <w:divBdr>
            <w:top w:val="none" w:sz="0" w:space="0" w:color="auto"/>
            <w:left w:val="none" w:sz="0" w:space="0" w:color="auto"/>
            <w:bottom w:val="none" w:sz="0" w:space="0" w:color="auto"/>
            <w:right w:val="none" w:sz="0" w:space="0" w:color="auto"/>
          </w:divBdr>
          <w:divsChild>
            <w:div w:id="1811703743">
              <w:marLeft w:val="0"/>
              <w:marRight w:val="0"/>
              <w:marTop w:val="0"/>
              <w:marBottom w:val="0"/>
              <w:divBdr>
                <w:top w:val="none" w:sz="0" w:space="0" w:color="auto"/>
                <w:left w:val="none" w:sz="0" w:space="0" w:color="auto"/>
                <w:bottom w:val="none" w:sz="0" w:space="0" w:color="auto"/>
                <w:right w:val="none" w:sz="0" w:space="0" w:color="auto"/>
              </w:divBdr>
              <w:divsChild>
                <w:div w:id="1441339253">
                  <w:marLeft w:val="0"/>
                  <w:marRight w:val="0"/>
                  <w:marTop w:val="0"/>
                  <w:marBottom w:val="0"/>
                  <w:divBdr>
                    <w:top w:val="none" w:sz="0" w:space="0" w:color="auto"/>
                    <w:left w:val="none" w:sz="0" w:space="0" w:color="auto"/>
                    <w:bottom w:val="none" w:sz="0" w:space="0" w:color="auto"/>
                    <w:right w:val="none" w:sz="0" w:space="0" w:color="auto"/>
                  </w:divBdr>
                  <w:divsChild>
                    <w:div w:id="1005788147">
                      <w:marLeft w:val="0"/>
                      <w:marRight w:val="0"/>
                      <w:marTop w:val="0"/>
                      <w:marBottom w:val="0"/>
                      <w:divBdr>
                        <w:top w:val="none" w:sz="0" w:space="0" w:color="auto"/>
                        <w:left w:val="none" w:sz="0" w:space="0" w:color="auto"/>
                        <w:bottom w:val="none" w:sz="0" w:space="0" w:color="auto"/>
                        <w:right w:val="none" w:sz="0" w:space="0" w:color="auto"/>
                      </w:divBdr>
                      <w:divsChild>
                        <w:div w:id="166227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253376">
      <w:bodyDiv w:val="1"/>
      <w:marLeft w:val="0"/>
      <w:marRight w:val="0"/>
      <w:marTop w:val="0"/>
      <w:marBottom w:val="0"/>
      <w:divBdr>
        <w:top w:val="none" w:sz="0" w:space="0" w:color="auto"/>
        <w:left w:val="none" w:sz="0" w:space="0" w:color="auto"/>
        <w:bottom w:val="none" w:sz="0" w:space="0" w:color="auto"/>
        <w:right w:val="none" w:sz="0" w:space="0" w:color="auto"/>
      </w:divBdr>
      <w:divsChild>
        <w:div w:id="1155150945">
          <w:marLeft w:val="0"/>
          <w:marRight w:val="0"/>
          <w:marTop w:val="0"/>
          <w:marBottom w:val="0"/>
          <w:divBdr>
            <w:top w:val="none" w:sz="0" w:space="0" w:color="auto"/>
            <w:left w:val="none" w:sz="0" w:space="0" w:color="auto"/>
            <w:bottom w:val="none" w:sz="0" w:space="0" w:color="auto"/>
            <w:right w:val="none" w:sz="0" w:space="0" w:color="auto"/>
          </w:divBdr>
          <w:divsChild>
            <w:div w:id="840200218">
              <w:marLeft w:val="0"/>
              <w:marRight w:val="0"/>
              <w:marTop w:val="0"/>
              <w:marBottom w:val="0"/>
              <w:divBdr>
                <w:top w:val="none" w:sz="0" w:space="0" w:color="auto"/>
                <w:left w:val="none" w:sz="0" w:space="0" w:color="auto"/>
                <w:bottom w:val="none" w:sz="0" w:space="0" w:color="auto"/>
                <w:right w:val="none" w:sz="0" w:space="0" w:color="auto"/>
              </w:divBdr>
              <w:divsChild>
                <w:div w:id="1592229054">
                  <w:marLeft w:val="0"/>
                  <w:marRight w:val="0"/>
                  <w:marTop w:val="0"/>
                  <w:marBottom w:val="0"/>
                  <w:divBdr>
                    <w:top w:val="none" w:sz="0" w:space="0" w:color="auto"/>
                    <w:left w:val="none" w:sz="0" w:space="0" w:color="auto"/>
                    <w:bottom w:val="none" w:sz="0" w:space="0" w:color="auto"/>
                    <w:right w:val="none" w:sz="0" w:space="0" w:color="auto"/>
                  </w:divBdr>
                  <w:divsChild>
                    <w:div w:id="1748310286">
                      <w:marLeft w:val="0"/>
                      <w:marRight w:val="0"/>
                      <w:marTop w:val="0"/>
                      <w:marBottom w:val="0"/>
                      <w:divBdr>
                        <w:top w:val="none" w:sz="0" w:space="0" w:color="auto"/>
                        <w:left w:val="none" w:sz="0" w:space="0" w:color="auto"/>
                        <w:bottom w:val="none" w:sz="0" w:space="0" w:color="auto"/>
                        <w:right w:val="none" w:sz="0" w:space="0" w:color="auto"/>
                      </w:divBdr>
                      <w:divsChild>
                        <w:div w:id="282004487">
                          <w:marLeft w:val="0"/>
                          <w:marRight w:val="0"/>
                          <w:marTop w:val="0"/>
                          <w:marBottom w:val="0"/>
                          <w:divBdr>
                            <w:top w:val="none" w:sz="0" w:space="0" w:color="auto"/>
                            <w:left w:val="none" w:sz="0" w:space="0" w:color="auto"/>
                            <w:bottom w:val="none" w:sz="0" w:space="0" w:color="auto"/>
                            <w:right w:val="none" w:sz="0" w:space="0" w:color="auto"/>
                          </w:divBdr>
                          <w:divsChild>
                            <w:div w:id="1419601310">
                              <w:marLeft w:val="0"/>
                              <w:marRight w:val="0"/>
                              <w:marTop w:val="0"/>
                              <w:marBottom w:val="0"/>
                              <w:divBdr>
                                <w:top w:val="none" w:sz="0" w:space="0" w:color="auto"/>
                                <w:left w:val="none" w:sz="0" w:space="0" w:color="auto"/>
                                <w:bottom w:val="none" w:sz="0" w:space="0" w:color="auto"/>
                                <w:right w:val="none" w:sz="0" w:space="0" w:color="auto"/>
                              </w:divBdr>
                              <w:divsChild>
                                <w:div w:id="946891452">
                                  <w:marLeft w:val="0"/>
                                  <w:marRight w:val="0"/>
                                  <w:marTop w:val="0"/>
                                  <w:marBottom w:val="0"/>
                                  <w:divBdr>
                                    <w:top w:val="none" w:sz="0" w:space="0" w:color="auto"/>
                                    <w:left w:val="none" w:sz="0" w:space="0" w:color="auto"/>
                                    <w:bottom w:val="none" w:sz="0" w:space="0" w:color="auto"/>
                                    <w:right w:val="none" w:sz="0" w:space="0" w:color="auto"/>
                                  </w:divBdr>
                                  <w:divsChild>
                                    <w:div w:id="44704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705499">
                      <w:marLeft w:val="0"/>
                      <w:marRight w:val="0"/>
                      <w:marTop w:val="0"/>
                      <w:marBottom w:val="0"/>
                      <w:divBdr>
                        <w:top w:val="none" w:sz="0" w:space="0" w:color="auto"/>
                        <w:left w:val="none" w:sz="0" w:space="0" w:color="auto"/>
                        <w:bottom w:val="none" w:sz="0" w:space="0" w:color="auto"/>
                        <w:right w:val="none" w:sz="0" w:space="0" w:color="auto"/>
                      </w:divBdr>
                      <w:divsChild>
                        <w:div w:id="96824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727585">
      <w:bodyDiv w:val="1"/>
      <w:marLeft w:val="0"/>
      <w:marRight w:val="0"/>
      <w:marTop w:val="0"/>
      <w:marBottom w:val="0"/>
      <w:divBdr>
        <w:top w:val="none" w:sz="0" w:space="0" w:color="auto"/>
        <w:left w:val="none" w:sz="0" w:space="0" w:color="auto"/>
        <w:bottom w:val="none" w:sz="0" w:space="0" w:color="auto"/>
        <w:right w:val="none" w:sz="0" w:space="0" w:color="auto"/>
      </w:divBdr>
      <w:divsChild>
        <w:div w:id="774905902">
          <w:marLeft w:val="0"/>
          <w:marRight w:val="0"/>
          <w:marTop w:val="0"/>
          <w:marBottom w:val="0"/>
          <w:divBdr>
            <w:top w:val="none" w:sz="0" w:space="0" w:color="auto"/>
            <w:left w:val="none" w:sz="0" w:space="0" w:color="auto"/>
            <w:bottom w:val="none" w:sz="0" w:space="0" w:color="auto"/>
            <w:right w:val="none" w:sz="0" w:space="0" w:color="auto"/>
          </w:divBdr>
          <w:divsChild>
            <w:div w:id="800346656">
              <w:marLeft w:val="0"/>
              <w:marRight w:val="0"/>
              <w:marTop w:val="0"/>
              <w:marBottom w:val="0"/>
              <w:divBdr>
                <w:top w:val="none" w:sz="0" w:space="0" w:color="auto"/>
                <w:left w:val="none" w:sz="0" w:space="0" w:color="auto"/>
                <w:bottom w:val="none" w:sz="0" w:space="0" w:color="auto"/>
                <w:right w:val="none" w:sz="0" w:space="0" w:color="auto"/>
              </w:divBdr>
              <w:divsChild>
                <w:div w:id="758673160">
                  <w:marLeft w:val="0"/>
                  <w:marRight w:val="0"/>
                  <w:marTop w:val="0"/>
                  <w:marBottom w:val="0"/>
                  <w:divBdr>
                    <w:top w:val="none" w:sz="0" w:space="0" w:color="auto"/>
                    <w:left w:val="none" w:sz="0" w:space="0" w:color="auto"/>
                    <w:bottom w:val="none" w:sz="0" w:space="0" w:color="auto"/>
                    <w:right w:val="none" w:sz="0" w:space="0" w:color="auto"/>
                  </w:divBdr>
                  <w:divsChild>
                    <w:div w:id="716274551">
                      <w:marLeft w:val="0"/>
                      <w:marRight w:val="0"/>
                      <w:marTop w:val="0"/>
                      <w:marBottom w:val="0"/>
                      <w:divBdr>
                        <w:top w:val="none" w:sz="0" w:space="0" w:color="auto"/>
                        <w:left w:val="none" w:sz="0" w:space="0" w:color="auto"/>
                        <w:bottom w:val="none" w:sz="0" w:space="0" w:color="auto"/>
                        <w:right w:val="none" w:sz="0" w:space="0" w:color="auto"/>
                      </w:divBdr>
                      <w:divsChild>
                        <w:div w:id="1301575142">
                          <w:marLeft w:val="0"/>
                          <w:marRight w:val="0"/>
                          <w:marTop w:val="0"/>
                          <w:marBottom w:val="0"/>
                          <w:divBdr>
                            <w:top w:val="none" w:sz="0" w:space="0" w:color="auto"/>
                            <w:left w:val="none" w:sz="0" w:space="0" w:color="auto"/>
                            <w:bottom w:val="none" w:sz="0" w:space="0" w:color="auto"/>
                            <w:right w:val="none" w:sz="0" w:space="0" w:color="auto"/>
                          </w:divBdr>
                          <w:divsChild>
                            <w:div w:id="820851027">
                              <w:marLeft w:val="0"/>
                              <w:marRight w:val="0"/>
                              <w:marTop w:val="0"/>
                              <w:marBottom w:val="0"/>
                              <w:divBdr>
                                <w:top w:val="none" w:sz="0" w:space="0" w:color="auto"/>
                                <w:left w:val="none" w:sz="0" w:space="0" w:color="auto"/>
                                <w:bottom w:val="none" w:sz="0" w:space="0" w:color="auto"/>
                                <w:right w:val="none" w:sz="0" w:space="0" w:color="auto"/>
                              </w:divBdr>
                              <w:divsChild>
                                <w:div w:id="7761368">
                                  <w:marLeft w:val="0"/>
                                  <w:marRight w:val="0"/>
                                  <w:marTop w:val="0"/>
                                  <w:marBottom w:val="0"/>
                                  <w:divBdr>
                                    <w:top w:val="none" w:sz="0" w:space="0" w:color="auto"/>
                                    <w:left w:val="none" w:sz="0" w:space="0" w:color="auto"/>
                                    <w:bottom w:val="none" w:sz="0" w:space="0" w:color="auto"/>
                                    <w:right w:val="none" w:sz="0" w:space="0" w:color="auto"/>
                                  </w:divBdr>
                                  <w:divsChild>
                                    <w:div w:id="45995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768095">
                      <w:marLeft w:val="0"/>
                      <w:marRight w:val="0"/>
                      <w:marTop w:val="0"/>
                      <w:marBottom w:val="0"/>
                      <w:divBdr>
                        <w:top w:val="none" w:sz="0" w:space="0" w:color="auto"/>
                        <w:left w:val="none" w:sz="0" w:space="0" w:color="auto"/>
                        <w:bottom w:val="none" w:sz="0" w:space="0" w:color="auto"/>
                        <w:right w:val="none" w:sz="0" w:space="0" w:color="auto"/>
                      </w:divBdr>
                      <w:divsChild>
                        <w:div w:id="69897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10916">
      <w:bodyDiv w:val="1"/>
      <w:marLeft w:val="0"/>
      <w:marRight w:val="0"/>
      <w:marTop w:val="0"/>
      <w:marBottom w:val="0"/>
      <w:divBdr>
        <w:top w:val="none" w:sz="0" w:space="0" w:color="auto"/>
        <w:left w:val="none" w:sz="0" w:space="0" w:color="auto"/>
        <w:bottom w:val="none" w:sz="0" w:space="0" w:color="auto"/>
        <w:right w:val="none" w:sz="0" w:space="0" w:color="auto"/>
      </w:divBdr>
    </w:div>
    <w:div w:id="124545924">
      <w:bodyDiv w:val="1"/>
      <w:marLeft w:val="0"/>
      <w:marRight w:val="0"/>
      <w:marTop w:val="0"/>
      <w:marBottom w:val="0"/>
      <w:divBdr>
        <w:top w:val="none" w:sz="0" w:space="0" w:color="auto"/>
        <w:left w:val="none" w:sz="0" w:space="0" w:color="auto"/>
        <w:bottom w:val="none" w:sz="0" w:space="0" w:color="auto"/>
        <w:right w:val="none" w:sz="0" w:space="0" w:color="auto"/>
      </w:divBdr>
    </w:div>
    <w:div w:id="130102463">
      <w:bodyDiv w:val="1"/>
      <w:marLeft w:val="0"/>
      <w:marRight w:val="0"/>
      <w:marTop w:val="0"/>
      <w:marBottom w:val="0"/>
      <w:divBdr>
        <w:top w:val="none" w:sz="0" w:space="0" w:color="auto"/>
        <w:left w:val="none" w:sz="0" w:space="0" w:color="auto"/>
        <w:bottom w:val="none" w:sz="0" w:space="0" w:color="auto"/>
        <w:right w:val="none" w:sz="0" w:space="0" w:color="auto"/>
      </w:divBdr>
    </w:div>
    <w:div w:id="155464206">
      <w:bodyDiv w:val="1"/>
      <w:marLeft w:val="0"/>
      <w:marRight w:val="0"/>
      <w:marTop w:val="0"/>
      <w:marBottom w:val="0"/>
      <w:divBdr>
        <w:top w:val="none" w:sz="0" w:space="0" w:color="auto"/>
        <w:left w:val="none" w:sz="0" w:space="0" w:color="auto"/>
        <w:bottom w:val="none" w:sz="0" w:space="0" w:color="auto"/>
        <w:right w:val="none" w:sz="0" w:space="0" w:color="auto"/>
      </w:divBdr>
    </w:div>
    <w:div w:id="159388023">
      <w:bodyDiv w:val="1"/>
      <w:marLeft w:val="0"/>
      <w:marRight w:val="0"/>
      <w:marTop w:val="0"/>
      <w:marBottom w:val="0"/>
      <w:divBdr>
        <w:top w:val="none" w:sz="0" w:space="0" w:color="auto"/>
        <w:left w:val="none" w:sz="0" w:space="0" w:color="auto"/>
        <w:bottom w:val="none" w:sz="0" w:space="0" w:color="auto"/>
        <w:right w:val="none" w:sz="0" w:space="0" w:color="auto"/>
      </w:divBdr>
    </w:div>
    <w:div w:id="159781345">
      <w:bodyDiv w:val="1"/>
      <w:marLeft w:val="0"/>
      <w:marRight w:val="0"/>
      <w:marTop w:val="0"/>
      <w:marBottom w:val="0"/>
      <w:divBdr>
        <w:top w:val="none" w:sz="0" w:space="0" w:color="auto"/>
        <w:left w:val="none" w:sz="0" w:space="0" w:color="auto"/>
        <w:bottom w:val="none" w:sz="0" w:space="0" w:color="auto"/>
        <w:right w:val="none" w:sz="0" w:space="0" w:color="auto"/>
      </w:divBdr>
    </w:div>
    <w:div w:id="162820313">
      <w:bodyDiv w:val="1"/>
      <w:marLeft w:val="0"/>
      <w:marRight w:val="0"/>
      <w:marTop w:val="0"/>
      <w:marBottom w:val="0"/>
      <w:divBdr>
        <w:top w:val="none" w:sz="0" w:space="0" w:color="auto"/>
        <w:left w:val="none" w:sz="0" w:space="0" w:color="auto"/>
        <w:bottom w:val="none" w:sz="0" w:space="0" w:color="auto"/>
        <w:right w:val="none" w:sz="0" w:space="0" w:color="auto"/>
      </w:divBdr>
    </w:div>
    <w:div w:id="163934383">
      <w:bodyDiv w:val="1"/>
      <w:marLeft w:val="0"/>
      <w:marRight w:val="0"/>
      <w:marTop w:val="0"/>
      <w:marBottom w:val="0"/>
      <w:divBdr>
        <w:top w:val="none" w:sz="0" w:space="0" w:color="auto"/>
        <w:left w:val="none" w:sz="0" w:space="0" w:color="auto"/>
        <w:bottom w:val="none" w:sz="0" w:space="0" w:color="auto"/>
        <w:right w:val="none" w:sz="0" w:space="0" w:color="auto"/>
      </w:divBdr>
    </w:div>
    <w:div w:id="170149517">
      <w:bodyDiv w:val="1"/>
      <w:marLeft w:val="0"/>
      <w:marRight w:val="0"/>
      <w:marTop w:val="0"/>
      <w:marBottom w:val="0"/>
      <w:divBdr>
        <w:top w:val="none" w:sz="0" w:space="0" w:color="auto"/>
        <w:left w:val="none" w:sz="0" w:space="0" w:color="auto"/>
        <w:bottom w:val="none" w:sz="0" w:space="0" w:color="auto"/>
        <w:right w:val="none" w:sz="0" w:space="0" w:color="auto"/>
      </w:divBdr>
    </w:div>
    <w:div w:id="185486720">
      <w:bodyDiv w:val="1"/>
      <w:marLeft w:val="0"/>
      <w:marRight w:val="0"/>
      <w:marTop w:val="0"/>
      <w:marBottom w:val="0"/>
      <w:divBdr>
        <w:top w:val="none" w:sz="0" w:space="0" w:color="auto"/>
        <w:left w:val="none" w:sz="0" w:space="0" w:color="auto"/>
        <w:bottom w:val="none" w:sz="0" w:space="0" w:color="auto"/>
        <w:right w:val="none" w:sz="0" w:space="0" w:color="auto"/>
      </w:divBdr>
      <w:divsChild>
        <w:div w:id="164757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187314">
      <w:bodyDiv w:val="1"/>
      <w:marLeft w:val="0"/>
      <w:marRight w:val="0"/>
      <w:marTop w:val="0"/>
      <w:marBottom w:val="0"/>
      <w:divBdr>
        <w:top w:val="none" w:sz="0" w:space="0" w:color="auto"/>
        <w:left w:val="none" w:sz="0" w:space="0" w:color="auto"/>
        <w:bottom w:val="none" w:sz="0" w:space="0" w:color="auto"/>
        <w:right w:val="none" w:sz="0" w:space="0" w:color="auto"/>
      </w:divBdr>
    </w:div>
    <w:div w:id="210730442">
      <w:bodyDiv w:val="1"/>
      <w:marLeft w:val="0"/>
      <w:marRight w:val="0"/>
      <w:marTop w:val="0"/>
      <w:marBottom w:val="0"/>
      <w:divBdr>
        <w:top w:val="none" w:sz="0" w:space="0" w:color="auto"/>
        <w:left w:val="none" w:sz="0" w:space="0" w:color="auto"/>
        <w:bottom w:val="none" w:sz="0" w:space="0" w:color="auto"/>
        <w:right w:val="none" w:sz="0" w:space="0" w:color="auto"/>
      </w:divBdr>
    </w:div>
    <w:div w:id="222758026">
      <w:bodyDiv w:val="1"/>
      <w:marLeft w:val="0"/>
      <w:marRight w:val="0"/>
      <w:marTop w:val="0"/>
      <w:marBottom w:val="0"/>
      <w:divBdr>
        <w:top w:val="none" w:sz="0" w:space="0" w:color="auto"/>
        <w:left w:val="none" w:sz="0" w:space="0" w:color="auto"/>
        <w:bottom w:val="none" w:sz="0" w:space="0" w:color="auto"/>
        <w:right w:val="none" w:sz="0" w:space="0" w:color="auto"/>
      </w:divBdr>
    </w:div>
    <w:div w:id="232398226">
      <w:bodyDiv w:val="1"/>
      <w:marLeft w:val="0"/>
      <w:marRight w:val="0"/>
      <w:marTop w:val="0"/>
      <w:marBottom w:val="0"/>
      <w:divBdr>
        <w:top w:val="none" w:sz="0" w:space="0" w:color="auto"/>
        <w:left w:val="none" w:sz="0" w:space="0" w:color="auto"/>
        <w:bottom w:val="none" w:sz="0" w:space="0" w:color="auto"/>
        <w:right w:val="none" w:sz="0" w:space="0" w:color="auto"/>
      </w:divBdr>
    </w:div>
    <w:div w:id="249966785">
      <w:bodyDiv w:val="1"/>
      <w:marLeft w:val="0"/>
      <w:marRight w:val="0"/>
      <w:marTop w:val="0"/>
      <w:marBottom w:val="0"/>
      <w:divBdr>
        <w:top w:val="none" w:sz="0" w:space="0" w:color="auto"/>
        <w:left w:val="none" w:sz="0" w:space="0" w:color="auto"/>
        <w:bottom w:val="none" w:sz="0" w:space="0" w:color="auto"/>
        <w:right w:val="none" w:sz="0" w:space="0" w:color="auto"/>
      </w:divBdr>
    </w:div>
    <w:div w:id="279191697">
      <w:bodyDiv w:val="1"/>
      <w:marLeft w:val="0"/>
      <w:marRight w:val="0"/>
      <w:marTop w:val="0"/>
      <w:marBottom w:val="0"/>
      <w:divBdr>
        <w:top w:val="none" w:sz="0" w:space="0" w:color="auto"/>
        <w:left w:val="none" w:sz="0" w:space="0" w:color="auto"/>
        <w:bottom w:val="none" w:sz="0" w:space="0" w:color="auto"/>
        <w:right w:val="none" w:sz="0" w:space="0" w:color="auto"/>
      </w:divBdr>
    </w:div>
    <w:div w:id="313024475">
      <w:bodyDiv w:val="1"/>
      <w:marLeft w:val="0"/>
      <w:marRight w:val="0"/>
      <w:marTop w:val="0"/>
      <w:marBottom w:val="0"/>
      <w:divBdr>
        <w:top w:val="none" w:sz="0" w:space="0" w:color="auto"/>
        <w:left w:val="none" w:sz="0" w:space="0" w:color="auto"/>
        <w:bottom w:val="none" w:sz="0" w:space="0" w:color="auto"/>
        <w:right w:val="none" w:sz="0" w:space="0" w:color="auto"/>
      </w:divBdr>
    </w:div>
    <w:div w:id="335425856">
      <w:bodyDiv w:val="1"/>
      <w:marLeft w:val="0"/>
      <w:marRight w:val="0"/>
      <w:marTop w:val="0"/>
      <w:marBottom w:val="0"/>
      <w:divBdr>
        <w:top w:val="none" w:sz="0" w:space="0" w:color="auto"/>
        <w:left w:val="none" w:sz="0" w:space="0" w:color="auto"/>
        <w:bottom w:val="none" w:sz="0" w:space="0" w:color="auto"/>
        <w:right w:val="none" w:sz="0" w:space="0" w:color="auto"/>
      </w:divBdr>
    </w:div>
    <w:div w:id="343433476">
      <w:bodyDiv w:val="1"/>
      <w:marLeft w:val="0"/>
      <w:marRight w:val="0"/>
      <w:marTop w:val="0"/>
      <w:marBottom w:val="0"/>
      <w:divBdr>
        <w:top w:val="none" w:sz="0" w:space="0" w:color="auto"/>
        <w:left w:val="none" w:sz="0" w:space="0" w:color="auto"/>
        <w:bottom w:val="none" w:sz="0" w:space="0" w:color="auto"/>
        <w:right w:val="none" w:sz="0" w:space="0" w:color="auto"/>
      </w:divBdr>
    </w:div>
    <w:div w:id="370348567">
      <w:bodyDiv w:val="1"/>
      <w:marLeft w:val="0"/>
      <w:marRight w:val="0"/>
      <w:marTop w:val="0"/>
      <w:marBottom w:val="0"/>
      <w:divBdr>
        <w:top w:val="none" w:sz="0" w:space="0" w:color="auto"/>
        <w:left w:val="none" w:sz="0" w:space="0" w:color="auto"/>
        <w:bottom w:val="none" w:sz="0" w:space="0" w:color="auto"/>
        <w:right w:val="none" w:sz="0" w:space="0" w:color="auto"/>
      </w:divBdr>
    </w:div>
    <w:div w:id="398479618">
      <w:bodyDiv w:val="1"/>
      <w:marLeft w:val="0"/>
      <w:marRight w:val="0"/>
      <w:marTop w:val="0"/>
      <w:marBottom w:val="0"/>
      <w:divBdr>
        <w:top w:val="none" w:sz="0" w:space="0" w:color="auto"/>
        <w:left w:val="none" w:sz="0" w:space="0" w:color="auto"/>
        <w:bottom w:val="none" w:sz="0" w:space="0" w:color="auto"/>
        <w:right w:val="none" w:sz="0" w:space="0" w:color="auto"/>
      </w:divBdr>
    </w:div>
    <w:div w:id="403140405">
      <w:bodyDiv w:val="1"/>
      <w:marLeft w:val="0"/>
      <w:marRight w:val="0"/>
      <w:marTop w:val="0"/>
      <w:marBottom w:val="0"/>
      <w:divBdr>
        <w:top w:val="none" w:sz="0" w:space="0" w:color="auto"/>
        <w:left w:val="none" w:sz="0" w:space="0" w:color="auto"/>
        <w:bottom w:val="none" w:sz="0" w:space="0" w:color="auto"/>
        <w:right w:val="none" w:sz="0" w:space="0" w:color="auto"/>
      </w:divBdr>
    </w:div>
    <w:div w:id="418525995">
      <w:bodyDiv w:val="1"/>
      <w:marLeft w:val="0"/>
      <w:marRight w:val="0"/>
      <w:marTop w:val="0"/>
      <w:marBottom w:val="0"/>
      <w:divBdr>
        <w:top w:val="none" w:sz="0" w:space="0" w:color="auto"/>
        <w:left w:val="none" w:sz="0" w:space="0" w:color="auto"/>
        <w:bottom w:val="none" w:sz="0" w:space="0" w:color="auto"/>
        <w:right w:val="none" w:sz="0" w:space="0" w:color="auto"/>
      </w:divBdr>
    </w:div>
    <w:div w:id="426930202">
      <w:bodyDiv w:val="1"/>
      <w:marLeft w:val="0"/>
      <w:marRight w:val="0"/>
      <w:marTop w:val="0"/>
      <w:marBottom w:val="0"/>
      <w:divBdr>
        <w:top w:val="none" w:sz="0" w:space="0" w:color="auto"/>
        <w:left w:val="none" w:sz="0" w:space="0" w:color="auto"/>
        <w:bottom w:val="none" w:sz="0" w:space="0" w:color="auto"/>
        <w:right w:val="none" w:sz="0" w:space="0" w:color="auto"/>
      </w:divBdr>
    </w:div>
    <w:div w:id="453795389">
      <w:bodyDiv w:val="1"/>
      <w:marLeft w:val="0"/>
      <w:marRight w:val="0"/>
      <w:marTop w:val="0"/>
      <w:marBottom w:val="0"/>
      <w:divBdr>
        <w:top w:val="none" w:sz="0" w:space="0" w:color="auto"/>
        <w:left w:val="none" w:sz="0" w:space="0" w:color="auto"/>
        <w:bottom w:val="none" w:sz="0" w:space="0" w:color="auto"/>
        <w:right w:val="none" w:sz="0" w:space="0" w:color="auto"/>
      </w:divBdr>
    </w:div>
    <w:div w:id="458376646">
      <w:bodyDiv w:val="1"/>
      <w:marLeft w:val="0"/>
      <w:marRight w:val="0"/>
      <w:marTop w:val="0"/>
      <w:marBottom w:val="0"/>
      <w:divBdr>
        <w:top w:val="none" w:sz="0" w:space="0" w:color="auto"/>
        <w:left w:val="none" w:sz="0" w:space="0" w:color="auto"/>
        <w:bottom w:val="none" w:sz="0" w:space="0" w:color="auto"/>
        <w:right w:val="none" w:sz="0" w:space="0" w:color="auto"/>
      </w:divBdr>
    </w:div>
    <w:div w:id="468788123">
      <w:bodyDiv w:val="1"/>
      <w:marLeft w:val="0"/>
      <w:marRight w:val="0"/>
      <w:marTop w:val="0"/>
      <w:marBottom w:val="0"/>
      <w:divBdr>
        <w:top w:val="none" w:sz="0" w:space="0" w:color="auto"/>
        <w:left w:val="none" w:sz="0" w:space="0" w:color="auto"/>
        <w:bottom w:val="none" w:sz="0" w:space="0" w:color="auto"/>
        <w:right w:val="none" w:sz="0" w:space="0" w:color="auto"/>
      </w:divBdr>
    </w:div>
    <w:div w:id="469372808">
      <w:bodyDiv w:val="1"/>
      <w:marLeft w:val="0"/>
      <w:marRight w:val="0"/>
      <w:marTop w:val="0"/>
      <w:marBottom w:val="0"/>
      <w:divBdr>
        <w:top w:val="none" w:sz="0" w:space="0" w:color="auto"/>
        <w:left w:val="none" w:sz="0" w:space="0" w:color="auto"/>
        <w:bottom w:val="none" w:sz="0" w:space="0" w:color="auto"/>
        <w:right w:val="none" w:sz="0" w:space="0" w:color="auto"/>
      </w:divBdr>
    </w:div>
    <w:div w:id="471873946">
      <w:bodyDiv w:val="1"/>
      <w:marLeft w:val="0"/>
      <w:marRight w:val="0"/>
      <w:marTop w:val="0"/>
      <w:marBottom w:val="0"/>
      <w:divBdr>
        <w:top w:val="none" w:sz="0" w:space="0" w:color="auto"/>
        <w:left w:val="none" w:sz="0" w:space="0" w:color="auto"/>
        <w:bottom w:val="none" w:sz="0" w:space="0" w:color="auto"/>
        <w:right w:val="none" w:sz="0" w:space="0" w:color="auto"/>
      </w:divBdr>
    </w:div>
    <w:div w:id="491335189">
      <w:bodyDiv w:val="1"/>
      <w:marLeft w:val="0"/>
      <w:marRight w:val="0"/>
      <w:marTop w:val="0"/>
      <w:marBottom w:val="0"/>
      <w:divBdr>
        <w:top w:val="none" w:sz="0" w:space="0" w:color="auto"/>
        <w:left w:val="none" w:sz="0" w:space="0" w:color="auto"/>
        <w:bottom w:val="none" w:sz="0" w:space="0" w:color="auto"/>
        <w:right w:val="none" w:sz="0" w:space="0" w:color="auto"/>
      </w:divBdr>
    </w:div>
    <w:div w:id="493497984">
      <w:bodyDiv w:val="1"/>
      <w:marLeft w:val="0"/>
      <w:marRight w:val="0"/>
      <w:marTop w:val="0"/>
      <w:marBottom w:val="0"/>
      <w:divBdr>
        <w:top w:val="none" w:sz="0" w:space="0" w:color="auto"/>
        <w:left w:val="none" w:sz="0" w:space="0" w:color="auto"/>
        <w:bottom w:val="none" w:sz="0" w:space="0" w:color="auto"/>
        <w:right w:val="none" w:sz="0" w:space="0" w:color="auto"/>
      </w:divBdr>
    </w:div>
    <w:div w:id="523204469">
      <w:bodyDiv w:val="1"/>
      <w:marLeft w:val="0"/>
      <w:marRight w:val="0"/>
      <w:marTop w:val="0"/>
      <w:marBottom w:val="0"/>
      <w:divBdr>
        <w:top w:val="none" w:sz="0" w:space="0" w:color="auto"/>
        <w:left w:val="none" w:sz="0" w:space="0" w:color="auto"/>
        <w:bottom w:val="none" w:sz="0" w:space="0" w:color="auto"/>
        <w:right w:val="none" w:sz="0" w:space="0" w:color="auto"/>
      </w:divBdr>
    </w:div>
    <w:div w:id="525295089">
      <w:bodyDiv w:val="1"/>
      <w:marLeft w:val="0"/>
      <w:marRight w:val="0"/>
      <w:marTop w:val="0"/>
      <w:marBottom w:val="0"/>
      <w:divBdr>
        <w:top w:val="none" w:sz="0" w:space="0" w:color="auto"/>
        <w:left w:val="none" w:sz="0" w:space="0" w:color="auto"/>
        <w:bottom w:val="none" w:sz="0" w:space="0" w:color="auto"/>
        <w:right w:val="none" w:sz="0" w:space="0" w:color="auto"/>
      </w:divBdr>
    </w:div>
    <w:div w:id="532763577">
      <w:bodyDiv w:val="1"/>
      <w:marLeft w:val="0"/>
      <w:marRight w:val="0"/>
      <w:marTop w:val="0"/>
      <w:marBottom w:val="0"/>
      <w:divBdr>
        <w:top w:val="none" w:sz="0" w:space="0" w:color="auto"/>
        <w:left w:val="none" w:sz="0" w:space="0" w:color="auto"/>
        <w:bottom w:val="none" w:sz="0" w:space="0" w:color="auto"/>
        <w:right w:val="none" w:sz="0" w:space="0" w:color="auto"/>
      </w:divBdr>
    </w:div>
    <w:div w:id="534776983">
      <w:bodyDiv w:val="1"/>
      <w:marLeft w:val="0"/>
      <w:marRight w:val="0"/>
      <w:marTop w:val="0"/>
      <w:marBottom w:val="0"/>
      <w:divBdr>
        <w:top w:val="none" w:sz="0" w:space="0" w:color="auto"/>
        <w:left w:val="none" w:sz="0" w:space="0" w:color="auto"/>
        <w:bottom w:val="none" w:sz="0" w:space="0" w:color="auto"/>
        <w:right w:val="none" w:sz="0" w:space="0" w:color="auto"/>
      </w:divBdr>
    </w:div>
    <w:div w:id="548765426">
      <w:bodyDiv w:val="1"/>
      <w:marLeft w:val="0"/>
      <w:marRight w:val="0"/>
      <w:marTop w:val="0"/>
      <w:marBottom w:val="0"/>
      <w:divBdr>
        <w:top w:val="none" w:sz="0" w:space="0" w:color="auto"/>
        <w:left w:val="none" w:sz="0" w:space="0" w:color="auto"/>
        <w:bottom w:val="none" w:sz="0" w:space="0" w:color="auto"/>
        <w:right w:val="none" w:sz="0" w:space="0" w:color="auto"/>
      </w:divBdr>
    </w:div>
    <w:div w:id="551305487">
      <w:bodyDiv w:val="1"/>
      <w:marLeft w:val="0"/>
      <w:marRight w:val="0"/>
      <w:marTop w:val="0"/>
      <w:marBottom w:val="0"/>
      <w:divBdr>
        <w:top w:val="none" w:sz="0" w:space="0" w:color="auto"/>
        <w:left w:val="none" w:sz="0" w:space="0" w:color="auto"/>
        <w:bottom w:val="none" w:sz="0" w:space="0" w:color="auto"/>
        <w:right w:val="none" w:sz="0" w:space="0" w:color="auto"/>
      </w:divBdr>
    </w:div>
    <w:div w:id="582958277">
      <w:bodyDiv w:val="1"/>
      <w:marLeft w:val="0"/>
      <w:marRight w:val="0"/>
      <w:marTop w:val="0"/>
      <w:marBottom w:val="0"/>
      <w:divBdr>
        <w:top w:val="none" w:sz="0" w:space="0" w:color="auto"/>
        <w:left w:val="none" w:sz="0" w:space="0" w:color="auto"/>
        <w:bottom w:val="none" w:sz="0" w:space="0" w:color="auto"/>
        <w:right w:val="none" w:sz="0" w:space="0" w:color="auto"/>
      </w:divBdr>
    </w:div>
    <w:div w:id="602079236">
      <w:bodyDiv w:val="1"/>
      <w:marLeft w:val="0"/>
      <w:marRight w:val="0"/>
      <w:marTop w:val="0"/>
      <w:marBottom w:val="0"/>
      <w:divBdr>
        <w:top w:val="none" w:sz="0" w:space="0" w:color="auto"/>
        <w:left w:val="none" w:sz="0" w:space="0" w:color="auto"/>
        <w:bottom w:val="none" w:sz="0" w:space="0" w:color="auto"/>
        <w:right w:val="none" w:sz="0" w:space="0" w:color="auto"/>
      </w:divBdr>
    </w:div>
    <w:div w:id="607204748">
      <w:bodyDiv w:val="1"/>
      <w:marLeft w:val="0"/>
      <w:marRight w:val="0"/>
      <w:marTop w:val="0"/>
      <w:marBottom w:val="0"/>
      <w:divBdr>
        <w:top w:val="none" w:sz="0" w:space="0" w:color="auto"/>
        <w:left w:val="none" w:sz="0" w:space="0" w:color="auto"/>
        <w:bottom w:val="none" w:sz="0" w:space="0" w:color="auto"/>
        <w:right w:val="none" w:sz="0" w:space="0" w:color="auto"/>
      </w:divBdr>
    </w:div>
    <w:div w:id="616646748">
      <w:bodyDiv w:val="1"/>
      <w:marLeft w:val="0"/>
      <w:marRight w:val="0"/>
      <w:marTop w:val="0"/>
      <w:marBottom w:val="0"/>
      <w:divBdr>
        <w:top w:val="none" w:sz="0" w:space="0" w:color="auto"/>
        <w:left w:val="none" w:sz="0" w:space="0" w:color="auto"/>
        <w:bottom w:val="none" w:sz="0" w:space="0" w:color="auto"/>
        <w:right w:val="none" w:sz="0" w:space="0" w:color="auto"/>
      </w:divBdr>
    </w:div>
    <w:div w:id="624383344">
      <w:bodyDiv w:val="1"/>
      <w:marLeft w:val="0"/>
      <w:marRight w:val="0"/>
      <w:marTop w:val="0"/>
      <w:marBottom w:val="0"/>
      <w:divBdr>
        <w:top w:val="none" w:sz="0" w:space="0" w:color="auto"/>
        <w:left w:val="none" w:sz="0" w:space="0" w:color="auto"/>
        <w:bottom w:val="none" w:sz="0" w:space="0" w:color="auto"/>
        <w:right w:val="none" w:sz="0" w:space="0" w:color="auto"/>
      </w:divBdr>
    </w:div>
    <w:div w:id="634987625">
      <w:bodyDiv w:val="1"/>
      <w:marLeft w:val="0"/>
      <w:marRight w:val="0"/>
      <w:marTop w:val="0"/>
      <w:marBottom w:val="0"/>
      <w:divBdr>
        <w:top w:val="none" w:sz="0" w:space="0" w:color="auto"/>
        <w:left w:val="none" w:sz="0" w:space="0" w:color="auto"/>
        <w:bottom w:val="none" w:sz="0" w:space="0" w:color="auto"/>
        <w:right w:val="none" w:sz="0" w:space="0" w:color="auto"/>
      </w:divBdr>
    </w:div>
    <w:div w:id="643235909">
      <w:bodyDiv w:val="1"/>
      <w:marLeft w:val="0"/>
      <w:marRight w:val="0"/>
      <w:marTop w:val="0"/>
      <w:marBottom w:val="0"/>
      <w:divBdr>
        <w:top w:val="none" w:sz="0" w:space="0" w:color="auto"/>
        <w:left w:val="none" w:sz="0" w:space="0" w:color="auto"/>
        <w:bottom w:val="none" w:sz="0" w:space="0" w:color="auto"/>
        <w:right w:val="none" w:sz="0" w:space="0" w:color="auto"/>
      </w:divBdr>
    </w:div>
    <w:div w:id="644315417">
      <w:bodyDiv w:val="1"/>
      <w:marLeft w:val="0"/>
      <w:marRight w:val="0"/>
      <w:marTop w:val="0"/>
      <w:marBottom w:val="0"/>
      <w:divBdr>
        <w:top w:val="none" w:sz="0" w:space="0" w:color="auto"/>
        <w:left w:val="none" w:sz="0" w:space="0" w:color="auto"/>
        <w:bottom w:val="none" w:sz="0" w:space="0" w:color="auto"/>
        <w:right w:val="none" w:sz="0" w:space="0" w:color="auto"/>
      </w:divBdr>
    </w:div>
    <w:div w:id="645209613">
      <w:bodyDiv w:val="1"/>
      <w:marLeft w:val="0"/>
      <w:marRight w:val="0"/>
      <w:marTop w:val="0"/>
      <w:marBottom w:val="0"/>
      <w:divBdr>
        <w:top w:val="none" w:sz="0" w:space="0" w:color="auto"/>
        <w:left w:val="none" w:sz="0" w:space="0" w:color="auto"/>
        <w:bottom w:val="none" w:sz="0" w:space="0" w:color="auto"/>
        <w:right w:val="none" w:sz="0" w:space="0" w:color="auto"/>
      </w:divBdr>
    </w:div>
    <w:div w:id="657538167">
      <w:bodyDiv w:val="1"/>
      <w:marLeft w:val="0"/>
      <w:marRight w:val="0"/>
      <w:marTop w:val="0"/>
      <w:marBottom w:val="0"/>
      <w:divBdr>
        <w:top w:val="none" w:sz="0" w:space="0" w:color="auto"/>
        <w:left w:val="none" w:sz="0" w:space="0" w:color="auto"/>
        <w:bottom w:val="none" w:sz="0" w:space="0" w:color="auto"/>
        <w:right w:val="none" w:sz="0" w:space="0" w:color="auto"/>
      </w:divBdr>
    </w:div>
    <w:div w:id="661856256">
      <w:bodyDiv w:val="1"/>
      <w:marLeft w:val="0"/>
      <w:marRight w:val="0"/>
      <w:marTop w:val="0"/>
      <w:marBottom w:val="0"/>
      <w:divBdr>
        <w:top w:val="none" w:sz="0" w:space="0" w:color="auto"/>
        <w:left w:val="none" w:sz="0" w:space="0" w:color="auto"/>
        <w:bottom w:val="none" w:sz="0" w:space="0" w:color="auto"/>
        <w:right w:val="none" w:sz="0" w:space="0" w:color="auto"/>
      </w:divBdr>
    </w:div>
    <w:div w:id="682710863">
      <w:bodyDiv w:val="1"/>
      <w:marLeft w:val="0"/>
      <w:marRight w:val="0"/>
      <w:marTop w:val="0"/>
      <w:marBottom w:val="0"/>
      <w:divBdr>
        <w:top w:val="none" w:sz="0" w:space="0" w:color="auto"/>
        <w:left w:val="none" w:sz="0" w:space="0" w:color="auto"/>
        <w:bottom w:val="none" w:sz="0" w:space="0" w:color="auto"/>
        <w:right w:val="none" w:sz="0" w:space="0" w:color="auto"/>
      </w:divBdr>
    </w:div>
    <w:div w:id="690762737">
      <w:bodyDiv w:val="1"/>
      <w:marLeft w:val="0"/>
      <w:marRight w:val="0"/>
      <w:marTop w:val="0"/>
      <w:marBottom w:val="0"/>
      <w:divBdr>
        <w:top w:val="none" w:sz="0" w:space="0" w:color="auto"/>
        <w:left w:val="none" w:sz="0" w:space="0" w:color="auto"/>
        <w:bottom w:val="none" w:sz="0" w:space="0" w:color="auto"/>
        <w:right w:val="none" w:sz="0" w:space="0" w:color="auto"/>
      </w:divBdr>
    </w:div>
    <w:div w:id="715471658">
      <w:bodyDiv w:val="1"/>
      <w:marLeft w:val="0"/>
      <w:marRight w:val="0"/>
      <w:marTop w:val="0"/>
      <w:marBottom w:val="0"/>
      <w:divBdr>
        <w:top w:val="none" w:sz="0" w:space="0" w:color="auto"/>
        <w:left w:val="none" w:sz="0" w:space="0" w:color="auto"/>
        <w:bottom w:val="none" w:sz="0" w:space="0" w:color="auto"/>
        <w:right w:val="none" w:sz="0" w:space="0" w:color="auto"/>
      </w:divBdr>
    </w:div>
    <w:div w:id="719943604">
      <w:bodyDiv w:val="1"/>
      <w:marLeft w:val="0"/>
      <w:marRight w:val="0"/>
      <w:marTop w:val="0"/>
      <w:marBottom w:val="0"/>
      <w:divBdr>
        <w:top w:val="none" w:sz="0" w:space="0" w:color="auto"/>
        <w:left w:val="none" w:sz="0" w:space="0" w:color="auto"/>
        <w:bottom w:val="none" w:sz="0" w:space="0" w:color="auto"/>
        <w:right w:val="none" w:sz="0" w:space="0" w:color="auto"/>
      </w:divBdr>
    </w:div>
    <w:div w:id="725645714">
      <w:bodyDiv w:val="1"/>
      <w:marLeft w:val="0"/>
      <w:marRight w:val="0"/>
      <w:marTop w:val="0"/>
      <w:marBottom w:val="0"/>
      <w:divBdr>
        <w:top w:val="none" w:sz="0" w:space="0" w:color="auto"/>
        <w:left w:val="none" w:sz="0" w:space="0" w:color="auto"/>
        <w:bottom w:val="none" w:sz="0" w:space="0" w:color="auto"/>
        <w:right w:val="none" w:sz="0" w:space="0" w:color="auto"/>
      </w:divBdr>
    </w:div>
    <w:div w:id="727150163">
      <w:bodyDiv w:val="1"/>
      <w:marLeft w:val="0"/>
      <w:marRight w:val="0"/>
      <w:marTop w:val="0"/>
      <w:marBottom w:val="0"/>
      <w:divBdr>
        <w:top w:val="none" w:sz="0" w:space="0" w:color="auto"/>
        <w:left w:val="none" w:sz="0" w:space="0" w:color="auto"/>
        <w:bottom w:val="none" w:sz="0" w:space="0" w:color="auto"/>
        <w:right w:val="none" w:sz="0" w:space="0" w:color="auto"/>
      </w:divBdr>
    </w:div>
    <w:div w:id="728387272">
      <w:bodyDiv w:val="1"/>
      <w:marLeft w:val="0"/>
      <w:marRight w:val="0"/>
      <w:marTop w:val="0"/>
      <w:marBottom w:val="0"/>
      <w:divBdr>
        <w:top w:val="none" w:sz="0" w:space="0" w:color="auto"/>
        <w:left w:val="none" w:sz="0" w:space="0" w:color="auto"/>
        <w:bottom w:val="none" w:sz="0" w:space="0" w:color="auto"/>
        <w:right w:val="none" w:sz="0" w:space="0" w:color="auto"/>
      </w:divBdr>
    </w:div>
    <w:div w:id="728655004">
      <w:bodyDiv w:val="1"/>
      <w:marLeft w:val="0"/>
      <w:marRight w:val="0"/>
      <w:marTop w:val="0"/>
      <w:marBottom w:val="0"/>
      <w:divBdr>
        <w:top w:val="none" w:sz="0" w:space="0" w:color="auto"/>
        <w:left w:val="none" w:sz="0" w:space="0" w:color="auto"/>
        <w:bottom w:val="none" w:sz="0" w:space="0" w:color="auto"/>
        <w:right w:val="none" w:sz="0" w:space="0" w:color="auto"/>
      </w:divBdr>
    </w:div>
    <w:div w:id="732194928">
      <w:bodyDiv w:val="1"/>
      <w:marLeft w:val="0"/>
      <w:marRight w:val="0"/>
      <w:marTop w:val="0"/>
      <w:marBottom w:val="0"/>
      <w:divBdr>
        <w:top w:val="none" w:sz="0" w:space="0" w:color="auto"/>
        <w:left w:val="none" w:sz="0" w:space="0" w:color="auto"/>
        <w:bottom w:val="none" w:sz="0" w:space="0" w:color="auto"/>
        <w:right w:val="none" w:sz="0" w:space="0" w:color="auto"/>
      </w:divBdr>
    </w:div>
    <w:div w:id="746224354">
      <w:bodyDiv w:val="1"/>
      <w:marLeft w:val="0"/>
      <w:marRight w:val="0"/>
      <w:marTop w:val="0"/>
      <w:marBottom w:val="0"/>
      <w:divBdr>
        <w:top w:val="none" w:sz="0" w:space="0" w:color="auto"/>
        <w:left w:val="none" w:sz="0" w:space="0" w:color="auto"/>
        <w:bottom w:val="none" w:sz="0" w:space="0" w:color="auto"/>
        <w:right w:val="none" w:sz="0" w:space="0" w:color="auto"/>
      </w:divBdr>
    </w:div>
    <w:div w:id="752823445">
      <w:bodyDiv w:val="1"/>
      <w:marLeft w:val="0"/>
      <w:marRight w:val="0"/>
      <w:marTop w:val="0"/>
      <w:marBottom w:val="0"/>
      <w:divBdr>
        <w:top w:val="none" w:sz="0" w:space="0" w:color="auto"/>
        <w:left w:val="none" w:sz="0" w:space="0" w:color="auto"/>
        <w:bottom w:val="none" w:sz="0" w:space="0" w:color="auto"/>
        <w:right w:val="none" w:sz="0" w:space="0" w:color="auto"/>
      </w:divBdr>
    </w:div>
    <w:div w:id="763454239">
      <w:bodyDiv w:val="1"/>
      <w:marLeft w:val="0"/>
      <w:marRight w:val="0"/>
      <w:marTop w:val="0"/>
      <w:marBottom w:val="0"/>
      <w:divBdr>
        <w:top w:val="none" w:sz="0" w:space="0" w:color="auto"/>
        <w:left w:val="none" w:sz="0" w:space="0" w:color="auto"/>
        <w:bottom w:val="none" w:sz="0" w:space="0" w:color="auto"/>
        <w:right w:val="none" w:sz="0" w:space="0" w:color="auto"/>
      </w:divBdr>
    </w:div>
    <w:div w:id="775560870">
      <w:bodyDiv w:val="1"/>
      <w:marLeft w:val="0"/>
      <w:marRight w:val="0"/>
      <w:marTop w:val="0"/>
      <w:marBottom w:val="0"/>
      <w:divBdr>
        <w:top w:val="none" w:sz="0" w:space="0" w:color="auto"/>
        <w:left w:val="none" w:sz="0" w:space="0" w:color="auto"/>
        <w:bottom w:val="none" w:sz="0" w:space="0" w:color="auto"/>
        <w:right w:val="none" w:sz="0" w:space="0" w:color="auto"/>
      </w:divBdr>
    </w:div>
    <w:div w:id="784692323">
      <w:bodyDiv w:val="1"/>
      <w:marLeft w:val="0"/>
      <w:marRight w:val="0"/>
      <w:marTop w:val="0"/>
      <w:marBottom w:val="0"/>
      <w:divBdr>
        <w:top w:val="none" w:sz="0" w:space="0" w:color="auto"/>
        <w:left w:val="none" w:sz="0" w:space="0" w:color="auto"/>
        <w:bottom w:val="none" w:sz="0" w:space="0" w:color="auto"/>
        <w:right w:val="none" w:sz="0" w:space="0" w:color="auto"/>
      </w:divBdr>
    </w:div>
    <w:div w:id="789594971">
      <w:bodyDiv w:val="1"/>
      <w:marLeft w:val="0"/>
      <w:marRight w:val="0"/>
      <w:marTop w:val="0"/>
      <w:marBottom w:val="0"/>
      <w:divBdr>
        <w:top w:val="none" w:sz="0" w:space="0" w:color="auto"/>
        <w:left w:val="none" w:sz="0" w:space="0" w:color="auto"/>
        <w:bottom w:val="none" w:sz="0" w:space="0" w:color="auto"/>
        <w:right w:val="none" w:sz="0" w:space="0" w:color="auto"/>
      </w:divBdr>
    </w:div>
    <w:div w:id="808478687">
      <w:bodyDiv w:val="1"/>
      <w:marLeft w:val="0"/>
      <w:marRight w:val="0"/>
      <w:marTop w:val="0"/>
      <w:marBottom w:val="0"/>
      <w:divBdr>
        <w:top w:val="none" w:sz="0" w:space="0" w:color="auto"/>
        <w:left w:val="none" w:sz="0" w:space="0" w:color="auto"/>
        <w:bottom w:val="none" w:sz="0" w:space="0" w:color="auto"/>
        <w:right w:val="none" w:sz="0" w:space="0" w:color="auto"/>
      </w:divBdr>
    </w:div>
    <w:div w:id="819887556">
      <w:bodyDiv w:val="1"/>
      <w:marLeft w:val="0"/>
      <w:marRight w:val="0"/>
      <w:marTop w:val="0"/>
      <w:marBottom w:val="0"/>
      <w:divBdr>
        <w:top w:val="none" w:sz="0" w:space="0" w:color="auto"/>
        <w:left w:val="none" w:sz="0" w:space="0" w:color="auto"/>
        <w:bottom w:val="none" w:sz="0" w:space="0" w:color="auto"/>
        <w:right w:val="none" w:sz="0" w:space="0" w:color="auto"/>
      </w:divBdr>
    </w:div>
    <w:div w:id="832641621">
      <w:bodyDiv w:val="1"/>
      <w:marLeft w:val="0"/>
      <w:marRight w:val="0"/>
      <w:marTop w:val="0"/>
      <w:marBottom w:val="0"/>
      <w:divBdr>
        <w:top w:val="none" w:sz="0" w:space="0" w:color="auto"/>
        <w:left w:val="none" w:sz="0" w:space="0" w:color="auto"/>
        <w:bottom w:val="none" w:sz="0" w:space="0" w:color="auto"/>
        <w:right w:val="none" w:sz="0" w:space="0" w:color="auto"/>
      </w:divBdr>
    </w:div>
    <w:div w:id="833647893">
      <w:bodyDiv w:val="1"/>
      <w:marLeft w:val="0"/>
      <w:marRight w:val="0"/>
      <w:marTop w:val="0"/>
      <w:marBottom w:val="0"/>
      <w:divBdr>
        <w:top w:val="none" w:sz="0" w:space="0" w:color="auto"/>
        <w:left w:val="none" w:sz="0" w:space="0" w:color="auto"/>
        <w:bottom w:val="none" w:sz="0" w:space="0" w:color="auto"/>
        <w:right w:val="none" w:sz="0" w:space="0" w:color="auto"/>
      </w:divBdr>
    </w:div>
    <w:div w:id="863178626">
      <w:bodyDiv w:val="1"/>
      <w:marLeft w:val="0"/>
      <w:marRight w:val="0"/>
      <w:marTop w:val="0"/>
      <w:marBottom w:val="0"/>
      <w:divBdr>
        <w:top w:val="none" w:sz="0" w:space="0" w:color="auto"/>
        <w:left w:val="none" w:sz="0" w:space="0" w:color="auto"/>
        <w:bottom w:val="none" w:sz="0" w:space="0" w:color="auto"/>
        <w:right w:val="none" w:sz="0" w:space="0" w:color="auto"/>
      </w:divBdr>
    </w:div>
    <w:div w:id="869029457">
      <w:bodyDiv w:val="1"/>
      <w:marLeft w:val="0"/>
      <w:marRight w:val="0"/>
      <w:marTop w:val="0"/>
      <w:marBottom w:val="0"/>
      <w:divBdr>
        <w:top w:val="none" w:sz="0" w:space="0" w:color="auto"/>
        <w:left w:val="none" w:sz="0" w:space="0" w:color="auto"/>
        <w:bottom w:val="none" w:sz="0" w:space="0" w:color="auto"/>
        <w:right w:val="none" w:sz="0" w:space="0" w:color="auto"/>
      </w:divBdr>
    </w:div>
    <w:div w:id="874124934">
      <w:bodyDiv w:val="1"/>
      <w:marLeft w:val="0"/>
      <w:marRight w:val="0"/>
      <w:marTop w:val="0"/>
      <w:marBottom w:val="0"/>
      <w:divBdr>
        <w:top w:val="none" w:sz="0" w:space="0" w:color="auto"/>
        <w:left w:val="none" w:sz="0" w:space="0" w:color="auto"/>
        <w:bottom w:val="none" w:sz="0" w:space="0" w:color="auto"/>
        <w:right w:val="none" w:sz="0" w:space="0" w:color="auto"/>
      </w:divBdr>
    </w:div>
    <w:div w:id="912205299">
      <w:bodyDiv w:val="1"/>
      <w:marLeft w:val="0"/>
      <w:marRight w:val="0"/>
      <w:marTop w:val="0"/>
      <w:marBottom w:val="0"/>
      <w:divBdr>
        <w:top w:val="none" w:sz="0" w:space="0" w:color="auto"/>
        <w:left w:val="none" w:sz="0" w:space="0" w:color="auto"/>
        <w:bottom w:val="none" w:sz="0" w:space="0" w:color="auto"/>
        <w:right w:val="none" w:sz="0" w:space="0" w:color="auto"/>
      </w:divBdr>
    </w:div>
    <w:div w:id="928466808">
      <w:bodyDiv w:val="1"/>
      <w:marLeft w:val="0"/>
      <w:marRight w:val="0"/>
      <w:marTop w:val="0"/>
      <w:marBottom w:val="0"/>
      <w:divBdr>
        <w:top w:val="none" w:sz="0" w:space="0" w:color="auto"/>
        <w:left w:val="none" w:sz="0" w:space="0" w:color="auto"/>
        <w:bottom w:val="none" w:sz="0" w:space="0" w:color="auto"/>
        <w:right w:val="none" w:sz="0" w:space="0" w:color="auto"/>
      </w:divBdr>
    </w:div>
    <w:div w:id="929853232">
      <w:bodyDiv w:val="1"/>
      <w:marLeft w:val="0"/>
      <w:marRight w:val="0"/>
      <w:marTop w:val="0"/>
      <w:marBottom w:val="0"/>
      <w:divBdr>
        <w:top w:val="none" w:sz="0" w:space="0" w:color="auto"/>
        <w:left w:val="none" w:sz="0" w:space="0" w:color="auto"/>
        <w:bottom w:val="none" w:sz="0" w:space="0" w:color="auto"/>
        <w:right w:val="none" w:sz="0" w:space="0" w:color="auto"/>
      </w:divBdr>
    </w:div>
    <w:div w:id="935669542">
      <w:bodyDiv w:val="1"/>
      <w:marLeft w:val="0"/>
      <w:marRight w:val="0"/>
      <w:marTop w:val="0"/>
      <w:marBottom w:val="0"/>
      <w:divBdr>
        <w:top w:val="none" w:sz="0" w:space="0" w:color="auto"/>
        <w:left w:val="none" w:sz="0" w:space="0" w:color="auto"/>
        <w:bottom w:val="none" w:sz="0" w:space="0" w:color="auto"/>
        <w:right w:val="none" w:sz="0" w:space="0" w:color="auto"/>
      </w:divBdr>
    </w:div>
    <w:div w:id="942686082">
      <w:bodyDiv w:val="1"/>
      <w:marLeft w:val="0"/>
      <w:marRight w:val="0"/>
      <w:marTop w:val="0"/>
      <w:marBottom w:val="0"/>
      <w:divBdr>
        <w:top w:val="none" w:sz="0" w:space="0" w:color="auto"/>
        <w:left w:val="none" w:sz="0" w:space="0" w:color="auto"/>
        <w:bottom w:val="none" w:sz="0" w:space="0" w:color="auto"/>
        <w:right w:val="none" w:sz="0" w:space="0" w:color="auto"/>
      </w:divBdr>
    </w:div>
    <w:div w:id="944310061">
      <w:bodyDiv w:val="1"/>
      <w:marLeft w:val="0"/>
      <w:marRight w:val="0"/>
      <w:marTop w:val="0"/>
      <w:marBottom w:val="0"/>
      <w:divBdr>
        <w:top w:val="none" w:sz="0" w:space="0" w:color="auto"/>
        <w:left w:val="none" w:sz="0" w:space="0" w:color="auto"/>
        <w:bottom w:val="none" w:sz="0" w:space="0" w:color="auto"/>
        <w:right w:val="none" w:sz="0" w:space="0" w:color="auto"/>
      </w:divBdr>
    </w:div>
    <w:div w:id="973633880">
      <w:bodyDiv w:val="1"/>
      <w:marLeft w:val="0"/>
      <w:marRight w:val="0"/>
      <w:marTop w:val="0"/>
      <w:marBottom w:val="0"/>
      <w:divBdr>
        <w:top w:val="none" w:sz="0" w:space="0" w:color="auto"/>
        <w:left w:val="none" w:sz="0" w:space="0" w:color="auto"/>
        <w:bottom w:val="none" w:sz="0" w:space="0" w:color="auto"/>
        <w:right w:val="none" w:sz="0" w:space="0" w:color="auto"/>
      </w:divBdr>
    </w:div>
    <w:div w:id="979840929">
      <w:bodyDiv w:val="1"/>
      <w:marLeft w:val="0"/>
      <w:marRight w:val="0"/>
      <w:marTop w:val="0"/>
      <w:marBottom w:val="0"/>
      <w:divBdr>
        <w:top w:val="none" w:sz="0" w:space="0" w:color="auto"/>
        <w:left w:val="none" w:sz="0" w:space="0" w:color="auto"/>
        <w:bottom w:val="none" w:sz="0" w:space="0" w:color="auto"/>
        <w:right w:val="none" w:sz="0" w:space="0" w:color="auto"/>
      </w:divBdr>
      <w:divsChild>
        <w:div w:id="789586431">
          <w:marLeft w:val="0"/>
          <w:marRight w:val="0"/>
          <w:marTop w:val="0"/>
          <w:marBottom w:val="0"/>
          <w:divBdr>
            <w:top w:val="none" w:sz="0" w:space="0" w:color="auto"/>
            <w:left w:val="none" w:sz="0" w:space="0" w:color="auto"/>
            <w:bottom w:val="none" w:sz="0" w:space="0" w:color="auto"/>
            <w:right w:val="none" w:sz="0" w:space="0" w:color="auto"/>
          </w:divBdr>
          <w:divsChild>
            <w:div w:id="2135712452">
              <w:marLeft w:val="0"/>
              <w:marRight w:val="0"/>
              <w:marTop w:val="0"/>
              <w:marBottom w:val="0"/>
              <w:divBdr>
                <w:top w:val="none" w:sz="0" w:space="0" w:color="auto"/>
                <w:left w:val="none" w:sz="0" w:space="0" w:color="auto"/>
                <w:bottom w:val="none" w:sz="0" w:space="0" w:color="auto"/>
                <w:right w:val="none" w:sz="0" w:space="0" w:color="auto"/>
              </w:divBdr>
              <w:divsChild>
                <w:div w:id="2043239420">
                  <w:marLeft w:val="0"/>
                  <w:marRight w:val="0"/>
                  <w:marTop w:val="0"/>
                  <w:marBottom w:val="0"/>
                  <w:divBdr>
                    <w:top w:val="none" w:sz="0" w:space="0" w:color="auto"/>
                    <w:left w:val="none" w:sz="0" w:space="0" w:color="auto"/>
                    <w:bottom w:val="none" w:sz="0" w:space="0" w:color="auto"/>
                    <w:right w:val="none" w:sz="0" w:space="0" w:color="auto"/>
                  </w:divBdr>
                  <w:divsChild>
                    <w:div w:id="1935435973">
                      <w:marLeft w:val="0"/>
                      <w:marRight w:val="0"/>
                      <w:marTop w:val="0"/>
                      <w:marBottom w:val="0"/>
                      <w:divBdr>
                        <w:top w:val="none" w:sz="0" w:space="0" w:color="auto"/>
                        <w:left w:val="none" w:sz="0" w:space="0" w:color="auto"/>
                        <w:bottom w:val="none" w:sz="0" w:space="0" w:color="auto"/>
                        <w:right w:val="none" w:sz="0" w:space="0" w:color="auto"/>
                      </w:divBdr>
                      <w:divsChild>
                        <w:div w:id="1322002875">
                          <w:marLeft w:val="0"/>
                          <w:marRight w:val="0"/>
                          <w:marTop w:val="0"/>
                          <w:marBottom w:val="0"/>
                          <w:divBdr>
                            <w:top w:val="none" w:sz="0" w:space="0" w:color="auto"/>
                            <w:left w:val="none" w:sz="0" w:space="0" w:color="auto"/>
                            <w:bottom w:val="none" w:sz="0" w:space="0" w:color="auto"/>
                            <w:right w:val="none" w:sz="0" w:space="0" w:color="auto"/>
                          </w:divBdr>
                          <w:divsChild>
                            <w:div w:id="1747537227">
                              <w:marLeft w:val="0"/>
                              <w:marRight w:val="0"/>
                              <w:marTop w:val="0"/>
                              <w:marBottom w:val="0"/>
                              <w:divBdr>
                                <w:top w:val="none" w:sz="0" w:space="0" w:color="auto"/>
                                <w:left w:val="none" w:sz="0" w:space="0" w:color="auto"/>
                                <w:bottom w:val="none" w:sz="0" w:space="0" w:color="auto"/>
                                <w:right w:val="none" w:sz="0" w:space="0" w:color="auto"/>
                              </w:divBdr>
                              <w:divsChild>
                                <w:div w:id="1900553208">
                                  <w:marLeft w:val="0"/>
                                  <w:marRight w:val="0"/>
                                  <w:marTop w:val="0"/>
                                  <w:marBottom w:val="0"/>
                                  <w:divBdr>
                                    <w:top w:val="none" w:sz="0" w:space="0" w:color="auto"/>
                                    <w:left w:val="none" w:sz="0" w:space="0" w:color="auto"/>
                                    <w:bottom w:val="none" w:sz="0" w:space="0" w:color="auto"/>
                                    <w:right w:val="none" w:sz="0" w:space="0" w:color="auto"/>
                                  </w:divBdr>
                                  <w:divsChild>
                                    <w:div w:id="138197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344202">
                      <w:marLeft w:val="0"/>
                      <w:marRight w:val="0"/>
                      <w:marTop w:val="0"/>
                      <w:marBottom w:val="0"/>
                      <w:divBdr>
                        <w:top w:val="none" w:sz="0" w:space="0" w:color="auto"/>
                        <w:left w:val="none" w:sz="0" w:space="0" w:color="auto"/>
                        <w:bottom w:val="none" w:sz="0" w:space="0" w:color="auto"/>
                        <w:right w:val="none" w:sz="0" w:space="0" w:color="auto"/>
                      </w:divBdr>
                      <w:divsChild>
                        <w:div w:id="185213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8368764">
      <w:bodyDiv w:val="1"/>
      <w:marLeft w:val="0"/>
      <w:marRight w:val="0"/>
      <w:marTop w:val="0"/>
      <w:marBottom w:val="0"/>
      <w:divBdr>
        <w:top w:val="none" w:sz="0" w:space="0" w:color="auto"/>
        <w:left w:val="none" w:sz="0" w:space="0" w:color="auto"/>
        <w:bottom w:val="none" w:sz="0" w:space="0" w:color="auto"/>
        <w:right w:val="none" w:sz="0" w:space="0" w:color="auto"/>
      </w:divBdr>
    </w:div>
    <w:div w:id="1028026368">
      <w:bodyDiv w:val="1"/>
      <w:marLeft w:val="0"/>
      <w:marRight w:val="0"/>
      <w:marTop w:val="0"/>
      <w:marBottom w:val="0"/>
      <w:divBdr>
        <w:top w:val="none" w:sz="0" w:space="0" w:color="auto"/>
        <w:left w:val="none" w:sz="0" w:space="0" w:color="auto"/>
        <w:bottom w:val="none" w:sz="0" w:space="0" w:color="auto"/>
        <w:right w:val="none" w:sz="0" w:space="0" w:color="auto"/>
      </w:divBdr>
    </w:div>
    <w:div w:id="1044258778">
      <w:bodyDiv w:val="1"/>
      <w:marLeft w:val="0"/>
      <w:marRight w:val="0"/>
      <w:marTop w:val="0"/>
      <w:marBottom w:val="0"/>
      <w:divBdr>
        <w:top w:val="none" w:sz="0" w:space="0" w:color="auto"/>
        <w:left w:val="none" w:sz="0" w:space="0" w:color="auto"/>
        <w:bottom w:val="none" w:sz="0" w:space="0" w:color="auto"/>
        <w:right w:val="none" w:sz="0" w:space="0" w:color="auto"/>
      </w:divBdr>
    </w:div>
    <w:div w:id="1069959515">
      <w:bodyDiv w:val="1"/>
      <w:marLeft w:val="0"/>
      <w:marRight w:val="0"/>
      <w:marTop w:val="0"/>
      <w:marBottom w:val="0"/>
      <w:divBdr>
        <w:top w:val="none" w:sz="0" w:space="0" w:color="auto"/>
        <w:left w:val="none" w:sz="0" w:space="0" w:color="auto"/>
        <w:bottom w:val="none" w:sz="0" w:space="0" w:color="auto"/>
        <w:right w:val="none" w:sz="0" w:space="0" w:color="auto"/>
      </w:divBdr>
    </w:div>
    <w:div w:id="1074284151">
      <w:bodyDiv w:val="1"/>
      <w:marLeft w:val="0"/>
      <w:marRight w:val="0"/>
      <w:marTop w:val="0"/>
      <w:marBottom w:val="0"/>
      <w:divBdr>
        <w:top w:val="none" w:sz="0" w:space="0" w:color="auto"/>
        <w:left w:val="none" w:sz="0" w:space="0" w:color="auto"/>
        <w:bottom w:val="none" w:sz="0" w:space="0" w:color="auto"/>
        <w:right w:val="none" w:sz="0" w:space="0" w:color="auto"/>
      </w:divBdr>
    </w:div>
    <w:div w:id="1093672001">
      <w:bodyDiv w:val="1"/>
      <w:marLeft w:val="0"/>
      <w:marRight w:val="0"/>
      <w:marTop w:val="0"/>
      <w:marBottom w:val="0"/>
      <w:divBdr>
        <w:top w:val="none" w:sz="0" w:space="0" w:color="auto"/>
        <w:left w:val="none" w:sz="0" w:space="0" w:color="auto"/>
        <w:bottom w:val="none" w:sz="0" w:space="0" w:color="auto"/>
        <w:right w:val="none" w:sz="0" w:space="0" w:color="auto"/>
      </w:divBdr>
    </w:div>
    <w:div w:id="1100446476">
      <w:bodyDiv w:val="1"/>
      <w:marLeft w:val="0"/>
      <w:marRight w:val="0"/>
      <w:marTop w:val="0"/>
      <w:marBottom w:val="0"/>
      <w:divBdr>
        <w:top w:val="none" w:sz="0" w:space="0" w:color="auto"/>
        <w:left w:val="none" w:sz="0" w:space="0" w:color="auto"/>
        <w:bottom w:val="none" w:sz="0" w:space="0" w:color="auto"/>
        <w:right w:val="none" w:sz="0" w:space="0" w:color="auto"/>
      </w:divBdr>
    </w:div>
    <w:div w:id="1103302350">
      <w:bodyDiv w:val="1"/>
      <w:marLeft w:val="0"/>
      <w:marRight w:val="0"/>
      <w:marTop w:val="0"/>
      <w:marBottom w:val="0"/>
      <w:divBdr>
        <w:top w:val="none" w:sz="0" w:space="0" w:color="auto"/>
        <w:left w:val="none" w:sz="0" w:space="0" w:color="auto"/>
        <w:bottom w:val="none" w:sz="0" w:space="0" w:color="auto"/>
        <w:right w:val="none" w:sz="0" w:space="0" w:color="auto"/>
      </w:divBdr>
    </w:div>
    <w:div w:id="1130199219">
      <w:bodyDiv w:val="1"/>
      <w:marLeft w:val="0"/>
      <w:marRight w:val="0"/>
      <w:marTop w:val="0"/>
      <w:marBottom w:val="0"/>
      <w:divBdr>
        <w:top w:val="none" w:sz="0" w:space="0" w:color="auto"/>
        <w:left w:val="none" w:sz="0" w:space="0" w:color="auto"/>
        <w:bottom w:val="none" w:sz="0" w:space="0" w:color="auto"/>
        <w:right w:val="none" w:sz="0" w:space="0" w:color="auto"/>
      </w:divBdr>
    </w:div>
    <w:div w:id="1131284790">
      <w:bodyDiv w:val="1"/>
      <w:marLeft w:val="0"/>
      <w:marRight w:val="0"/>
      <w:marTop w:val="0"/>
      <w:marBottom w:val="0"/>
      <w:divBdr>
        <w:top w:val="none" w:sz="0" w:space="0" w:color="auto"/>
        <w:left w:val="none" w:sz="0" w:space="0" w:color="auto"/>
        <w:bottom w:val="none" w:sz="0" w:space="0" w:color="auto"/>
        <w:right w:val="none" w:sz="0" w:space="0" w:color="auto"/>
      </w:divBdr>
    </w:div>
    <w:div w:id="1141583139">
      <w:bodyDiv w:val="1"/>
      <w:marLeft w:val="0"/>
      <w:marRight w:val="0"/>
      <w:marTop w:val="0"/>
      <w:marBottom w:val="0"/>
      <w:divBdr>
        <w:top w:val="none" w:sz="0" w:space="0" w:color="auto"/>
        <w:left w:val="none" w:sz="0" w:space="0" w:color="auto"/>
        <w:bottom w:val="none" w:sz="0" w:space="0" w:color="auto"/>
        <w:right w:val="none" w:sz="0" w:space="0" w:color="auto"/>
      </w:divBdr>
    </w:div>
    <w:div w:id="1145929534">
      <w:bodyDiv w:val="1"/>
      <w:marLeft w:val="0"/>
      <w:marRight w:val="0"/>
      <w:marTop w:val="0"/>
      <w:marBottom w:val="0"/>
      <w:divBdr>
        <w:top w:val="none" w:sz="0" w:space="0" w:color="auto"/>
        <w:left w:val="none" w:sz="0" w:space="0" w:color="auto"/>
        <w:bottom w:val="none" w:sz="0" w:space="0" w:color="auto"/>
        <w:right w:val="none" w:sz="0" w:space="0" w:color="auto"/>
      </w:divBdr>
    </w:div>
    <w:div w:id="1157496843">
      <w:bodyDiv w:val="1"/>
      <w:marLeft w:val="0"/>
      <w:marRight w:val="0"/>
      <w:marTop w:val="0"/>
      <w:marBottom w:val="0"/>
      <w:divBdr>
        <w:top w:val="none" w:sz="0" w:space="0" w:color="auto"/>
        <w:left w:val="none" w:sz="0" w:space="0" w:color="auto"/>
        <w:bottom w:val="none" w:sz="0" w:space="0" w:color="auto"/>
        <w:right w:val="none" w:sz="0" w:space="0" w:color="auto"/>
      </w:divBdr>
    </w:div>
    <w:div w:id="1168522696">
      <w:bodyDiv w:val="1"/>
      <w:marLeft w:val="0"/>
      <w:marRight w:val="0"/>
      <w:marTop w:val="0"/>
      <w:marBottom w:val="0"/>
      <w:divBdr>
        <w:top w:val="none" w:sz="0" w:space="0" w:color="auto"/>
        <w:left w:val="none" w:sz="0" w:space="0" w:color="auto"/>
        <w:bottom w:val="none" w:sz="0" w:space="0" w:color="auto"/>
        <w:right w:val="none" w:sz="0" w:space="0" w:color="auto"/>
      </w:divBdr>
    </w:div>
    <w:div w:id="1211923011">
      <w:bodyDiv w:val="1"/>
      <w:marLeft w:val="0"/>
      <w:marRight w:val="0"/>
      <w:marTop w:val="0"/>
      <w:marBottom w:val="0"/>
      <w:divBdr>
        <w:top w:val="none" w:sz="0" w:space="0" w:color="auto"/>
        <w:left w:val="none" w:sz="0" w:space="0" w:color="auto"/>
        <w:bottom w:val="none" w:sz="0" w:space="0" w:color="auto"/>
        <w:right w:val="none" w:sz="0" w:space="0" w:color="auto"/>
      </w:divBdr>
    </w:div>
    <w:div w:id="1228758260">
      <w:bodyDiv w:val="1"/>
      <w:marLeft w:val="0"/>
      <w:marRight w:val="0"/>
      <w:marTop w:val="0"/>
      <w:marBottom w:val="0"/>
      <w:divBdr>
        <w:top w:val="none" w:sz="0" w:space="0" w:color="auto"/>
        <w:left w:val="none" w:sz="0" w:space="0" w:color="auto"/>
        <w:bottom w:val="none" w:sz="0" w:space="0" w:color="auto"/>
        <w:right w:val="none" w:sz="0" w:space="0" w:color="auto"/>
      </w:divBdr>
    </w:div>
    <w:div w:id="1229533121">
      <w:bodyDiv w:val="1"/>
      <w:marLeft w:val="0"/>
      <w:marRight w:val="0"/>
      <w:marTop w:val="0"/>
      <w:marBottom w:val="0"/>
      <w:divBdr>
        <w:top w:val="none" w:sz="0" w:space="0" w:color="auto"/>
        <w:left w:val="none" w:sz="0" w:space="0" w:color="auto"/>
        <w:bottom w:val="none" w:sz="0" w:space="0" w:color="auto"/>
        <w:right w:val="none" w:sz="0" w:space="0" w:color="auto"/>
      </w:divBdr>
      <w:divsChild>
        <w:div w:id="1117918732">
          <w:marLeft w:val="0"/>
          <w:marRight w:val="0"/>
          <w:marTop w:val="0"/>
          <w:marBottom w:val="0"/>
          <w:divBdr>
            <w:top w:val="none" w:sz="0" w:space="0" w:color="auto"/>
            <w:left w:val="none" w:sz="0" w:space="0" w:color="auto"/>
            <w:bottom w:val="none" w:sz="0" w:space="0" w:color="auto"/>
            <w:right w:val="none" w:sz="0" w:space="0" w:color="auto"/>
          </w:divBdr>
          <w:divsChild>
            <w:div w:id="630405209">
              <w:marLeft w:val="0"/>
              <w:marRight w:val="0"/>
              <w:marTop w:val="0"/>
              <w:marBottom w:val="0"/>
              <w:divBdr>
                <w:top w:val="none" w:sz="0" w:space="0" w:color="auto"/>
                <w:left w:val="none" w:sz="0" w:space="0" w:color="auto"/>
                <w:bottom w:val="none" w:sz="0" w:space="0" w:color="auto"/>
                <w:right w:val="none" w:sz="0" w:space="0" w:color="auto"/>
              </w:divBdr>
              <w:divsChild>
                <w:div w:id="967394566">
                  <w:marLeft w:val="0"/>
                  <w:marRight w:val="0"/>
                  <w:marTop w:val="0"/>
                  <w:marBottom w:val="0"/>
                  <w:divBdr>
                    <w:top w:val="none" w:sz="0" w:space="0" w:color="auto"/>
                    <w:left w:val="none" w:sz="0" w:space="0" w:color="auto"/>
                    <w:bottom w:val="none" w:sz="0" w:space="0" w:color="auto"/>
                    <w:right w:val="none" w:sz="0" w:space="0" w:color="auto"/>
                  </w:divBdr>
                  <w:divsChild>
                    <w:div w:id="877477062">
                      <w:marLeft w:val="0"/>
                      <w:marRight w:val="0"/>
                      <w:marTop w:val="0"/>
                      <w:marBottom w:val="0"/>
                      <w:divBdr>
                        <w:top w:val="none" w:sz="0" w:space="0" w:color="auto"/>
                        <w:left w:val="none" w:sz="0" w:space="0" w:color="auto"/>
                        <w:bottom w:val="none" w:sz="0" w:space="0" w:color="auto"/>
                        <w:right w:val="none" w:sz="0" w:space="0" w:color="auto"/>
                      </w:divBdr>
                      <w:divsChild>
                        <w:div w:id="2023512432">
                          <w:marLeft w:val="0"/>
                          <w:marRight w:val="0"/>
                          <w:marTop w:val="0"/>
                          <w:marBottom w:val="0"/>
                          <w:divBdr>
                            <w:top w:val="none" w:sz="0" w:space="0" w:color="auto"/>
                            <w:left w:val="none" w:sz="0" w:space="0" w:color="auto"/>
                            <w:bottom w:val="none" w:sz="0" w:space="0" w:color="auto"/>
                            <w:right w:val="none" w:sz="0" w:space="0" w:color="auto"/>
                          </w:divBdr>
                          <w:divsChild>
                            <w:div w:id="1955866963">
                              <w:marLeft w:val="0"/>
                              <w:marRight w:val="0"/>
                              <w:marTop w:val="0"/>
                              <w:marBottom w:val="0"/>
                              <w:divBdr>
                                <w:top w:val="none" w:sz="0" w:space="0" w:color="auto"/>
                                <w:left w:val="none" w:sz="0" w:space="0" w:color="auto"/>
                                <w:bottom w:val="none" w:sz="0" w:space="0" w:color="auto"/>
                                <w:right w:val="none" w:sz="0" w:space="0" w:color="auto"/>
                              </w:divBdr>
                              <w:divsChild>
                                <w:div w:id="15811592">
                                  <w:marLeft w:val="0"/>
                                  <w:marRight w:val="0"/>
                                  <w:marTop w:val="0"/>
                                  <w:marBottom w:val="0"/>
                                  <w:divBdr>
                                    <w:top w:val="none" w:sz="0" w:space="0" w:color="auto"/>
                                    <w:left w:val="none" w:sz="0" w:space="0" w:color="auto"/>
                                    <w:bottom w:val="none" w:sz="0" w:space="0" w:color="auto"/>
                                    <w:right w:val="none" w:sz="0" w:space="0" w:color="auto"/>
                                  </w:divBdr>
                                  <w:divsChild>
                                    <w:div w:id="200415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490516">
                      <w:marLeft w:val="0"/>
                      <w:marRight w:val="0"/>
                      <w:marTop w:val="0"/>
                      <w:marBottom w:val="0"/>
                      <w:divBdr>
                        <w:top w:val="none" w:sz="0" w:space="0" w:color="auto"/>
                        <w:left w:val="none" w:sz="0" w:space="0" w:color="auto"/>
                        <w:bottom w:val="none" w:sz="0" w:space="0" w:color="auto"/>
                        <w:right w:val="none" w:sz="0" w:space="0" w:color="auto"/>
                      </w:divBdr>
                      <w:divsChild>
                        <w:div w:id="649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085231">
      <w:bodyDiv w:val="1"/>
      <w:marLeft w:val="0"/>
      <w:marRight w:val="0"/>
      <w:marTop w:val="0"/>
      <w:marBottom w:val="0"/>
      <w:divBdr>
        <w:top w:val="none" w:sz="0" w:space="0" w:color="auto"/>
        <w:left w:val="none" w:sz="0" w:space="0" w:color="auto"/>
        <w:bottom w:val="none" w:sz="0" w:space="0" w:color="auto"/>
        <w:right w:val="none" w:sz="0" w:space="0" w:color="auto"/>
      </w:divBdr>
    </w:div>
    <w:div w:id="1260093332">
      <w:bodyDiv w:val="1"/>
      <w:marLeft w:val="0"/>
      <w:marRight w:val="0"/>
      <w:marTop w:val="0"/>
      <w:marBottom w:val="0"/>
      <w:divBdr>
        <w:top w:val="none" w:sz="0" w:space="0" w:color="auto"/>
        <w:left w:val="none" w:sz="0" w:space="0" w:color="auto"/>
        <w:bottom w:val="none" w:sz="0" w:space="0" w:color="auto"/>
        <w:right w:val="none" w:sz="0" w:space="0" w:color="auto"/>
      </w:divBdr>
    </w:div>
    <w:div w:id="1275284929">
      <w:bodyDiv w:val="1"/>
      <w:marLeft w:val="0"/>
      <w:marRight w:val="0"/>
      <w:marTop w:val="0"/>
      <w:marBottom w:val="0"/>
      <w:divBdr>
        <w:top w:val="none" w:sz="0" w:space="0" w:color="auto"/>
        <w:left w:val="none" w:sz="0" w:space="0" w:color="auto"/>
        <w:bottom w:val="none" w:sz="0" w:space="0" w:color="auto"/>
        <w:right w:val="none" w:sz="0" w:space="0" w:color="auto"/>
      </w:divBdr>
    </w:div>
    <w:div w:id="1301156231">
      <w:bodyDiv w:val="1"/>
      <w:marLeft w:val="0"/>
      <w:marRight w:val="0"/>
      <w:marTop w:val="0"/>
      <w:marBottom w:val="0"/>
      <w:divBdr>
        <w:top w:val="none" w:sz="0" w:space="0" w:color="auto"/>
        <w:left w:val="none" w:sz="0" w:space="0" w:color="auto"/>
        <w:bottom w:val="none" w:sz="0" w:space="0" w:color="auto"/>
        <w:right w:val="none" w:sz="0" w:space="0" w:color="auto"/>
      </w:divBdr>
    </w:div>
    <w:div w:id="1316372560">
      <w:bodyDiv w:val="1"/>
      <w:marLeft w:val="0"/>
      <w:marRight w:val="0"/>
      <w:marTop w:val="0"/>
      <w:marBottom w:val="0"/>
      <w:divBdr>
        <w:top w:val="none" w:sz="0" w:space="0" w:color="auto"/>
        <w:left w:val="none" w:sz="0" w:space="0" w:color="auto"/>
        <w:bottom w:val="none" w:sz="0" w:space="0" w:color="auto"/>
        <w:right w:val="none" w:sz="0" w:space="0" w:color="auto"/>
      </w:divBdr>
    </w:div>
    <w:div w:id="1323772651">
      <w:bodyDiv w:val="1"/>
      <w:marLeft w:val="0"/>
      <w:marRight w:val="0"/>
      <w:marTop w:val="0"/>
      <w:marBottom w:val="0"/>
      <w:divBdr>
        <w:top w:val="none" w:sz="0" w:space="0" w:color="auto"/>
        <w:left w:val="none" w:sz="0" w:space="0" w:color="auto"/>
        <w:bottom w:val="none" w:sz="0" w:space="0" w:color="auto"/>
        <w:right w:val="none" w:sz="0" w:space="0" w:color="auto"/>
      </w:divBdr>
    </w:div>
    <w:div w:id="1329284162">
      <w:bodyDiv w:val="1"/>
      <w:marLeft w:val="0"/>
      <w:marRight w:val="0"/>
      <w:marTop w:val="0"/>
      <w:marBottom w:val="0"/>
      <w:divBdr>
        <w:top w:val="none" w:sz="0" w:space="0" w:color="auto"/>
        <w:left w:val="none" w:sz="0" w:space="0" w:color="auto"/>
        <w:bottom w:val="none" w:sz="0" w:space="0" w:color="auto"/>
        <w:right w:val="none" w:sz="0" w:space="0" w:color="auto"/>
      </w:divBdr>
    </w:div>
    <w:div w:id="1332028659">
      <w:bodyDiv w:val="1"/>
      <w:marLeft w:val="0"/>
      <w:marRight w:val="0"/>
      <w:marTop w:val="0"/>
      <w:marBottom w:val="0"/>
      <w:divBdr>
        <w:top w:val="none" w:sz="0" w:space="0" w:color="auto"/>
        <w:left w:val="none" w:sz="0" w:space="0" w:color="auto"/>
        <w:bottom w:val="none" w:sz="0" w:space="0" w:color="auto"/>
        <w:right w:val="none" w:sz="0" w:space="0" w:color="auto"/>
      </w:divBdr>
      <w:divsChild>
        <w:div w:id="422845971">
          <w:marLeft w:val="0"/>
          <w:marRight w:val="0"/>
          <w:marTop w:val="0"/>
          <w:marBottom w:val="0"/>
          <w:divBdr>
            <w:top w:val="none" w:sz="0" w:space="0" w:color="auto"/>
            <w:left w:val="none" w:sz="0" w:space="0" w:color="auto"/>
            <w:bottom w:val="none" w:sz="0" w:space="0" w:color="auto"/>
            <w:right w:val="none" w:sz="0" w:space="0" w:color="auto"/>
          </w:divBdr>
          <w:divsChild>
            <w:div w:id="687412746">
              <w:marLeft w:val="0"/>
              <w:marRight w:val="0"/>
              <w:marTop w:val="0"/>
              <w:marBottom w:val="0"/>
              <w:divBdr>
                <w:top w:val="none" w:sz="0" w:space="0" w:color="auto"/>
                <w:left w:val="none" w:sz="0" w:space="0" w:color="auto"/>
                <w:bottom w:val="none" w:sz="0" w:space="0" w:color="auto"/>
                <w:right w:val="none" w:sz="0" w:space="0" w:color="auto"/>
              </w:divBdr>
              <w:divsChild>
                <w:div w:id="1181159579">
                  <w:marLeft w:val="0"/>
                  <w:marRight w:val="0"/>
                  <w:marTop w:val="0"/>
                  <w:marBottom w:val="0"/>
                  <w:divBdr>
                    <w:top w:val="none" w:sz="0" w:space="0" w:color="auto"/>
                    <w:left w:val="none" w:sz="0" w:space="0" w:color="auto"/>
                    <w:bottom w:val="none" w:sz="0" w:space="0" w:color="auto"/>
                    <w:right w:val="none" w:sz="0" w:space="0" w:color="auto"/>
                  </w:divBdr>
                  <w:divsChild>
                    <w:div w:id="1165902353">
                      <w:marLeft w:val="0"/>
                      <w:marRight w:val="0"/>
                      <w:marTop w:val="0"/>
                      <w:marBottom w:val="0"/>
                      <w:divBdr>
                        <w:top w:val="none" w:sz="0" w:space="0" w:color="auto"/>
                        <w:left w:val="none" w:sz="0" w:space="0" w:color="auto"/>
                        <w:bottom w:val="none" w:sz="0" w:space="0" w:color="auto"/>
                        <w:right w:val="none" w:sz="0" w:space="0" w:color="auto"/>
                      </w:divBdr>
                      <w:divsChild>
                        <w:div w:id="946692958">
                          <w:marLeft w:val="0"/>
                          <w:marRight w:val="0"/>
                          <w:marTop w:val="0"/>
                          <w:marBottom w:val="0"/>
                          <w:divBdr>
                            <w:top w:val="none" w:sz="0" w:space="0" w:color="auto"/>
                            <w:left w:val="none" w:sz="0" w:space="0" w:color="auto"/>
                            <w:bottom w:val="none" w:sz="0" w:space="0" w:color="auto"/>
                            <w:right w:val="none" w:sz="0" w:space="0" w:color="auto"/>
                          </w:divBdr>
                          <w:divsChild>
                            <w:div w:id="474106730">
                              <w:marLeft w:val="0"/>
                              <w:marRight w:val="0"/>
                              <w:marTop w:val="0"/>
                              <w:marBottom w:val="0"/>
                              <w:divBdr>
                                <w:top w:val="none" w:sz="0" w:space="0" w:color="auto"/>
                                <w:left w:val="none" w:sz="0" w:space="0" w:color="auto"/>
                                <w:bottom w:val="none" w:sz="0" w:space="0" w:color="auto"/>
                                <w:right w:val="none" w:sz="0" w:space="0" w:color="auto"/>
                              </w:divBdr>
                              <w:divsChild>
                                <w:div w:id="2100060041">
                                  <w:marLeft w:val="0"/>
                                  <w:marRight w:val="0"/>
                                  <w:marTop w:val="0"/>
                                  <w:marBottom w:val="0"/>
                                  <w:divBdr>
                                    <w:top w:val="none" w:sz="0" w:space="0" w:color="auto"/>
                                    <w:left w:val="none" w:sz="0" w:space="0" w:color="auto"/>
                                    <w:bottom w:val="none" w:sz="0" w:space="0" w:color="auto"/>
                                    <w:right w:val="none" w:sz="0" w:space="0" w:color="auto"/>
                                  </w:divBdr>
                                  <w:divsChild>
                                    <w:div w:id="47553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450396">
                      <w:marLeft w:val="0"/>
                      <w:marRight w:val="0"/>
                      <w:marTop w:val="0"/>
                      <w:marBottom w:val="0"/>
                      <w:divBdr>
                        <w:top w:val="none" w:sz="0" w:space="0" w:color="auto"/>
                        <w:left w:val="none" w:sz="0" w:space="0" w:color="auto"/>
                        <w:bottom w:val="none" w:sz="0" w:space="0" w:color="auto"/>
                        <w:right w:val="none" w:sz="0" w:space="0" w:color="auto"/>
                      </w:divBdr>
                      <w:divsChild>
                        <w:div w:id="57258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5861387">
      <w:bodyDiv w:val="1"/>
      <w:marLeft w:val="0"/>
      <w:marRight w:val="0"/>
      <w:marTop w:val="0"/>
      <w:marBottom w:val="0"/>
      <w:divBdr>
        <w:top w:val="none" w:sz="0" w:space="0" w:color="auto"/>
        <w:left w:val="none" w:sz="0" w:space="0" w:color="auto"/>
        <w:bottom w:val="none" w:sz="0" w:space="0" w:color="auto"/>
        <w:right w:val="none" w:sz="0" w:space="0" w:color="auto"/>
      </w:divBdr>
      <w:divsChild>
        <w:div w:id="1488782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5779727">
      <w:bodyDiv w:val="1"/>
      <w:marLeft w:val="0"/>
      <w:marRight w:val="0"/>
      <w:marTop w:val="0"/>
      <w:marBottom w:val="0"/>
      <w:divBdr>
        <w:top w:val="none" w:sz="0" w:space="0" w:color="auto"/>
        <w:left w:val="none" w:sz="0" w:space="0" w:color="auto"/>
        <w:bottom w:val="none" w:sz="0" w:space="0" w:color="auto"/>
        <w:right w:val="none" w:sz="0" w:space="0" w:color="auto"/>
      </w:divBdr>
    </w:div>
    <w:div w:id="1424111663">
      <w:bodyDiv w:val="1"/>
      <w:marLeft w:val="0"/>
      <w:marRight w:val="0"/>
      <w:marTop w:val="0"/>
      <w:marBottom w:val="0"/>
      <w:divBdr>
        <w:top w:val="none" w:sz="0" w:space="0" w:color="auto"/>
        <w:left w:val="none" w:sz="0" w:space="0" w:color="auto"/>
        <w:bottom w:val="none" w:sz="0" w:space="0" w:color="auto"/>
        <w:right w:val="none" w:sz="0" w:space="0" w:color="auto"/>
      </w:divBdr>
    </w:div>
    <w:div w:id="1441224350">
      <w:bodyDiv w:val="1"/>
      <w:marLeft w:val="0"/>
      <w:marRight w:val="0"/>
      <w:marTop w:val="0"/>
      <w:marBottom w:val="0"/>
      <w:divBdr>
        <w:top w:val="none" w:sz="0" w:space="0" w:color="auto"/>
        <w:left w:val="none" w:sz="0" w:space="0" w:color="auto"/>
        <w:bottom w:val="none" w:sz="0" w:space="0" w:color="auto"/>
        <w:right w:val="none" w:sz="0" w:space="0" w:color="auto"/>
      </w:divBdr>
    </w:div>
    <w:div w:id="1459178487">
      <w:bodyDiv w:val="1"/>
      <w:marLeft w:val="0"/>
      <w:marRight w:val="0"/>
      <w:marTop w:val="0"/>
      <w:marBottom w:val="0"/>
      <w:divBdr>
        <w:top w:val="none" w:sz="0" w:space="0" w:color="auto"/>
        <w:left w:val="none" w:sz="0" w:space="0" w:color="auto"/>
        <w:bottom w:val="none" w:sz="0" w:space="0" w:color="auto"/>
        <w:right w:val="none" w:sz="0" w:space="0" w:color="auto"/>
      </w:divBdr>
    </w:div>
    <w:div w:id="1473909783">
      <w:bodyDiv w:val="1"/>
      <w:marLeft w:val="0"/>
      <w:marRight w:val="0"/>
      <w:marTop w:val="0"/>
      <w:marBottom w:val="0"/>
      <w:divBdr>
        <w:top w:val="none" w:sz="0" w:space="0" w:color="auto"/>
        <w:left w:val="none" w:sz="0" w:space="0" w:color="auto"/>
        <w:bottom w:val="none" w:sz="0" w:space="0" w:color="auto"/>
        <w:right w:val="none" w:sz="0" w:space="0" w:color="auto"/>
      </w:divBdr>
    </w:div>
    <w:div w:id="1478454211">
      <w:bodyDiv w:val="1"/>
      <w:marLeft w:val="0"/>
      <w:marRight w:val="0"/>
      <w:marTop w:val="0"/>
      <w:marBottom w:val="0"/>
      <w:divBdr>
        <w:top w:val="none" w:sz="0" w:space="0" w:color="auto"/>
        <w:left w:val="none" w:sz="0" w:space="0" w:color="auto"/>
        <w:bottom w:val="none" w:sz="0" w:space="0" w:color="auto"/>
        <w:right w:val="none" w:sz="0" w:space="0" w:color="auto"/>
      </w:divBdr>
    </w:div>
    <w:div w:id="1491943394">
      <w:bodyDiv w:val="1"/>
      <w:marLeft w:val="0"/>
      <w:marRight w:val="0"/>
      <w:marTop w:val="0"/>
      <w:marBottom w:val="0"/>
      <w:divBdr>
        <w:top w:val="none" w:sz="0" w:space="0" w:color="auto"/>
        <w:left w:val="none" w:sz="0" w:space="0" w:color="auto"/>
        <w:bottom w:val="none" w:sz="0" w:space="0" w:color="auto"/>
        <w:right w:val="none" w:sz="0" w:space="0" w:color="auto"/>
      </w:divBdr>
    </w:div>
    <w:div w:id="1493907127">
      <w:bodyDiv w:val="1"/>
      <w:marLeft w:val="0"/>
      <w:marRight w:val="0"/>
      <w:marTop w:val="0"/>
      <w:marBottom w:val="0"/>
      <w:divBdr>
        <w:top w:val="none" w:sz="0" w:space="0" w:color="auto"/>
        <w:left w:val="none" w:sz="0" w:space="0" w:color="auto"/>
        <w:bottom w:val="none" w:sz="0" w:space="0" w:color="auto"/>
        <w:right w:val="none" w:sz="0" w:space="0" w:color="auto"/>
      </w:divBdr>
    </w:div>
    <w:div w:id="1527258778">
      <w:bodyDiv w:val="1"/>
      <w:marLeft w:val="0"/>
      <w:marRight w:val="0"/>
      <w:marTop w:val="0"/>
      <w:marBottom w:val="0"/>
      <w:divBdr>
        <w:top w:val="none" w:sz="0" w:space="0" w:color="auto"/>
        <w:left w:val="none" w:sz="0" w:space="0" w:color="auto"/>
        <w:bottom w:val="none" w:sz="0" w:space="0" w:color="auto"/>
        <w:right w:val="none" w:sz="0" w:space="0" w:color="auto"/>
      </w:divBdr>
      <w:divsChild>
        <w:div w:id="1226144295">
          <w:marLeft w:val="0"/>
          <w:marRight w:val="0"/>
          <w:marTop w:val="0"/>
          <w:marBottom w:val="0"/>
          <w:divBdr>
            <w:top w:val="none" w:sz="0" w:space="0" w:color="auto"/>
            <w:left w:val="none" w:sz="0" w:space="0" w:color="auto"/>
            <w:bottom w:val="none" w:sz="0" w:space="0" w:color="auto"/>
            <w:right w:val="none" w:sz="0" w:space="0" w:color="auto"/>
          </w:divBdr>
          <w:divsChild>
            <w:div w:id="1489319505">
              <w:marLeft w:val="0"/>
              <w:marRight w:val="0"/>
              <w:marTop w:val="0"/>
              <w:marBottom w:val="0"/>
              <w:divBdr>
                <w:top w:val="none" w:sz="0" w:space="0" w:color="auto"/>
                <w:left w:val="none" w:sz="0" w:space="0" w:color="auto"/>
                <w:bottom w:val="none" w:sz="0" w:space="0" w:color="auto"/>
                <w:right w:val="none" w:sz="0" w:space="0" w:color="auto"/>
              </w:divBdr>
              <w:divsChild>
                <w:div w:id="1937664230">
                  <w:marLeft w:val="0"/>
                  <w:marRight w:val="0"/>
                  <w:marTop w:val="0"/>
                  <w:marBottom w:val="0"/>
                  <w:divBdr>
                    <w:top w:val="none" w:sz="0" w:space="0" w:color="auto"/>
                    <w:left w:val="none" w:sz="0" w:space="0" w:color="auto"/>
                    <w:bottom w:val="none" w:sz="0" w:space="0" w:color="auto"/>
                    <w:right w:val="none" w:sz="0" w:space="0" w:color="auto"/>
                  </w:divBdr>
                  <w:divsChild>
                    <w:div w:id="1115709229">
                      <w:marLeft w:val="0"/>
                      <w:marRight w:val="0"/>
                      <w:marTop w:val="0"/>
                      <w:marBottom w:val="0"/>
                      <w:divBdr>
                        <w:top w:val="none" w:sz="0" w:space="0" w:color="auto"/>
                        <w:left w:val="none" w:sz="0" w:space="0" w:color="auto"/>
                        <w:bottom w:val="none" w:sz="0" w:space="0" w:color="auto"/>
                        <w:right w:val="none" w:sz="0" w:space="0" w:color="auto"/>
                      </w:divBdr>
                      <w:divsChild>
                        <w:div w:id="389109854">
                          <w:marLeft w:val="0"/>
                          <w:marRight w:val="0"/>
                          <w:marTop w:val="0"/>
                          <w:marBottom w:val="0"/>
                          <w:divBdr>
                            <w:top w:val="none" w:sz="0" w:space="0" w:color="auto"/>
                            <w:left w:val="none" w:sz="0" w:space="0" w:color="auto"/>
                            <w:bottom w:val="none" w:sz="0" w:space="0" w:color="auto"/>
                            <w:right w:val="none" w:sz="0" w:space="0" w:color="auto"/>
                          </w:divBdr>
                          <w:divsChild>
                            <w:div w:id="620693378">
                              <w:marLeft w:val="0"/>
                              <w:marRight w:val="0"/>
                              <w:marTop w:val="0"/>
                              <w:marBottom w:val="0"/>
                              <w:divBdr>
                                <w:top w:val="none" w:sz="0" w:space="0" w:color="auto"/>
                                <w:left w:val="none" w:sz="0" w:space="0" w:color="auto"/>
                                <w:bottom w:val="none" w:sz="0" w:space="0" w:color="auto"/>
                                <w:right w:val="none" w:sz="0" w:space="0" w:color="auto"/>
                              </w:divBdr>
                              <w:divsChild>
                                <w:div w:id="1988434169">
                                  <w:marLeft w:val="0"/>
                                  <w:marRight w:val="0"/>
                                  <w:marTop w:val="0"/>
                                  <w:marBottom w:val="0"/>
                                  <w:divBdr>
                                    <w:top w:val="none" w:sz="0" w:space="0" w:color="auto"/>
                                    <w:left w:val="none" w:sz="0" w:space="0" w:color="auto"/>
                                    <w:bottom w:val="none" w:sz="0" w:space="0" w:color="auto"/>
                                    <w:right w:val="none" w:sz="0" w:space="0" w:color="auto"/>
                                  </w:divBdr>
                                  <w:divsChild>
                                    <w:div w:id="103727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051698">
                      <w:marLeft w:val="0"/>
                      <w:marRight w:val="0"/>
                      <w:marTop w:val="0"/>
                      <w:marBottom w:val="0"/>
                      <w:divBdr>
                        <w:top w:val="none" w:sz="0" w:space="0" w:color="auto"/>
                        <w:left w:val="none" w:sz="0" w:space="0" w:color="auto"/>
                        <w:bottom w:val="none" w:sz="0" w:space="0" w:color="auto"/>
                        <w:right w:val="none" w:sz="0" w:space="0" w:color="auto"/>
                      </w:divBdr>
                      <w:divsChild>
                        <w:div w:id="145255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416033">
      <w:bodyDiv w:val="1"/>
      <w:marLeft w:val="0"/>
      <w:marRight w:val="0"/>
      <w:marTop w:val="0"/>
      <w:marBottom w:val="0"/>
      <w:divBdr>
        <w:top w:val="none" w:sz="0" w:space="0" w:color="auto"/>
        <w:left w:val="none" w:sz="0" w:space="0" w:color="auto"/>
        <w:bottom w:val="none" w:sz="0" w:space="0" w:color="auto"/>
        <w:right w:val="none" w:sz="0" w:space="0" w:color="auto"/>
      </w:divBdr>
    </w:div>
    <w:div w:id="1587613998">
      <w:bodyDiv w:val="1"/>
      <w:marLeft w:val="0"/>
      <w:marRight w:val="0"/>
      <w:marTop w:val="0"/>
      <w:marBottom w:val="0"/>
      <w:divBdr>
        <w:top w:val="none" w:sz="0" w:space="0" w:color="auto"/>
        <w:left w:val="none" w:sz="0" w:space="0" w:color="auto"/>
        <w:bottom w:val="none" w:sz="0" w:space="0" w:color="auto"/>
        <w:right w:val="none" w:sz="0" w:space="0" w:color="auto"/>
      </w:divBdr>
      <w:divsChild>
        <w:div w:id="1814716228">
          <w:marLeft w:val="0"/>
          <w:marRight w:val="0"/>
          <w:marTop w:val="0"/>
          <w:marBottom w:val="0"/>
          <w:divBdr>
            <w:top w:val="none" w:sz="0" w:space="0" w:color="auto"/>
            <w:left w:val="none" w:sz="0" w:space="0" w:color="auto"/>
            <w:bottom w:val="none" w:sz="0" w:space="0" w:color="auto"/>
            <w:right w:val="none" w:sz="0" w:space="0" w:color="auto"/>
          </w:divBdr>
          <w:divsChild>
            <w:div w:id="1314065128">
              <w:marLeft w:val="0"/>
              <w:marRight w:val="0"/>
              <w:marTop w:val="0"/>
              <w:marBottom w:val="0"/>
              <w:divBdr>
                <w:top w:val="none" w:sz="0" w:space="0" w:color="auto"/>
                <w:left w:val="none" w:sz="0" w:space="0" w:color="auto"/>
                <w:bottom w:val="none" w:sz="0" w:space="0" w:color="auto"/>
                <w:right w:val="none" w:sz="0" w:space="0" w:color="auto"/>
              </w:divBdr>
              <w:divsChild>
                <w:div w:id="315376720">
                  <w:marLeft w:val="0"/>
                  <w:marRight w:val="0"/>
                  <w:marTop w:val="0"/>
                  <w:marBottom w:val="0"/>
                  <w:divBdr>
                    <w:top w:val="none" w:sz="0" w:space="0" w:color="auto"/>
                    <w:left w:val="none" w:sz="0" w:space="0" w:color="auto"/>
                    <w:bottom w:val="none" w:sz="0" w:space="0" w:color="auto"/>
                    <w:right w:val="none" w:sz="0" w:space="0" w:color="auto"/>
                  </w:divBdr>
                  <w:divsChild>
                    <w:div w:id="1947497577">
                      <w:marLeft w:val="0"/>
                      <w:marRight w:val="0"/>
                      <w:marTop w:val="0"/>
                      <w:marBottom w:val="0"/>
                      <w:divBdr>
                        <w:top w:val="none" w:sz="0" w:space="0" w:color="auto"/>
                        <w:left w:val="none" w:sz="0" w:space="0" w:color="auto"/>
                        <w:bottom w:val="none" w:sz="0" w:space="0" w:color="auto"/>
                        <w:right w:val="none" w:sz="0" w:space="0" w:color="auto"/>
                      </w:divBdr>
                      <w:divsChild>
                        <w:div w:id="144207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735255">
      <w:bodyDiv w:val="1"/>
      <w:marLeft w:val="0"/>
      <w:marRight w:val="0"/>
      <w:marTop w:val="0"/>
      <w:marBottom w:val="0"/>
      <w:divBdr>
        <w:top w:val="none" w:sz="0" w:space="0" w:color="auto"/>
        <w:left w:val="none" w:sz="0" w:space="0" w:color="auto"/>
        <w:bottom w:val="none" w:sz="0" w:space="0" w:color="auto"/>
        <w:right w:val="none" w:sz="0" w:space="0" w:color="auto"/>
      </w:divBdr>
    </w:div>
    <w:div w:id="1598250216">
      <w:bodyDiv w:val="1"/>
      <w:marLeft w:val="0"/>
      <w:marRight w:val="0"/>
      <w:marTop w:val="0"/>
      <w:marBottom w:val="0"/>
      <w:divBdr>
        <w:top w:val="none" w:sz="0" w:space="0" w:color="auto"/>
        <w:left w:val="none" w:sz="0" w:space="0" w:color="auto"/>
        <w:bottom w:val="none" w:sz="0" w:space="0" w:color="auto"/>
        <w:right w:val="none" w:sz="0" w:space="0" w:color="auto"/>
      </w:divBdr>
    </w:div>
    <w:div w:id="1598828568">
      <w:bodyDiv w:val="1"/>
      <w:marLeft w:val="0"/>
      <w:marRight w:val="0"/>
      <w:marTop w:val="0"/>
      <w:marBottom w:val="0"/>
      <w:divBdr>
        <w:top w:val="none" w:sz="0" w:space="0" w:color="auto"/>
        <w:left w:val="none" w:sz="0" w:space="0" w:color="auto"/>
        <w:bottom w:val="none" w:sz="0" w:space="0" w:color="auto"/>
        <w:right w:val="none" w:sz="0" w:space="0" w:color="auto"/>
      </w:divBdr>
    </w:div>
    <w:div w:id="1610549598">
      <w:bodyDiv w:val="1"/>
      <w:marLeft w:val="0"/>
      <w:marRight w:val="0"/>
      <w:marTop w:val="0"/>
      <w:marBottom w:val="0"/>
      <w:divBdr>
        <w:top w:val="none" w:sz="0" w:space="0" w:color="auto"/>
        <w:left w:val="none" w:sz="0" w:space="0" w:color="auto"/>
        <w:bottom w:val="none" w:sz="0" w:space="0" w:color="auto"/>
        <w:right w:val="none" w:sz="0" w:space="0" w:color="auto"/>
      </w:divBdr>
    </w:div>
    <w:div w:id="1615090051">
      <w:bodyDiv w:val="1"/>
      <w:marLeft w:val="0"/>
      <w:marRight w:val="0"/>
      <w:marTop w:val="0"/>
      <w:marBottom w:val="0"/>
      <w:divBdr>
        <w:top w:val="none" w:sz="0" w:space="0" w:color="auto"/>
        <w:left w:val="none" w:sz="0" w:space="0" w:color="auto"/>
        <w:bottom w:val="none" w:sz="0" w:space="0" w:color="auto"/>
        <w:right w:val="none" w:sz="0" w:space="0" w:color="auto"/>
      </w:divBdr>
    </w:div>
    <w:div w:id="1615285892">
      <w:bodyDiv w:val="1"/>
      <w:marLeft w:val="0"/>
      <w:marRight w:val="0"/>
      <w:marTop w:val="0"/>
      <w:marBottom w:val="0"/>
      <w:divBdr>
        <w:top w:val="none" w:sz="0" w:space="0" w:color="auto"/>
        <w:left w:val="none" w:sz="0" w:space="0" w:color="auto"/>
        <w:bottom w:val="none" w:sz="0" w:space="0" w:color="auto"/>
        <w:right w:val="none" w:sz="0" w:space="0" w:color="auto"/>
      </w:divBdr>
    </w:div>
    <w:div w:id="1624724619">
      <w:bodyDiv w:val="1"/>
      <w:marLeft w:val="0"/>
      <w:marRight w:val="0"/>
      <w:marTop w:val="0"/>
      <w:marBottom w:val="0"/>
      <w:divBdr>
        <w:top w:val="none" w:sz="0" w:space="0" w:color="auto"/>
        <w:left w:val="none" w:sz="0" w:space="0" w:color="auto"/>
        <w:bottom w:val="none" w:sz="0" w:space="0" w:color="auto"/>
        <w:right w:val="none" w:sz="0" w:space="0" w:color="auto"/>
      </w:divBdr>
    </w:div>
    <w:div w:id="1624995192">
      <w:bodyDiv w:val="1"/>
      <w:marLeft w:val="0"/>
      <w:marRight w:val="0"/>
      <w:marTop w:val="0"/>
      <w:marBottom w:val="0"/>
      <w:divBdr>
        <w:top w:val="none" w:sz="0" w:space="0" w:color="auto"/>
        <w:left w:val="none" w:sz="0" w:space="0" w:color="auto"/>
        <w:bottom w:val="none" w:sz="0" w:space="0" w:color="auto"/>
        <w:right w:val="none" w:sz="0" w:space="0" w:color="auto"/>
      </w:divBdr>
    </w:div>
    <w:div w:id="1633906651">
      <w:bodyDiv w:val="1"/>
      <w:marLeft w:val="0"/>
      <w:marRight w:val="0"/>
      <w:marTop w:val="0"/>
      <w:marBottom w:val="0"/>
      <w:divBdr>
        <w:top w:val="none" w:sz="0" w:space="0" w:color="auto"/>
        <w:left w:val="none" w:sz="0" w:space="0" w:color="auto"/>
        <w:bottom w:val="none" w:sz="0" w:space="0" w:color="auto"/>
        <w:right w:val="none" w:sz="0" w:space="0" w:color="auto"/>
      </w:divBdr>
    </w:div>
    <w:div w:id="1688410393">
      <w:bodyDiv w:val="1"/>
      <w:marLeft w:val="0"/>
      <w:marRight w:val="0"/>
      <w:marTop w:val="0"/>
      <w:marBottom w:val="0"/>
      <w:divBdr>
        <w:top w:val="none" w:sz="0" w:space="0" w:color="auto"/>
        <w:left w:val="none" w:sz="0" w:space="0" w:color="auto"/>
        <w:bottom w:val="none" w:sz="0" w:space="0" w:color="auto"/>
        <w:right w:val="none" w:sz="0" w:space="0" w:color="auto"/>
      </w:divBdr>
    </w:div>
    <w:div w:id="1696147959">
      <w:bodyDiv w:val="1"/>
      <w:marLeft w:val="0"/>
      <w:marRight w:val="0"/>
      <w:marTop w:val="0"/>
      <w:marBottom w:val="0"/>
      <w:divBdr>
        <w:top w:val="none" w:sz="0" w:space="0" w:color="auto"/>
        <w:left w:val="none" w:sz="0" w:space="0" w:color="auto"/>
        <w:bottom w:val="none" w:sz="0" w:space="0" w:color="auto"/>
        <w:right w:val="none" w:sz="0" w:space="0" w:color="auto"/>
      </w:divBdr>
    </w:div>
    <w:div w:id="1699357864">
      <w:bodyDiv w:val="1"/>
      <w:marLeft w:val="0"/>
      <w:marRight w:val="0"/>
      <w:marTop w:val="0"/>
      <w:marBottom w:val="0"/>
      <w:divBdr>
        <w:top w:val="none" w:sz="0" w:space="0" w:color="auto"/>
        <w:left w:val="none" w:sz="0" w:space="0" w:color="auto"/>
        <w:bottom w:val="none" w:sz="0" w:space="0" w:color="auto"/>
        <w:right w:val="none" w:sz="0" w:space="0" w:color="auto"/>
      </w:divBdr>
    </w:div>
    <w:div w:id="1708675522">
      <w:bodyDiv w:val="1"/>
      <w:marLeft w:val="0"/>
      <w:marRight w:val="0"/>
      <w:marTop w:val="0"/>
      <w:marBottom w:val="0"/>
      <w:divBdr>
        <w:top w:val="none" w:sz="0" w:space="0" w:color="auto"/>
        <w:left w:val="none" w:sz="0" w:space="0" w:color="auto"/>
        <w:bottom w:val="none" w:sz="0" w:space="0" w:color="auto"/>
        <w:right w:val="none" w:sz="0" w:space="0" w:color="auto"/>
      </w:divBdr>
    </w:div>
    <w:div w:id="1718237509">
      <w:bodyDiv w:val="1"/>
      <w:marLeft w:val="0"/>
      <w:marRight w:val="0"/>
      <w:marTop w:val="0"/>
      <w:marBottom w:val="0"/>
      <w:divBdr>
        <w:top w:val="none" w:sz="0" w:space="0" w:color="auto"/>
        <w:left w:val="none" w:sz="0" w:space="0" w:color="auto"/>
        <w:bottom w:val="none" w:sz="0" w:space="0" w:color="auto"/>
        <w:right w:val="none" w:sz="0" w:space="0" w:color="auto"/>
      </w:divBdr>
    </w:div>
    <w:div w:id="1764181530">
      <w:bodyDiv w:val="1"/>
      <w:marLeft w:val="0"/>
      <w:marRight w:val="0"/>
      <w:marTop w:val="0"/>
      <w:marBottom w:val="0"/>
      <w:divBdr>
        <w:top w:val="none" w:sz="0" w:space="0" w:color="auto"/>
        <w:left w:val="none" w:sz="0" w:space="0" w:color="auto"/>
        <w:bottom w:val="none" w:sz="0" w:space="0" w:color="auto"/>
        <w:right w:val="none" w:sz="0" w:space="0" w:color="auto"/>
      </w:divBdr>
    </w:div>
    <w:div w:id="1766266275">
      <w:bodyDiv w:val="1"/>
      <w:marLeft w:val="0"/>
      <w:marRight w:val="0"/>
      <w:marTop w:val="0"/>
      <w:marBottom w:val="0"/>
      <w:divBdr>
        <w:top w:val="none" w:sz="0" w:space="0" w:color="auto"/>
        <w:left w:val="none" w:sz="0" w:space="0" w:color="auto"/>
        <w:bottom w:val="none" w:sz="0" w:space="0" w:color="auto"/>
        <w:right w:val="none" w:sz="0" w:space="0" w:color="auto"/>
      </w:divBdr>
    </w:div>
    <w:div w:id="1776712650">
      <w:bodyDiv w:val="1"/>
      <w:marLeft w:val="0"/>
      <w:marRight w:val="0"/>
      <w:marTop w:val="0"/>
      <w:marBottom w:val="0"/>
      <w:divBdr>
        <w:top w:val="none" w:sz="0" w:space="0" w:color="auto"/>
        <w:left w:val="none" w:sz="0" w:space="0" w:color="auto"/>
        <w:bottom w:val="none" w:sz="0" w:space="0" w:color="auto"/>
        <w:right w:val="none" w:sz="0" w:space="0" w:color="auto"/>
      </w:divBdr>
    </w:div>
    <w:div w:id="1789665571">
      <w:bodyDiv w:val="1"/>
      <w:marLeft w:val="0"/>
      <w:marRight w:val="0"/>
      <w:marTop w:val="0"/>
      <w:marBottom w:val="0"/>
      <w:divBdr>
        <w:top w:val="none" w:sz="0" w:space="0" w:color="auto"/>
        <w:left w:val="none" w:sz="0" w:space="0" w:color="auto"/>
        <w:bottom w:val="none" w:sz="0" w:space="0" w:color="auto"/>
        <w:right w:val="none" w:sz="0" w:space="0" w:color="auto"/>
      </w:divBdr>
    </w:div>
    <w:div w:id="1797672655">
      <w:bodyDiv w:val="1"/>
      <w:marLeft w:val="0"/>
      <w:marRight w:val="0"/>
      <w:marTop w:val="0"/>
      <w:marBottom w:val="0"/>
      <w:divBdr>
        <w:top w:val="none" w:sz="0" w:space="0" w:color="auto"/>
        <w:left w:val="none" w:sz="0" w:space="0" w:color="auto"/>
        <w:bottom w:val="none" w:sz="0" w:space="0" w:color="auto"/>
        <w:right w:val="none" w:sz="0" w:space="0" w:color="auto"/>
      </w:divBdr>
    </w:div>
    <w:div w:id="1804928730">
      <w:bodyDiv w:val="1"/>
      <w:marLeft w:val="0"/>
      <w:marRight w:val="0"/>
      <w:marTop w:val="0"/>
      <w:marBottom w:val="0"/>
      <w:divBdr>
        <w:top w:val="none" w:sz="0" w:space="0" w:color="auto"/>
        <w:left w:val="none" w:sz="0" w:space="0" w:color="auto"/>
        <w:bottom w:val="none" w:sz="0" w:space="0" w:color="auto"/>
        <w:right w:val="none" w:sz="0" w:space="0" w:color="auto"/>
      </w:divBdr>
    </w:div>
    <w:div w:id="1811753023">
      <w:bodyDiv w:val="1"/>
      <w:marLeft w:val="0"/>
      <w:marRight w:val="0"/>
      <w:marTop w:val="0"/>
      <w:marBottom w:val="0"/>
      <w:divBdr>
        <w:top w:val="none" w:sz="0" w:space="0" w:color="auto"/>
        <w:left w:val="none" w:sz="0" w:space="0" w:color="auto"/>
        <w:bottom w:val="none" w:sz="0" w:space="0" w:color="auto"/>
        <w:right w:val="none" w:sz="0" w:space="0" w:color="auto"/>
      </w:divBdr>
    </w:div>
    <w:div w:id="1816407751">
      <w:bodyDiv w:val="1"/>
      <w:marLeft w:val="0"/>
      <w:marRight w:val="0"/>
      <w:marTop w:val="0"/>
      <w:marBottom w:val="0"/>
      <w:divBdr>
        <w:top w:val="none" w:sz="0" w:space="0" w:color="auto"/>
        <w:left w:val="none" w:sz="0" w:space="0" w:color="auto"/>
        <w:bottom w:val="none" w:sz="0" w:space="0" w:color="auto"/>
        <w:right w:val="none" w:sz="0" w:space="0" w:color="auto"/>
      </w:divBdr>
    </w:div>
    <w:div w:id="1850874893">
      <w:bodyDiv w:val="1"/>
      <w:marLeft w:val="0"/>
      <w:marRight w:val="0"/>
      <w:marTop w:val="0"/>
      <w:marBottom w:val="0"/>
      <w:divBdr>
        <w:top w:val="none" w:sz="0" w:space="0" w:color="auto"/>
        <w:left w:val="none" w:sz="0" w:space="0" w:color="auto"/>
        <w:bottom w:val="none" w:sz="0" w:space="0" w:color="auto"/>
        <w:right w:val="none" w:sz="0" w:space="0" w:color="auto"/>
      </w:divBdr>
    </w:div>
    <w:div w:id="1871413117">
      <w:bodyDiv w:val="1"/>
      <w:marLeft w:val="0"/>
      <w:marRight w:val="0"/>
      <w:marTop w:val="0"/>
      <w:marBottom w:val="0"/>
      <w:divBdr>
        <w:top w:val="none" w:sz="0" w:space="0" w:color="auto"/>
        <w:left w:val="none" w:sz="0" w:space="0" w:color="auto"/>
        <w:bottom w:val="none" w:sz="0" w:space="0" w:color="auto"/>
        <w:right w:val="none" w:sz="0" w:space="0" w:color="auto"/>
      </w:divBdr>
    </w:div>
    <w:div w:id="1875194686">
      <w:bodyDiv w:val="1"/>
      <w:marLeft w:val="0"/>
      <w:marRight w:val="0"/>
      <w:marTop w:val="0"/>
      <w:marBottom w:val="0"/>
      <w:divBdr>
        <w:top w:val="none" w:sz="0" w:space="0" w:color="auto"/>
        <w:left w:val="none" w:sz="0" w:space="0" w:color="auto"/>
        <w:bottom w:val="none" w:sz="0" w:space="0" w:color="auto"/>
        <w:right w:val="none" w:sz="0" w:space="0" w:color="auto"/>
      </w:divBdr>
    </w:div>
    <w:div w:id="1877500008">
      <w:bodyDiv w:val="1"/>
      <w:marLeft w:val="0"/>
      <w:marRight w:val="0"/>
      <w:marTop w:val="0"/>
      <w:marBottom w:val="0"/>
      <w:divBdr>
        <w:top w:val="none" w:sz="0" w:space="0" w:color="auto"/>
        <w:left w:val="none" w:sz="0" w:space="0" w:color="auto"/>
        <w:bottom w:val="none" w:sz="0" w:space="0" w:color="auto"/>
        <w:right w:val="none" w:sz="0" w:space="0" w:color="auto"/>
      </w:divBdr>
    </w:div>
    <w:div w:id="1882743216">
      <w:bodyDiv w:val="1"/>
      <w:marLeft w:val="0"/>
      <w:marRight w:val="0"/>
      <w:marTop w:val="0"/>
      <w:marBottom w:val="0"/>
      <w:divBdr>
        <w:top w:val="none" w:sz="0" w:space="0" w:color="auto"/>
        <w:left w:val="none" w:sz="0" w:space="0" w:color="auto"/>
        <w:bottom w:val="none" w:sz="0" w:space="0" w:color="auto"/>
        <w:right w:val="none" w:sz="0" w:space="0" w:color="auto"/>
      </w:divBdr>
    </w:div>
    <w:div w:id="1893736607">
      <w:bodyDiv w:val="1"/>
      <w:marLeft w:val="0"/>
      <w:marRight w:val="0"/>
      <w:marTop w:val="0"/>
      <w:marBottom w:val="0"/>
      <w:divBdr>
        <w:top w:val="none" w:sz="0" w:space="0" w:color="auto"/>
        <w:left w:val="none" w:sz="0" w:space="0" w:color="auto"/>
        <w:bottom w:val="none" w:sz="0" w:space="0" w:color="auto"/>
        <w:right w:val="none" w:sz="0" w:space="0" w:color="auto"/>
      </w:divBdr>
    </w:div>
    <w:div w:id="1906332694">
      <w:bodyDiv w:val="1"/>
      <w:marLeft w:val="0"/>
      <w:marRight w:val="0"/>
      <w:marTop w:val="0"/>
      <w:marBottom w:val="0"/>
      <w:divBdr>
        <w:top w:val="none" w:sz="0" w:space="0" w:color="auto"/>
        <w:left w:val="none" w:sz="0" w:space="0" w:color="auto"/>
        <w:bottom w:val="none" w:sz="0" w:space="0" w:color="auto"/>
        <w:right w:val="none" w:sz="0" w:space="0" w:color="auto"/>
      </w:divBdr>
    </w:div>
    <w:div w:id="1919441562">
      <w:bodyDiv w:val="1"/>
      <w:marLeft w:val="0"/>
      <w:marRight w:val="0"/>
      <w:marTop w:val="0"/>
      <w:marBottom w:val="0"/>
      <w:divBdr>
        <w:top w:val="none" w:sz="0" w:space="0" w:color="auto"/>
        <w:left w:val="none" w:sz="0" w:space="0" w:color="auto"/>
        <w:bottom w:val="none" w:sz="0" w:space="0" w:color="auto"/>
        <w:right w:val="none" w:sz="0" w:space="0" w:color="auto"/>
      </w:divBdr>
    </w:div>
    <w:div w:id="1922913217">
      <w:bodyDiv w:val="1"/>
      <w:marLeft w:val="0"/>
      <w:marRight w:val="0"/>
      <w:marTop w:val="0"/>
      <w:marBottom w:val="0"/>
      <w:divBdr>
        <w:top w:val="none" w:sz="0" w:space="0" w:color="auto"/>
        <w:left w:val="none" w:sz="0" w:space="0" w:color="auto"/>
        <w:bottom w:val="none" w:sz="0" w:space="0" w:color="auto"/>
        <w:right w:val="none" w:sz="0" w:space="0" w:color="auto"/>
      </w:divBdr>
    </w:div>
    <w:div w:id="1944604373">
      <w:bodyDiv w:val="1"/>
      <w:marLeft w:val="0"/>
      <w:marRight w:val="0"/>
      <w:marTop w:val="0"/>
      <w:marBottom w:val="0"/>
      <w:divBdr>
        <w:top w:val="none" w:sz="0" w:space="0" w:color="auto"/>
        <w:left w:val="none" w:sz="0" w:space="0" w:color="auto"/>
        <w:bottom w:val="none" w:sz="0" w:space="0" w:color="auto"/>
        <w:right w:val="none" w:sz="0" w:space="0" w:color="auto"/>
      </w:divBdr>
    </w:div>
    <w:div w:id="1965653092">
      <w:bodyDiv w:val="1"/>
      <w:marLeft w:val="0"/>
      <w:marRight w:val="0"/>
      <w:marTop w:val="0"/>
      <w:marBottom w:val="0"/>
      <w:divBdr>
        <w:top w:val="none" w:sz="0" w:space="0" w:color="auto"/>
        <w:left w:val="none" w:sz="0" w:space="0" w:color="auto"/>
        <w:bottom w:val="none" w:sz="0" w:space="0" w:color="auto"/>
        <w:right w:val="none" w:sz="0" w:space="0" w:color="auto"/>
      </w:divBdr>
    </w:div>
    <w:div w:id="2018919730">
      <w:bodyDiv w:val="1"/>
      <w:marLeft w:val="0"/>
      <w:marRight w:val="0"/>
      <w:marTop w:val="0"/>
      <w:marBottom w:val="0"/>
      <w:divBdr>
        <w:top w:val="none" w:sz="0" w:space="0" w:color="auto"/>
        <w:left w:val="none" w:sz="0" w:space="0" w:color="auto"/>
        <w:bottom w:val="none" w:sz="0" w:space="0" w:color="auto"/>
        <w:right w:val="none" w:sz="0" w:space="0" w:color="auto"/>
      </w:divBdr>
    </w:div>
    <w:div w:id="2063745394">
      <w:bodyDiv w:val="1"/>
      <w:marLeft w:val="0"/>
      <w:marRight w:val="0"/>
      <w:marTop w:val="0"/>
      <w:marBottom w:val="0"/>
      <w:divBdr>
        <w:top w:val="none" w:sz="0" w:space="0" w:color="auto"/>
        <w:left w:val="none" w:sz="0" w:space="0" w:color="auto"/>
        <w:bottom w:val="none" w:sz="0" w:space="0" w:color="auto"/>
        <w:right w:val="none" w:sz="0" w:space="0" w:color="auto"/>
      </w:divBdr>
    </w:div>
    <w:div w:id="2072314775">
      <w:bodyDiv w:val="1"/>
      <w:marLeft w:val="0"/>
      <w:marRight w:val="0"/>
      <w:marTop w:val="0"/>
      <w:marBottom w:val="0"/>
      <w:divBdr>
        <w:top w:val="none" w:sz="0" w:space="0" w:color="auto"/>
        <w:left w:val="none" w:sz="0" w:space="0" w:color="auto"/>
        <w:bottom w:val="none" w:sz="0" w:space="0" w:color="auto"/>
        <w:right w:val="none" w:sz="0" w:space="0" w:color="auto"/>
      </w:divBdr>
    </w:div>
    <w:div w:id="2081824780">
      <w:bodyDiv w:val="1"/>
      <w:marLeft w:val="0"/>
      <w:marRight w:val="0"/>
      <w:marTop w:val="0"/>
      <w:marBottom w:val="0"/>
      <w:divBdr>
        <w:top w:val="none" w:sz="0" w:space="0" w:color="auto"/>
        <w:left w:val="none" w:sz="0" w:space="0" w:color="auto"/>
        <w:bottom w:val="none" w:sz="0" w:space="0" w:color="auto"/>
        <w:right w:val="none" w:sz="0" w:space="0" w:color="auto"/>
      </w:divBdr>
    </w:div>
    <w:div w:id="2092698617">
      <w:bodyDiv w:val="1"/>
      <w:marLeft w:val="0"/>
      <w:marRight w:val="0"/>
      <w:marTop w:val="0"/>
      <w:marBottom w:val="0"/>
      <w:divBdr>
        <w:top w:val="none" w:sz="0" w:space="0" w:color="auto"/>
        <w:left w:val="none" w:sz="0" w:space="0" w:color="auto"/>
        <w:bottom w:val="none" w:sz="0" w:space="0" w:color="auto"/>
        <w:right w:val="none" w:sz="0" w:space="0" w:color="auto"/>
      </w:divBdr>
    </w:div>
    <w:div w:id="2093424846">
      <w:bodyDiv w:val="1"/>
      <w:marLeft w:val="0"/>
      <w:marRight w:val="0"/>
      <w:marTop w:val="0"/>
      <w:marBottom w:val="0"/>
      <w:divBdr>
        <w:top w:val="none" w:sz="0" w:space="0" w:color="auto"/>
        <w:left w:val="none" w:sz="0" w:space="0" w:color="auto"/>
        <w:bottom w:val="none" w:sz="0" w:space="0" w:color="auto"/>
        <w:right w:val="none" w:sz="0" w:space="0" w:color="auto"/>
      </w:divBdr>
    </w:div>
    <w:div w:id="2108384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charts/_rels/chart1.xml.rels><?xml version="1.0" encoding="UTF-8" standalone="yes"?>
<Relationships xmlns="http://schemas.openxmlformats.org/package/2006/relationships"><Relationship Id="rId3" Type="http://schemas.openxmlformats.org/officeDocument/2006/relationships/oleObject" Target="https://uoneduau-my.sharepoint.com/personal/c3399991_uon_edu_au/Documents/Desktop/Newly%20Structured%20Folder/Paper%201/Data/Paper%201%20SLR%20data%20and%20analysis%20(16%20Dec%202025)%20-%20Copy.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sz="1400" b="0" i="0" u="none" strike="noStrike" baseline="0"/>
              <a:t>Figure 2. annual publication counts by major NFIA research </a:t>
            </a:r>
            <a:r>
              <a:rPr lang="en-US" sz="1400" b="0" i="0" u="none" strike="noStrike" baseline="0">
                <a:effectLst/>
              </a:rPr>
              <a:t>subject domainssubject domains</a:t>
            </a:r>
            <a:r>
              <a:rPr lang="en-AU" sz="1400" b="0" i="0" u="none" strike="noStrike" baseline="0"/>
              <a:t> in top accounting journals (1990 – 2025)</a:t>
            </a:r>
            <a:endParaRPr lang="en-A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AU"/>
        </a:p>
      </c:txPr>
    </c:title>
    <c:autoTitleDeleted val="0"/>
    <c:plotArea>
      <c:layout/>
      <c:areaChart>
        <c:grouping val="stacked"/>
        <c:varyColors val="0"/>
        <c:ser>
          <c:idx val="0"/>
          <c:order val="0"/>
          <c:tx>
            <c:strRef>
              <c:f>'Stacked area chart'!$B$1</c:f>
              <c:strCache>
                <c:ptCount val="1"/>
                <c:pt idx="0">
                  <c:v>CSR/ESG/Sustainability</c:v>
                </c:pt>
              </c:strCache>
            </c:strRef>
          </c:tx>
          <c:spPr>
            <a:solidFill>
              <a:schemeClr val="accent1"/>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chart'!$B$2:$B$37</c:f>
              <c:numCache>
                <c:formatCode>General</c:formatCode>
                <c:ptCount val="36"/>
                <c:pt idx="0">
                  <c:v>0</c:v>
                </c:pt>
                <c:pt idx="1">
                  <c:v>0</c:v>
                </c:pt>
                <c:pt idx="2">
                  <c:v>0</c:v>
                </c:pt>
                <c:pt idx="3">
                  <c:v>0</c:v>
                </c:pt>
                <c:pt idx="4">
                  <c:v>0</c:v>
                </c:pt>
                <c:pt idx="5">
                  <c:v>1</c:v>
                </c:pt>
                <c:pt idx="6">
                  <c:v>0</c:v>
                </c:pt>
                <c:pt idx="7">
                  <c:v>0</c:v>
                </c:pt>
                <c:pt idx="8">
                  <c:v>1</c:v>
                </c:pt>
                <c:pt idx="9">
                  <c:v>0</c:v>
                </c:pt>
                <c:pt idx="10">
                  <c:v>1</c:v>
                </c:pt>
                <c:pt idx="11">
                  <c:v>3</c:v>
                </c:pt>
                <c:pt idx="12">
                  <c:v>0</c:v>
                </c:pt>
                <c:pt idx="13">
                  <c:v>1</c:v>
                </c:pt>
                <c:pt idx="14">
                  <c:v>1</c:v>
                </c:pt>
                <c:pt idx="15">
                  <c:v>1</c:v>
                </c:pt>
                <c:pt idx="16">
                  <c:v>0</c:v>
                </c:pt>
                <c:pt idx="17">
                  <c:v>0</c:v>
                </c:pt>
                <c:pt idx="18">
                  <c:v>0</c:v>
                </c:pt>
                <c:pt idx="19">
                  <c:v>2</c:v>
                </c:pt>
                <c:pt idx="20">
                  <c:v>0</c:v>
                </c:pt>
                <c:pt idx="21">
                  <c:v>2</c:v>
                </c:pt>
                <c:pt idx="22">
                  <c:v>1</c:v>
                </c:pt>
                <c:pt idx="23">
                  <c:v>0</c:v>
                </c:pt>
                <c:pt idx="24">
                  <c:v>1</c:v>
                </c:pt>
                <c:pt idx="25">
                  <c:v>5</c:v>
                </c:pt>
                <c:pt idx="26">
                  <c:v>1</c:v>
                </c:pt>
                <c:pt idx="27">
                  <c:v>2</c:v>
                </c:pt>
                <c:pt idx="28">
                  <c:v>6</c:v>
                </c:pt>
                <c:pt idx="29">
                  <c:v>10</c:v>
                </c:pt>
                <c:pt idx="30">
                  <c:v>7</c:v>
                </c:pt>
                <c:pt idx="31">
                  <c:v>6</c:v>
                </c:pt>
                <c:pt idx="32">
                  <c:v>5</c:v>
                </c:pt>
                <c:pt idx="33">
                  <c:v>2</c:v>
                </c:pt>
                <c:pt idx="34">
                  <c:v>4</c:v>
                </c:pt>
                <c:pt idx="35">
                  <c:v>13</c:v>
                </c:pt>
              </c:numCache>
            </c:numRef>
          </c:val>
          <c:extLst>
            <c:ext xmlns:c16="http://schemas.microsoft.com/office/drawing/2014/chart" uri="{C3380CC4-5D6E-409C-BE32-E72D297353CC}">
              <c16:uniqueId val="{00000000-9DB2-424C-89A6-E89BDA0797EB}"/>
            </c:ext>
          </c:extLst>
        </c:ser>
        <c:ser>
          <c:idx val="1"/>
          <c:order val="1"/>
          <c:tx>
            <c:strRef>
              <c:f>'Stacked area chart'!$C$1</c:f>
              <c:strCache>
                <c:ptCount val="1"/>
                <c:pt idx="0">
                  <c:v>Performance Audit</c:v>
                </c:pt>
              </c:strCache>
            </c:strRef>
          </c:tx>
          <c:spPr>
            <a:solidFill>
              <a:schemeClr val="accent2"/>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chart'!$C$2:$C$37</c:f>
              <c:numCache>
                <c:formatCode>General</c:formatCode>
                <c:ptCount val="36"/>
                <c:pt idx="0">
                  <c:v>0</c:v>
                </c:pt>
                <c:pt idx="1">
                  <c:v>0</c:v>
                </c:pt>
                <c:pt idx="2">
                  <c:v>0</c:v>
                </c:pt>
                <c:pt idx="3">
                  <c:v>0</c:v>
                </c:pt>
                <c:pt idx="4">
                  <c:v>0</c:v>
                </c:pt>
                <c:pt idx="5">
                  <c:v>0</c:v>
                </c:pt>
                <c:pt idx="6">
                  <c:v>0</c:v>
                </c:pt>
                <c:pt idx="7">
                  <c:v>1</c:v>
                </c:pt>
                <c:pt idx="8">
                  <c:v>1</c:v>
                </c:pt>
                <c:pt idx="9">
                  <c:v>1</c:v>
                </c:pt>
                <c:pt idx="10">
                  <c:v>0</c:v>
                </c:pt>
                <c:pt idx="11">
                  <c:v>1</c:v>
                </c:pt>
                <c:pt idx="12">
                  <c:v>0</c:v>
                </c:pt>
                <c:pt idx="13">
                  <c:v>1</c:v>
                </c:pt>
                <c:pt idx="14">
                  <c:v>0</c:v>
                </c:pt>
                <c:pt idx="15">
                  <c:v>1</c:v>
                </c:pt>
                <c:pt idx="16">
                  <c:v>0</c:v>
                </c:pt>
                <c:pt idx="17">
                  <c:v>1</c:v>
                </c:pt>
                <c:pt idx="18">
                  <c:v>1</c:v>
                </c:pt>
                <c:pt idx="19">
                  <c:v>1</c:v>
                </c:pt>
                <c:pt idx="20">
                  <c:v>2</c:v>
                </c:pt>
                <c:pt idx="21">
                  <c:v>1</c:v>
                </c:pt>
                <c:pt idx="22">
                  <c:v>1</c:v>
                </c:pt>
                <c:pt idx="23">
                  <c:v>0</c:v>
                </c:pt>
                <c:pt idx="24">
                  <c:v>1</c:v>
                </c:pt>
                <c:pt idx="25">
                  <c:v>2</c:v>
                </c:pt>
                <c:pt idx="26">
                  <c:v>2</c:v>
                </c:pt>
                <c:pt idx="27">
                  <c:v>3</c:v>
                </c:pt>
                <c:pt idx="28">
                  <c:v>1</c:v>
                </c:pt>
                <c:pt idx="29">
                  <c:v>6</c:v>
                </c:pt>
                <c:pt idx="30">
                  <c:v>0</c:v>
                </c:pt>
                <c:pt idx="31">
                  <c:v>1</c:v>
                </c:pt>
                <c:pt idx="32">
                  <c:v>2</c:v>
                </c:pt>
                <c:pt idx="33">
                  <c:v>3</c:v>
                </c:pt>
                <c:pt idx="34">
                  <c:v>1</c:v>
                </c:pt>
                <c:pt idx="35">
                  <c:v>1</c:v>
                </c:pt>
              </c:numCache>
            </c:numRef>
          </c:val>
          <c:extLst>
            <c:ext xmlns:c16="http://schemas.microsoft.com/office/drawing/2014/chart" uri="{C3380CC4-5D6E-409C-BE32-E72D297353CC}">
              <c16:uniqueId val="{00000001-9DB2-424C-89A6-E89BDA0797EB}"/>
            </c:ext>
          </c:extLst>
        </c:ser>
        <c:ser>
          <c:idx val="2"/>
          <c:order val="2"/>
          <c:tx>
            <c:strRef>
              <c:f>'Stacked area chart'!$D$1</c:f>
              <c:strCache>
                <c:ptCount val="1"/>
                <c:pt idx="0">
                  <c:v>Carbon (GHG)</c:v>
                </c:pt>
              </c:strCache>
            </c:strRef>
          </c:tx>
          <c:spPr>
            <a:solidFill>
              <a:schemeClr val="accent3"/>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chart'!$D$2:$D$37</c:f>
              <c:numCache>
                <c:formatCode>General</c:formatCode>
                <c:ptCount val="36"/>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1</c:v>
                </c:pt>
                <c:pt idx="22">
                  <c:v>0</c:v>
                </c:pt>
                <c:pt idx="23">
                  <c:v>1</c:v>
                </c:pt>
                <c:pt idx="24">
                  <c:v>0</c:v>
                </c:pt>
                <c:pt idx="25">
                  <c:v>0</c:v>
                </c:pt>
                <c:pt idx="26">
                  <c:v>2</c:v>
                </c:pt>
                <c:pt idx="27">
                  <c:v>1</c:v>
                </c:pt>
                <c:pt idx="28">
                  <c:v>1</c:v>
                </c:pt>
                <c:pt idx="29">
                  <c:v>1</c:v>
                </c:pt>
                <c:pt idx="30">
                  <c:v>0</c:v>
                </c:pt>
                <c:pt idx="31">
                  <c:v>0</c:v>
                </c:pt>
                <c:pt idx="32">
                  <c:v>0</c:v>
                </c:pt>
                <c:pt idx="33">
                  <c:v>1</c:v>
                </c:pt>
                <c:pt idx="34">
                  <c:v>0</c:v>
                </c:pt>
                <c:pt idx="35">
                  <c:v>0</c:v>
                </c:pt>
              </c:numCache>
            </c:numRef>
          </c:val>
          <c:extLst>
            <c:ext xmlns:c16="http://schemas.microsoft.com/office/drawing/2014/chart" uri="{C3380CC4-5D6E-409C-BE32-E72D297353CC}">
              <c16:uniqueId val="{00000002-9DB2-424C-89A6-E89BDA0797EB}"/>
            </c:ext>
          </c:extLst>
        </c:ser>
        <c:ser>
          <c:idx val="3"/>
          <c:order val="3"/>
          <c:tx>
            <c:strRef>
              <c:f>'Stacked area chart'!$E$1</c:f>
              <c:strCache>
                <c:ptCount val="1"/>
                <c:pt idx="0">
                  <c:v>Other</c:v>
                </c:pt>
              </c:strCache>
            </c:strRef>
          </c:tx>
          <c:spPr>
            <a:solidFill>
              <a:schemeClr val="accent4"/>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chart'!$E$2:$E$37</c:f>
              <c:numCache>
                <c:formatCode>General</c:formatCode>
                <c:ptCount val="36"/>
                <c:pt idx="0">
                  <c:v>0</c:v>
                </c:pt>
                <c:pt idx="1">
                  <c:v>0</c:v>
                </c:pt>
                <c:pt idx="2">
                  <c:v>0</c:v>
                </c:pt>
                <c:pt idx="3">
                  <c:v>0</c:v>
                </c:pt>
                <c:pt idx="4">
                  <c:v>0</c:v>
                </c:pt>
                <c:pt idx="5">
                  <c:v>0</c:v>
                </c:pt>
                <c:pt idx="6">
                  <c:v>0</c:v>
                </c:pt>
                <c:pt idx="7">
                  <c:v>0</c:v>
                </c:pt>
                <c:pt idx="8">
                  <c:v>0</c:v>
                </c:pt>
                <c:pt idx="9">
                  <c:v>0</c:v>
                </c:pt>
                <c:pt idx="10">
                  <c:v>0</c:v>
                </c:pt>
                <c:pt idx="11">
                  <c:v>0</c:v>
                </c:pt>
                <c:pt idx="12">
                  <c:v>1</c:v>
                </c:pt>
                <c:pt idx="13">
                  <c:v>0</c:v>
                </c:pt>
                <c:pt idx="14">
                  <c:v>1</c:v>
                </c:pt>
                <c:pt idx="15">
                  <c:v>0</c:v>
                </c:pt>
                <c:pt idx="16">
                  <c:v>1</c:v>
                </c:pt>
                <c:pt idx="17">
                  <c:v>0</c:v>
                </c:pt>
                <c:pt idx="18">
                  <c:v>0</c:v>
                </c:pt>
                <c:pt idx="19">
                  <c:v>0</c:v>
                </c:pt>
                <c:pt idx="20">
                  <c:v>0</c:v>
                </c:pt>
                <c:pt idx="21">
                  <c:v>0</c:v>
                </c:pt>
                <c:pt idx="22">
                  <c:v>0</c:v>
                </c:pt>
                <c:pt idx="23">
                  <c:v>0</c:v>
                </c:pt>
                <c:pt idx="24">
                  <c:v>1</c:v>
                </c:pt>
                <c:pt idx="25">
                  <c:v>0</c:v>
                </c:pt>
                <c:pt idx="26">
                  <c:v>0</c:v>
                </c:pt>
                <c:pt idx="27">
                  <c:v>0</c:v>
                </c:pt>
                <c:pt idx="28">
                  <c:v>0</c:v>
                </c:pt>
                <c:pt idx="29">
                  <c:v>0</c:v>
                </c:pt>
                <c:pt idx="30">
                  <c:v>0</c:v>
                </c:pt>
                <c:pt idx="31">
                  <c:v>0</c:v>
                </c:pt>
                <c:pt idx="32">
                  <c:v>0</c:v>
                </c:pt>
                <c:pt idx="33">
                  <c:v>0</c:v>
                </c:pt>
                <c:pt idx="34">
                  <c:v>0</c:v>
                </c:pt>
                <c:pt idx="35">
                  <c:v>0</c:v>
                </c:pt>
              </c:numCache>
            </c:numRef>
          </c:val>
          <c:extLst>
            <c:ext xmlns:c16="http://schemas.microsoft.com/office/drawing/2014/chart" uri="{C3380CC4-5D6E-409C-BE32-E72D297353CC}">
              <c16:uniqueId val="{00000003-9DB2-424C-89A6-E89BDA0797EB}"/>
            </c:ext>
          </c:extLst>
        </c:ser>
        <c:dLbls>
          <c:showLegendKey val="0"/>
          <c:showVal val="0"/>
          <c:showCatName val="0"/>
          <c:showSerName val="0"/>
          <c:showPercent val="0"/>
          <c:showBubbleSize val="0"/>
        </c:dLbls>
        <c:axId val="1264624448"/>
        <c:axId val="1172974399"/>
      </c:areaChart>
      <c:catAx>
        <c:axId val="126462444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2974399"/>
        <c:crosses val="autoZero"/>
        <c:auto val="1"/>
        <c:lblAlgn val="ctr"/>
        <c:lblOffset val="100"/>
        <c:noMultiLvlLbl val="0"/>
      </c:catAx>
      <c:valAx>
        <c:axId val="11729743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462444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F55A97-091B-4263-AED5-AC6C7FB54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1636</TotalTime>
  <Pages>39</Pages>
  <Words>12631</Words>
  <Characters>79961</Characters>
  <Application>Microsoft Office Word</Application>
  <DocSecurity>0</DocSecurity>
  <Lines>1378</Lines>
  <Paragraphs>345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Li</dc:creator>
  <cp:keywords/>
  <dc:description/>
  <cp:lastModifiedBy>Barry Li</cp:lastModifiedBy>
  <cp:revision>327</cp:revision>
  <dcterms:created xsi:type="dcterms:W3CDTF">2026-01-04T22:24:00Z</dcterms:created>
  <dcterms:modified xsi:type="dcterms:W3CDTF">2026-01-08T08:07:00Z</dcterms:modified>
</cp:coreProperties>
</file>