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45ED" w14:textId="77777777" w:rsidR="00220EF0" w:rsidRPr="00382579" w:rsidRDefault="00220EF0" w:rsidP="004C4C68">
      <w:pPr>
        <w:jc w:val="center"/>
        <w:rPr>
          <w:b/>
          <w:bCs/>
          <w:sz w:val="36"/>
          <w:szCs w:val="36"/>
        </w:rPr>
      </w:pPr>
      <w:r w:rsidRPr="00382579">
        <w:rPr>
          <w:b/>
          <w:bCs/>
          <w:sz w:val="36"/>
          <w:szCs w:val="36"/>
        </w:rPr>
        <w:t>From ‘</w:t>
      </w:r>
      <w:r w:rsidRPr="00382579">
        <w:rPr>
          <w:rFonts w:hint="eastAsia"/>
          <w:b/>
          <w:bCs/>
          <w:sz w:val="36"/>
          <w:szCs w:val="36"/>
        </w:rPr>
        <w:t>a</w:t>
      </w:r>
      <w:r w:rsidRPr="00382579">
        <w:rPr>
          <w:b/>
          <w:bCs/>
          <w:sz w:val="36"/>
          <w:szCs w:val="36"/>
        </w:rPr>
        <w:t xml:space="preserve">udit </w:t>
      </w:r>
      <w:r w:rsidRPr="00382579">
        <w:rPr>
          <w:rFonts w:hint="eastAsia"/>
          <w:b/>
          <w:bCs/>
          <w:sz w:val="36"/>
          <w:szCs w:val="36"/>
        </w:rPr>
        <w:t>s</w:t>
      </w:r>
      <w:r w:rsidRPr="00382579">
        <w:rPr>
          <w:b/>
          <w:bCs/>
          <w:sz w:val="36"/>
          <w:szCs w:val="36"/>
        </w:rPr>
        <w:t>ociety’ to ‘audit planet’</w:t>
      </w:r>
    </w:p>
    <w:p w14:paraId="6EAC8D81" w14:textId="77777777" w:rsidR="00220EF0" w:rsidRPr="00382579" w:rsidRDefault="00220EF0" w:rsidP="004C4C68">
      <w:pPr>
        <w:jc w:val="center"/>
        <w:rPr>
          <w:sz w:val="36"/>
          <w:szCs w:val="36"/>
        </w:rPr>
      </w:pPr>
      <w:r w:rsidRPr="00382579">
        <w:rPr>
          <w:sz w:val="36"/>
          <w:szCs w:val="36"/>
        </w:rPr>
        <w:t>A systematic review of the non-financial information assurance literature (1990 – 2025)</w:t>
      </w:r>
    </w:p>
    <w:p w14:paraId="6CBD8A2B" w14:textId="77777777" w:rsidR="00220EF0" w:rsidRPr="00382579" w:rsidRDefault="00220EF0">
      <w:pPr>
        <w:rPr>
          <w:b/>
          <w:bCs/>
        </w:rPr>
      </w:pPr>
      <w:r w:rsidRPr="00382579">
        <w:rPr>
          <w:b/>
          <w:bCs/>
        </w:rPr>
        <w:t>Abstract</w:t>
      </w:r>
    </w:p>
    <w:p w14:paraId="3E6A7AA6" w14:textId="77777777" w:rsidR="00220EF0" w:rsidRDefault="00220EF0">
      <w:pPr>
        <w:rPr>
          <w:b/>
          <w:bCs/>
          <w:sz w:val="20"/>
          <w:szCs w:val="20"/>
        </w:rPr>
      </w:pPr>
    </w:p>
    <w:p w14:paraId="15F002DB" w14:textId="77777777" w:rsidR="00220EF0" w:rsidRPr="004D270F" w:rsidRDefault="00220EF0" w:rsidP="001D291B">
      <w:pPr>
        <w:jc w:val="both"/>
        <w:rPr>
          <w:b/>
          <w:bCs/>
          <w:sz w:val="20"/>
          <w:szCs w:val="20"/>
        </w:rPr>
      </w:pPr>
      <w:r w:rsidRPr="004D270F">
        <w:rPr>
          <w:b/>
          <w:bCs/>
          <w:sz w:val="20"/>
          <w:szCs w:val="20"/>
        </w:rPr>
        <w:t>Purpose</w:t>
      </w:r>
    </w:p>
    <w:p w14:paraId="33AA4927" w14:textId="77777777" w:rsidR="00220EF0" w:rsidRDefault="00220EF0" w:rsidP="001D291B">
      <w:pPr>
        <w:jc w:val="both"/>
        <w:rPr>
          <w:sz w:val="20"/>
          <w:szCs w:val="20"/>
        </w:rPr>
      </w:pPr>
      <w:r w:rsidRPr="004E3BCE">
        <w:rPr>
          <w:sz w:val="20"/>
          <w:szCs w:val="20"/>
        </w:rPr>
        <w:t>Non-financial information assurance (NFIA) has expanded over the past 35 years across public-sector performance audit, sustainability and ESG assurance, and environmental and carbon verification, yet the literature remains fragmented. This review traces the development of empirical NFIA research and assesses how it engages with Michael Power’s later refinements of the audit society.</w:t>
      </w:r>
    </w:p>
    <w:p w14:paraId="26C51C7C" w14:textId="77777777" w:rsidR="00220EF0" w:rsidRPr="004D270F" w:rsidRDefault="00220EF0" w:rsidP="001D291B">
      <w:pPr>
        <w:jc w:val="both"/>
        <w:rPr>
          <w:b/>
          <w:bCs/>
          <w:sz w:val="20"/>
          <w:szCs w:val="20"/>
        </w:rPr>
      </w:pPr>
      <w:r w:rsidRPr="004D270F">
        <w:rPr>
          <w:b/>
          <w:bCs/>
          <w:sz w:val="20"/>
          <w:szCs w:val="20"/>
        </w:rPr>
        <w:t>Design/methodology/approach</w:t>
      </w:r>
    </w:p>
    <w:p w14:paraId="72E2872D" w14:textId="77777777" w:rsidR="00220EF0" w:rsidRDefault="00220EF0" w:rsidP="001D291B">
      <w:pPr>
        <w:jc w:val="both"/>
        <w:rPr>
          <w:sz w:val="20"/>
          <w:szCs w:val="20"/>
        </w:rPr>
      </w:pPr>
      <w:r w:rsidRPr="004E3BCE">
        <w:rPr>
          <w:sz w:val="20"/>
          <w:szCs w:val="20"/>
        </w:rPr>
        <w:t>This study reviews 124 empirical NFIA papers published between 1990 and 2025 in A and A* accounting and auditing journals. It combines bibliometric analysis with inductive coding, interpreted through Power’s audit society refinements, to develop a longitudinal synthesis.</w:t>
      </w:r>
    </w:p>
    <w:p w14:paraId="7768CA25" w14:textId="77777777" w:rsidR="00220EF0" w:rsidRPr="004D270F" w:rsidRDefault="00220EF0" w:rsidP="001D291B">
      <w:pPr>
        <w:jc w:val="both"/>
        <w:rPr>
          <w:b/>
          <w:bCs/>
          <w:sz w:val="20"/>
          <w:szCs w:val="20"/>
        </w:rPr>
      </w:pPr>
      <w:r w:rsidRPr="004D270F">
        <w:rPr>
          <w:b/>
          <w:bCs/>
          <w:sz w:val="20"/>
          <w:szCs w:val="20"/>
        </w:rPr>
        <w:t>Findings</w:t>
      </w:r>
    </w:p>
    <w:p w14:paraId="0A1FF6F0" w14:textId="77777777" w:rsidR="00220EF0" w:rsidRDefault="00220EF0" w:rsidP="001D291B">
      <w:pPr>
        <w:jc w:val="both"/>
        <w:rPr>
          <w:sz w:val="20"/>
          <w:szCs w:val="20"/>
        </w:rPr>
      </w:pPr>
      <w:r w:rsidRPr="004E3BCE">
        <w:rPr>
          <w:sz w:val="20"/>
          <w:szCs w:val="20"/>
        </w:rPr>
        <w:t>The analysis shows a shift from early public-sector performance auditing towards market-facing sustainability and ESG assurance, alongside emerging carbon and climate practices. Across domains, assurance increasingly prioritises defensible procedures over testing underlying performance, with credibility and risk management often displacing substantive verification. Quantitative studies focus on market effects, while qualitative work highlights negotiated auditability, hybrid expertise and contested professional boundaries as audit becomes an infrastructural feature of governance.</w:t>
      </w:r>
    </w:p>
    <w:p w14:paraId="075114A8" w14:textId="77777777" w:rsidR="00220EF0" w:rsidRPr="004D270F" w:rsidRDefault="00220EF0" w:rsidP="001D291B">
      <w:pPr>
        <w:jc w:val="both"/>
        <w:rPr>
          <w:b/>
          <w:bCs/>
          <w:sz w:val="20"/>
          <w:szCs w:val="20"/>
        </w:rPr>
      </w:pPr>
      <w:r w:rsidRPr="004D270F">
        <w:rPr>
          <w:b/>
          <w:bCs/>
          <w:sz w:val="20"/>
          <w:szCs w:val="20"/>
        </w:rPr>
        <w:t>Research limitations/implications</w:t>
      </w:r>
    </w:p>
    <w:p w14:paraId="4C921EBD" w14:textId="77777777" w:rsidR="00220EF0" w:rsidRPr="004D270F" w:rsidRDefault="00220EF0" w:rsidP="001D291B">
      <w:pPr>
        <w:jc w:val="both"/>
        <w:rPr>
          <w:sz w:val="20"/>
          <w:szCs w:val="20"/>
        </w:rPr>
      </w:pPr>
      <w:r w:rsidRPr="004D270F">
        <w:rPr>
          <w:sz w:val="20"/>
          <w:szCs w:val="20"/>
        </w:rPr>
        <w:t>By integrating previously siloed assurance domains, the review identifies persistent blind spots, particularly in early-stage auditability construction, political and managerial mediation, and carbon and climate assurance</w:t>
      </w:r>
    </w:p>
    <w:p w14:paraId="1CB20ADC" w14:textId="77777777" w:rsidR="00220EF0" w:rsidRPr="004D270F" w:rsidRDefault="00220EF0" w:rsidP="001D291B">
      <w:pPr>
        <w:jc w:val="both"/>
        <w:rPr>
          <w:sz w:val="20"/>
          <w:szCs w:val="20"/>
        </w:rPr>
      </w:pPr>
      <w:r w:rsidRPr="004D270F">
        <w:rPr>
          <w:b/>
          <w:bCs/>
          <w:sz w:val="20"/>
          <w:szCs w:val="20"/>
        </w:rPr>
        <w:t xml:space="preserve">Originality/value </w:t>
      </w:r>
    </w:p>
    <w:p w14:paraId="7557575C" w14:textId="77777777" w:rsidR="00220EF0" w:rsidRDefault="00220EF0" w:rsidP="001D291B">
      <w:pPr>
        <w:jc w:val="both"/>
        <w:rPr>
          <w:sz w:val="20"/>
          <w:szCs w:val="20"/>
        </w:rPr>
      </w:pPr>
      <w:r w:rsidRPr="004E3BCE">
        <w:rPr>
          <w:sz w:val="20"/>
          <w:szCs w:val="20"/>
        </w:rPr>
        <w:t>This review offers the first longitudinal, field-level synthesis of empirical NFIA research through Power’s later audit society refinements. It introduces the notion of an ‘audit planet’ to capture how verification increasingly operates as background infrastructure rather than as a discrete checking activity.</w:t>
      </w:r>
    </w:p>
    <w:p w14:paraId="32BF6287" w14:textId="77777777" w:rsidR="00220EF0" w:rsidRDefault="00220EF0" w:rsidP="001D291B">
      <w:pPr>
        <w:jc w:val="both"/>
        <w:rPr>
          <w:sz w:val="20"/>
          <w:szCs w:val="20"/>
        </w:rPr>
      </w:pPr>
    </w:p>
    <w:p w14:paraId="7333A37D" w14:textId="77777777" w:rsidR="00220EF0" w:rsidRPr="004D270F" w:rsidRDefault="00220EF0" w:rsidP="001D291B">
      <w:pPr>
        <w:jc w:val="both"/>
        <w:rPr>
          <w:b/>
          <w:bCs/>
          <w:sz w:val="20"/>
          <w:szCs w:val="20"/>
        </w:rPr>
      </w:pPr>
      <w:r w:rsidRPr="004D270F">
        <w:rPr>
          <w:b/>
          <w:bCs/>
          <w:sz w:val="20"/>
          <w:szCs w:val="20"/>
        </w:rPr>
        <w:t>Keywords</w:t>
      </w:r>
      <w:r w:rsidRPr="004D270F">
        <w:rPr>
          <w:rFonts w:hint="eastAsia"/>
          <w:b/>
          <w:bCs/>
          <w:sz w:val="20"/>
          <w:szCs w:val="20"/>
        </w:rPr>
        <w:t xml:space="preserve"> </w:t>
      </w:r>
    </w:p>
    <w:p w14:paraId="1F13F96F" w14:textId="77777777" w:rsidR="00220EF0" w:rsidRPr="004D270F" w:rsidRDefault="00220EF0" w:rsidP="001D291B">
      <w:pPr>
        <w:jc w:val="both"/>
        <w:rPr>
          <w:sz w:val="20"/>
          <w:szCs w:val="20"/>
        </w:rPr>
      </w:pPr>
      <w:r w:rsidRPr="004D270F">
        <w:rPr>
          <w:sz w:val="20"/>
          <w:szCs w:val="20"/>
        </w:rPr>
        <w:t>Non-financial information assurance; systematic literature review; audit society; sustainability assurance; performance audit; carbon assurance</w:t>
      </w:r>
    </w:p>
    <w:p w14:paraId="5C54D716" w14:textId="77777777" w:rsidR="00220EF0" w:rsidRPr="004D270F" w:rsidRDefault="00220EF0" w:rsidP="001D291B">
      <w:pPr>
        <w:jc w:val="both"/>
        <w:rPr>
          <w:b/>
          <w:bCs/>
          <w:sz w:val="20"/>
          <w:szCs w:val="20"/>
        </w:rPr>
      </w:pPr>
      <w:r w:rsidRPr="004D270F">
        <w:rPr>
          <w:b/>
          <w:bCs/>
          <w:sz w:val="20"/>
          <w:szCs w:val="20"/>
        </w:rPr>
        <w:t xml:space="preserve">Paper type </w:t>
      </w:r>
    </w:p>
    <w:p w14:paraId="3DCC56EF" w14:textId="77777777" w:rsidR="00220EF0" w:rsidRPr="004D270F" w:rsidRDefault="00220EF0" w:rsidP="001D291B">
      <w:pPr>
        <w:jc w:val="both"/>
        <w:rPr>
          <w:sz w:val="20"/>
          <w:szCs w:val="20"/>
        </w:rPr>
      </w:pPr>
      <w:r w:rsidRPr="004D270F">
        <w:rPr>
          <w:rFonts w:hint="eastAsia"/>
          <w:sz w:val="20"/>
          <w:szCs w:val="20"/>
        </w:rPr>
        <w:t>Literature Review</w:t>
      </w:r>
    </w:p>
    <w:p w14:paraId="632FF6E6" w14:textId="77777777" w:rsidR="00220EF0" w:rsidRPr="00382579" w:rsidRDefault="00220EF0">
      <w:pPr>
        <w:rPr>
          <w:b/>
          <w:bCs/>
        </w:rPr>
      </w:pPr>
      <w:r w:rsidRPr="00382579">
        <w:rPr>
          <w:b/>
          <w:bCs/>
        </w:rPr>
        <w:lastRenderedPageBreak/>
        <w:br w:type="page"/>
      </w:r>
    </w:p>
    <w:p w14:paraId="421FBADC" w14:textId="77777777" w:rsidR="00220EF0" w:rsidRDefault="00220EF0" w:rsidP="00DF105F">
      <w:pPr>
        <w:spacing w:line="480" w:lineRule="auto"/>
        <w:jc w:val="center"/>
        <w:rPr>
          <w:b/>
          <w:bCs/>
        </w:rPr>
      </w:pPr>
      <w:r w:rsidRPr="00382579">
        <w:rPr>
          <w:b/>
          <w:bCs/>
        </w:rPr>
        <w:lastRenderedPageBreak/>
        <w:t>Introduction</w:t>
      </w:r>
    </w:p>
    <w:p w14:paraId="56505393" w14:textId="77777777" w:rsidR="00220EF0" w:rsidRPr="008D6449" w:rsidRDefault="00220EF0" w:rsidP="001D291B">
      <w:pPr>
        <w:pStyle w:val="ListParagraph"/>
        <w:spacing w:line="480" w:lineRule="auto"/>
        <w:ind w:left="360" w:firstLine="491"/>
        <w:jc w:val="both"/>
      </w:pPr>
      <w:r w:rsidRPr="00D53033">
        <w:t>Over the past three decades, auditing has moved well beyond financial statements and become a pervasive mode of verification shaping how organisations, markets and governments are governed (</w:t>
      </w:r>
      <w:r w:rsidRPr="00DA1FA2">
        <w:t>Dalla Via &amp; Perego, 2020; Power, 1996; Power, 2003</w:t>
      </w:r>
      <w:r>
        <w:t xml:space="preserve">a). </w:t>
      </w:r>
      <w:r w:rsidRPr="00D53033">
        <w:t>Across public-sector performance, corporate sustainability, climate risk and ESG reporting</w:t>
      </w:r>
      <w:r w:rsidRPr="00FB194A">
        <w:t xml:space="preserve">, verification is </w:t>
      </w:r>
      <w:r>
        <w:t>viewed</w:t>
      </w:r>
      <w:r w:rsidRPr="00FB194A">
        <w:t xml:space="preserve"> as infrastructure</w:t>
      </w:r>
      <w:r>
        <w:t xml:space="preserve"> (</w:t>
      </w:r>
      <w:r w:rsidRPr="00C36440">
        <w:t>Aquino, Lino, Azevedo and Silva, 2022</w:t>
      </w:r>
      <w:r w:rsidRPr="00DA1FA2">
        <w:t>; Power, 1996</w:t>
      </w:r>
      <w:r>
        <w:t>)</w:t>
      </w:r>
      <w:r w:rsidRPr="00FB194A">
        <w:t>; in practice, however, its reach is uneven and constrained by mandate, scope and access to evidence</w:t>
      </w:r>
      <w:r>
        <w:t xml:space="preserve"> </w:t>
      </w:r>
      <w:r w:rsidRPr="008D6449">
        <w:t>(</w:t>
      </w:r>
      <w:r w:rsidRPr="00DA1FA2">
        <w:t>Ackers &amp; Eccles, 2015; Bouten &amp; Hoozée, 2025; English, 2007; Funnell &amp; Wade, 2012</w:t>
      </w:r>
      <w:r w:rsidRPr="008D6449">
        <w:t xml:space="preserve">). </w:t>
      </w:r>
      <w:r w:rsidRPr="00201E40">
        <w:t xml:space="preserve">Independent non-financial information assurance (NFIA) increasingly underpins how social, environmental and organisational processes are made visible and comparable across jurisdictions. </w:t>
      </w:r>
      <w:r w:rsidRPr="008D6449">
        <w:t>(</w:t>
      </w:r>
      <w:r w:rsidRPr="00DA1FA2">
        <w:t xml:space="preserve">Perego &amp; Kolk, 2012; </w:t>
      </w:r>
      <w:r w:rsidRPr="00C36440">
        <w:t>Simnett, Vanstraelen and Chua, 2009</w:t>
      </w:r>
      <w:r w:rsidRPr="008D6449">
        <w:t xml:space="preserve">). </w:t>
      </w:r>
      <w:r w:rsidRPr="000C5C13">
        <w:t>Taken together, these developments point to a significant shift in the nature of audit itself</w:t>
      </w:r>
      <w:r w:rsidRPr="008D6449">
        <w:t>: from a bounded professional practice into a globally dispersed system of verification operating across public and private domains, increasingly embedded within data architectures</w:t>
      </w:r>
      <w:r>
        <w:t xml:space="preserve"> (</w:t>
      </w:r>
      <w:r w:rsidRPr="00EC4BBA">
        <w:t>Gu, Dai and Vasarhelyi, 2023; Vasarhelyi</w:t>
      </w:r>
      <w:r w:rsidRPr="00C36440">
        <w:t>, Alles and Williams, 2015</w:t>
      </w:r>
      <w:r>
        <w:t>)</w:t>
      </w:r>
      <w:r w:rsidRPr="008D6449">
        <w:t>, management systems</w:t>
      </w:r>
      <w:r>
        <w:t xml:space="preserve"> (</w:t>
      </w:r>
      <w:r w:rsidRPr="00C36440">
        <w:t>Dogui, Boiral and Gendron, 2013; Morimoto, Ash and Hope, 2005</w:t>
      </w:r>
      <w:r>
        <w:t>)</w:t>
      </w:r>
      <w:r w:rsidRPr="008D6449">
        <w:t>, and regulatory routines (</w:t>
      </w:r>
      <w:r w:rsidRPr="00DA1FA2">
        <w:t xml:space="preserve">Aquino </w:t>
      </w:r>
      <w:r w:rsidRPr="001C79A6">
        <w:rPr>
          <w:i/>
        </w:rPr>
        <w:t>et al</w:t>
      </w:r>
      <w:r w:rsidRPr="00DA1FA2">
        <w:t>., 2022; Kastberg &amp; Ek Österberg, 2017</w:t>
      </w:r>
      <w:r w:rsidRPr="008D6449">
        <w:t>).</w:t>
      </w:r>
    </w:p>
    <w:p w14:paraId="62A31D72" w14:textId="77777777" w:rsidR="00220EF0" w:rsidRPr="008D6449" w:rsidRDefault="00220EF0" w:rsidP="001D291B">
      <w:pPr>
        <w:pStyle w:val="ListParagraph"/>
        <w:spacing w:line="480" w:lineRule="auto"/>
        <w:ind w:left="360" w:firstLine="491"/>
        <w:jc w:val="both"/>
      </w:pPr>
      <w:r w:rsidRPr="008D6449">
        <w:t>A substantial empirical literature has documented this expansion of non-financial assurance</w:t>
      </w:r>
      <w:r>
        <w:t xml:space="preserve"> (</w:t>
      </w:r>
      <w:r w:rsidRPr="00773467">
        <w:t xml:space="preserve">Ackers, 2009; Ackers &amp; Eccles, 2015; Dalla Via &amp; Perego, 2020; </w:t>
      </w:r>
      <w:r w:rsidRPr="00EC4BBA">
        <w:t>Gipper, Ross and Shi, 202</w:t>
      </w:r>
      <w:r>
        <w:t>5</w:t>
      </w:r>
      <w:r w:rsidRPr="00773467">
        <w:t xml:space="preserve">; Simnett </w:t>
      </w:r>
      <w:r w:rsidRPr="001C79A6">
        <w:rPr>
          <w:i/>
        </w:rPr>
        <w:t>et al</w:t>
      </w:r>
      <w:r w:rsidRPr="00773467">
        <w:t>., 2009</w:t>
      </w:r>
      <w:r>
        <w:t>)</w:t>
      </w:r>
      <w:r w:rsidRPr="008D6449">
        <w:t xml:space="preserve">. Prior studies consistently show that NFIA is characterised by the dominance of large accounting firms, the use of standardised assurance frameworks, and its growing relevance for credibility, legitimacy, and capital-market outcomes (Guthrie &amp; Parker, 1999; Perego &amp; Kolk, 2012; </w:t>
      </w:r>
      <w:r w:rsidRPr="008D6449">
        <w:lastRenderedPageBreak/>
        <w:t>Ackers, 2015; Casey &amp; Grenier, 2015). More recent work highlights the acceleration of NFIA into ESG, carbon accounting, and digitally mediated assurance environments, extending verification practices into technically complex and future-oriented domains (</w:t>
      </w:r>
      <w:r w:rsidRPr="00EC4BBA">
        <w:t>Green, Taylor and Wu, 2017; Xing, Shan, Yang and Zhang, 2025</w:t>
      </w:r>
      <w:r w:rsidRPr="008D6449">
        <w:t xml:space="preserve">). </w:t>
      </w:r>
      <w:r w:rsidRPr="00425CBE">
        <w:t xml:space="preserve">Overall, the literature indicates that NFIA has moved closer to the centre of accountability practice, while the substance of what is verified remains </w:t>
      </w:r>
      <w:r w:rsidRPr="00C36440">
        <w:t>selectively delimited</w:t>
      </w:r>
      <w:r>
        <w:t xml:space="preserve"> </w:t>
      </w:r>
      <w:r w:rsidRPr="008D6449">
        <w:t>(</w:t>
      </w:r>
      <w:r w:rsidRPr="00EC4BBA">
        <w:t>Boiral, Heras-Saizarbitoria, Brotherton and Bernard, 2019</w:t>
      </w:r>
      <w:r w:rsidRPr="00773467">
        <w:t>; Bouten &amp; Hoozée, 2025</w:t>
      </w:r>
      <w:r>
        <w:t>;</w:t>
      </w:r>
      <w:r w:rsidRPr="00EC4BBA">
        <w:t xml:space="preserve"> Hummel, Schlick and Fifka, 2019; Morin, 2011; O’Dwyer, Owen and Unerman, 2011</w:t>
      </w:r>
      <w:r>
        <w:t>).</w:t>
      </w:r>
    </w:p>
    <w:p w14:paraId="26AD7F99" w14:textId="77777777" w:rsidR="00220EF0" w:rsidRPr="008D6449" w:rsidRDefault="00220EF0" w:rsidP="001D291B">
      <w:pPr>
        <w:pStyle w:val="ListParagraph"/>
        <w:spacing w:line="480" w:lineRule="auto"/>
        <w:ind w:left="360" w:firstLine="491"/>
        <w:jc w:val="both"/>
      </w:pPr>
      <w:r w:rsidRPr="003B41B0">
        <w:t>At the same time, existing reviews and empirical syntheses tend to examine NFIA through narrowly defined subdomains—such as sustainability and integrated reporting assurance or greenwashing-related assurance—rather than synthesising the longitudinal development of NFIA as a field (</w:t>
      </w:r>
      <w:r w:rsidRPr="00EC4BBA">
        <w:t>Farooq, Azantouti and Zaman, 2023; Free, Jones &amp; Tremblay, 2024; Massaro, Dumay and Guthrie, 2016; Linnenluecke, Marrone and Singh, 2020; Fan, Breslin, Callahan and Iszatt-White, 2022</w:t>
      </w:r>
      <w:r w:rsidRPr="003B41B0">
        <w:t>).</w:t>
      </w:r>
      <w:r>
        <w:t xml:space="preserve"> </w:t>
      </w:r>
      <w:r w:rsidRPr="008D6449">
        <w:t>While these studies provide valuable domain-specific insights, they remain conceptually siloed, offering limited engagement with the shared institutional logics that connect public-sector performance auditing, CSR assurance, ESG verification, and emerging carbon assurance practices (</w:t>
      </w:r>
      <w:r w:rsidRPr="00773467">
        <w:t xml:space="preserve">Boiral </w:t>
      </w:r>
      <w:r w:rsidRPr="001C79A6">
        <w:rPr>
          <w:i/>
        </w:rPr>
        <w:t>et al</w:t>
      </w:r>
      <w:r w:rsidRPr="00773467">
        <w:t xml:space="preserve">., 2019; Bouten &amp; Hoozée, 2025; </w:t>
      </w:r>
      <w:r w:rsidRPr="00EC4BBA">
        <w:t>Parker, Schmitz and Jacobs, 2021</w:t>
      </w:r>
      <w:r w:rsidRPr="00773467">
        <w:t>; Silvola &amp; Vinnari, 2021</w:t>
      </w:r>
      <w:r w:rsidRPr="008D6449">
        <w:t>).</w:t>
      </w:r>
    </w:p>
    <w:p w14:paraId="6904DA9C" w14:textId="77777777" w:rsidR="00220EF0" w:rsidRPr="008D6449" w:rsidRDefault="00220EF0" w:rsidP="001D291B">
      <w:pPr>
        <w:pStyle w:val="ListParagraph"/>
        <w:spacing w:line="480" w:lineRule="auto"/>
        <w:ind w:left="360" w:firstLine="491"/>
        <w:jc w:val="both"/>
      </w:pPr>
      <w:r w:rsidRPr="00C47C21">
        <w:t>This fragmentation matters because it hides the extent to which similar assurance logics are being reproduced across otherwise disconnected domains.</w:t>
      </w:r>
      <w:r>
        <w:t xml:space="preserve"> </w:t>
      </w:r>
      <w:r w:rsidRPr="008D6449">
        <w:t>Analysing NFIA subdomains in isolation obscures the systemic transformation of verification practices across governance domains (</w:t>
      </w:r>
      <w:r w:rsidRPr="00773467">
        <w:t>Humphrey &amp; Miller, 2012; Power, 1996; Power, 2003</w:t>
      </w:r>
      <w:r>
        <w:t>b</w:t>
      </w:r>
      <w:r w:rsidRPr="008D6449">
        <w:t xml:space="preserve">). The expansion of assurance into social and atmospheric </w:t>
      </w:r>
      <w:r w:rsidRPr="008D6449">
        <w:lastRenderedPageBreak/>
        <w:t xml:space="preserve">domains is not merely a technical extension of audit, but a fundamental reconfiguration of how legitimacy and professional authority are produced (Power, 2003a). </w:t>
      </w:r>
      <w:r w:rsidRPr="00676929">
        <w:t>Without an integrated analytical lens, much of the empirical NFIA literature documents proliferation without diagnosis</w:t>
      </w:r>
      <w:r w:rsidRPr="008D6449">
        <w:t>—capturing the spread of assurance practices while leaving their broader governance implications under-theorised (</w:t>
      </w:r>
      <w:r w:rsidRPr="00773467">
        <w:t xml:space="preserve">Boiral </w:t>
      </w:r>
      <w:r w:rsidRPr="001C79A6">
        <w:rPr>
          <w:i/>
        </w:rPr>
        <w:t>et al</w:t>
      </w:r>
      <w:r w:rsidRPr="00773467">
        <w:t xml:space="preserve">., 2019; Humphrey, 2008; O'Dwyer </w:t>
      </w:r>
      <w:r w:rsidRPr="001C79A6">
        <w:rPr>
          <w:i/>
        </w:rPr>
        <w:t>et al</w:t>
      </w:r>
      <w:r w:rsidRPr="00773467">
        <w:t>., 2011; Radcliffe, 2008</w:t>
      </w:r>
      <w:r w:rsidRPr="008D6449">
        <w:t>). As a result, the literature struggles to explain how diverse assurance practices collectively contribute to new forms of regulation, responsibility, and accountability</w:t>
      </w:r>
      <w:r>
        <w:t xml:space="preserve"> (</w:t>
      </w:r>
      <w:r w:rsidRPr="00F5186E">
        <w:t>Ackers &amp; Eccles, 2015; Farooq &amp; de Villiers, 2020; Humphrey &amp; Miller, 2012; Morin, 2011</w:t>
      </w:r>
      <w:r>
        <w:t>)</w:t>
      </w:r>
      <w:r w:rsidRPr="008D6449">
        <w:t>, or how they reshape professional identities and organisational behaviour across sectors (</w:t>
      </w:r>
      <w:r w:rsidRPr="00EC4BBA">
        <w:t>Channuntapipat, Samsonova-Taddei and Turley, 2019</w:t>
      </w:r>
      <w:r w:rsidRPr="00F5186E">
        <w:t>; Gaudy &amp; Malsch, 2023; Justesen &amp; Skærbæk, 2010; Skærbæk, 2009</w:t>
      </w:r>
      <w:r w:rsidRPr="008D6449">
        <w:t>).</w:t>
      </w:r>
    </w:p>
    <w:p w14:paraId="7A437E31" w14:textId="77777777" w:rsidR="00220EF0" w:rsidRPr="008D6449" w:rsidRDefault="00220EF0" w:rsidP="001D291B">
      <w:pPr>
        <w:pStyle w:val="ListParagraph"/>
        <w:spacing w:line="480" w:lineRule="auto"/>
        <w:ind w:left="360" w:firstLine="491"/>
        <w:jc w:val="both"/>
      </w:pPr>
      <w:r w:rsidRPr="00CB2625">
        <w:t>This study draws on Michael Power’s later refinements of the audit society to address this gap.</w:t>
      </w:r>
      <w:r>
        <w:t xml:space="preserve"> </w:t>
      </w:r>
      <w:r w:rsidRPr="008D6449">
        <w:t>While Power’s original diagnosis of an expanding “audit society” highlighted the proliferation of verification practices (</w:t>
      </w:r>
      <w:r>
        <w:t>Power, 1997a</w:t>
      </w:r>
      <w:r w:rsidRPr="008D6449">
        <w:t xml:space="preserve">), his subsequent work shifted attention towards the mechanisms through which audit produces legitimacy, governs at a distance, and increasingly focuses on the “control of control” rather than first-order activities (Power, 2003a; Power, 2003b). </w:t>
      </w:r>
      <w:r w:rsidRPr="00CB2625">
        <w:t>These refinements place emphasis on procedural legitimacy, symbolic verification, system-based governance and the construction of audit subjectivities</w:t>
      </w:r>
      <w:r w:rsidRPr="008D6449">
        <w:t xml:space="preserve">—concerns that resonate strongly with </w:t>
      </w:r>
      <w:r w:rsidRPr="00DB396A">
        <w:t xml:space="preserve">contemporary NFIA practices (Boiral </w:t>
      </w:r>
      <w:r w:rsidRPr="001C79A6">
        <w:rPr>
          <w:i/>
        </w:rPr>
        <w:t>et al</w:t>
      </w:r>
      <w:r w:rsidRPr="00DB396A">
        <w:t xml:space="preserve">., 2019; Kastberg &amp; Ek Österberg, 2017; O’Dwyer </w:t>
      </w:r>
      <w:r w:rsidRPr="001C79A6">
        <w:rPr>
          <w:i/>
        </w:rPr>
        <w:t>et al</w:t>
      </w:r>
      <w:r w:rsidRPr="00DB396A">
        <w:t>., 2011)</w:t>
      </w:r>
    </w:p>
    <w:p w14:paraId="0A4D10BF" w14:textId="77777777" w:rsidR="00220EF0" w:rsidRDefault="00220EF0" w:rsidP="001D291B">
      <w:pPr>
        <w:pStyle w:val="ListParagraph"/>
        <w:spacing w:line="480" w:lineRule="auto"/>
        <w:ind w:left="360" w:firstLine="491"/>
        <w:jc w:val="both"/>
      </w:pPr>
      <w:r w:rsidRPr="00D96B21">
        <w:t xml:space="preserve">Yet, despite their relevance, Power’s later refinements remain only unevenly engaged in review-based syntheses of NFIA. Recent reviews typically concentrate on </w:t>
      </w:r>
      <w:r w:rsidRPr="00D96B21">
        <w:lastRenderedPageBreak/>
        <w:t xml:space="preserve">particular assurance domains—such as sustainability and integrated reporting assurance or greenwashing-related assurance—rather than systematically examining the longitudinal development of NFIA as a field through Power’s audit society refinements (Farooq </w:t>
      </w:r>
      <w:r w:rsidRPr="001C79A6">
        <w:rPr>
          <w:i/>
        </w:rPr>
        <w:t>et al</w:t>
      </w:r>
      <w:r w:rsidRPr="00D96B21">
        <w:t>., 2023; Free, Jones &amp; Tremblay, 2024). As a result</w:t>
      </w:r>
      <w:r w:rsidRPr="00D96B21">
        <w:rPr>
          <w:b/>
          <w:bCs/>
        </w:rPr>
        <w:t>,</w:t>
      </w:r>
      <w:r w:rsidRPr="00D96B21">
        <w:t xml:space="preserve"> NFIA represents a privileged site for revisiting and empirically evaluating these theoretical claims. Unlike financial auditing, which has become stabilised and largely </w:t>
      </w:r>
      <w:r w:rsidRPr="00DB396A">
        <w:t>blackboxed (Humphrey, 2008; Power, 1996</w:t>
      </w:r>
      <w:r>
        <w:t>)</w:t>
      </w:r>
      <w:r w:rsidRPr="00D96B21">
        <w:t>, NFIA remains visibly “in the making”</w:t>
      </w:r>
      <w:r>
        <w:t xml:space="preserve"> (</w:t>
      </w:r>
      <w:r w:rsidRPr="00B917FF">
        <w:t>Boiral, Heras-Saizarbitoria and Brotherton, 2020</w:t>
      </w:r>
      <w:r w:rsidRPr="00DB396A">
        <w:t>; Power, 1996; Xu &amp; Andrew, 2021</w:t>
      </w:r>
      <w:r>
        <w:t>)</w:t>
      </w:r>
      <w:r w:rsidRPr="00D96B21">
        <w:t>,</w:t>
      </w:r>
      <w:r>
        <w:t xml:space="preserve"> </w:t>
      </w:r>
      <w:r w:rsidRPr="00D96B21">
        <w:t>marked by contested standards, hybrid expertise, and uneven institutionalisation (</w:t>
      </w:r>
      <w:r w:rsidRPr="00DB396A">
        <w:t xml:space="preserve">Boiral </w:t>
      </w:r>
      <w:r w:rsidRPr="001C79A6">
        <w:rPr>
          <w:i/>
        </w:rPr>
        <w:t>et al</w:t>
      </w:r>
      <w:r w:rsidRPr="00DB396A">
        <w:t xml:space="preserve">., 2020; Bouten &amp; Hoozée, 2025; </w:t>
      </w:r>
      <w:r w:rsidRPr="00B917FF">
        <w:t>Channuntapipat, Samsonova-Taddei and Turley, 2020</w:t>
      </w:r>
      <w:r w:rsidRPr="00DB396A">
        <w:t>; Xu &amp; Andrew, 2021</w:t>
      </w:r>
      <w:r w:rsidRPr="00D96B21">
        <w:t>). Examining NFIA through this lens enables a field-level assessment of how contemporary verification practices contribute to legitimacy production, symbolic reassurance, governance and control, and the reshaping of professional identities in an increasingly audit-saturated world (</w:t>
      </w:r>
      <w:r w:rsidRPr="00DB396A">
        <w:t xml:space="preserve">Boiral </w:t>
      </w:r>
      <w:r w:rsidRPr="001C79A6">
        <w:rPr>
          <w:i/>
        </w:rPr>
        <w:t>et al</w:t>
      </w:r>
      <w:r w:rsidRPr="00DB396A">
        <w:t>., 2019; Justesen &amp; Skærbæk, 2010; Power, 2003</w:t>
      </w:r>
      <w:r>
        <w:t>a</w:t>
      </w:r>
      <w:r w:rsidRPr="00DB396A">
        <w:t>; Skærbæk, 2009</w:t>
      </w:r>
      <w:r w:rsidRPr="00D96B21">
        <w:t>).</w:t>
      </w:r>
    </w:p>
    <w:p w14:paraId="49881513" w14:textId="77777777" w:rsidR="00220EF0" w:rsidRPr="008D6449" w:rsidRDefault="00220EF0" w:rsidP="001D291B">
      <w:pPr>
        <w:pStyle w:val="ListParagraph"/>
        <w:spacing w:line="480" w:lineRule="auto"/>
        <w:ind w:left="360" w:firstLine="491"/>
        <w:jc w:val="both"/>
      </w:pPr>
      <w:r w:rsidRPr="00882B1E">
        <w:t>In light of these developments, a systematic re-examination of the empirical NFIA literature is warranted</w:t>
      </w:r>
      <w:r w:rsidRPr="008D6449">
        <w:t xml:space="preserve"> to assess both how the field has evolved and how it engages with the later theoretical refinements of the audit society (Power, </w:t>
      </w:r>
      <w:r>
        <w:t xml:space="preserve">2003a, </w:t>
      </w:r>
      <w:r w:rsidRPr="008D6449">
        <w:t xml:space="preserve">2003b). </w:t>
      </w:r>
      <w:r w:rsidRPr="00ED5BA4">
        <w:t>Against this background, the review asks two practical questions about how NFIA research has evolved and what it actually explains</w:t>
      </w:r>
      <w:r>
        <w:t>:</w:t>
      </w:r>
    </w:p>
    <w:p w14:paraId="049D61C2" w14:textId="77777777" w:rsidR="00220EF0" w:rsidRPr="008D6449" w:rsidRDefault="00220EF0" w:rsidP="001D291B">
      <w:pPr>
        <w:pStyle w:val="ListParagraph"/>
        <w:spacing w:line="480" w:lineRule="auto"/>
        <w:ind w:left="360" w:firstLine="491"/>
        <w:jc w:val="both"/>
      </w:pPr>
      <w:r w:rsidRPr="008D6449">
        <w:rPr>
          <w:b/>
          <w:bCs/>
        </w:rPr>
        <w:t>RQ1.</w:t>
      </w:r>
      <w:r w:rsidRPr="008D6449">
        <w:t xml:space="preserve"> How has the empirical literature on NFIA</w:t>
      </w:r>
      <w:r>
        <w:t xml:space="preserve"> </w:t>
      </w:r>
      <w:r w:rsidRPr="008D6449">
        <w:t>developed over the past 35 years?</w:t>
      </w:r>
    </w:p>
    <w:p w14:paraId="24BBF983" w14:textId="77777777" w:rsidR="00220EF0" w:rsidRPr="008D6449" w:rsidRDefault="00220EF0" w:rsidP="001D291B">
      <w:pPr>
        <w:pStyle w:val="ListParagraph"/>
        <w:spacing w:line="480" w:lineRule="auto"/>
        <w:ind w:left="360" w:firstLine="491"/>
        <w:jc w:val="both"/>
      </w:pPr>
      <w:r w:rsidRPr="008D6449">
        <w:rPr>
          <w:b/>
          <w:bCs/>
        </w:rPr>
        <w:t>RQ2.</w:t>
      </w:r>
      <w:r w:rsidRPr="008D6449">
        <w:t xml:space="preserve"> To what extent does the empirical NFIA literature engage with the later theoretical refinements of the audit society advanced by Power (2003a, 2003b), and what does this reveal about how legitimacy production, symbolic verification </w:t>
      </w:r>
      <w:r w:rsidRPr="008D6449">
        <w:lastRenderedPageBreak/>
        <w:t>practices, governance and control, and professional identities are empirically conceptualised and examined in non-financial assurance research?</w:t>
      </w:r>
    </w:p>
    <w:p w14:paraId="5A5FEC9B" w14:textId="77777777" w:rsidR="00220EF0" w:rsidRPr="008D6449" w:rsidRDefault="00220EF0" w:rsidP="001D291B">
      <w:pPr>
        <w:pStyle w:val="ListParagraph"/>
        <w:spacing w:line="480" w:lineRule="auto"/>
        <w:ind w:left="360" w:firstLine="491"/>
        <w:jc w:val="both"/>
      </w:pPr>
      <w:r w:rsidRPr="008D6449">
        <w:t>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w:t>
      </w:r>
      <w:r w:rsidRPr="00B917FF">
        <w:t>Hasan, Maijoor, Mock, Roebuck, Simnett and Vanstraelen, 2005; Moroney, Campbell, Hamilton and Warren, 2020</w:t>
      </w:r>
      <w:r w:rsidRPr="008D6449">
        <w:t>).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assurance as analytically connected practices within a shared verification regime, the review situates NFIA within a continuous tradition of non-financial verification rather than as a collection of discrete service types (</w:t>
      </w:r>
      <w:r w:rsidRPr="00DB396A">
        <w:t>O'Dwyer, 2011; Power, 1996</w:t>
      </w:r>
      <w:r w:rsidRPr="008D6449">
        <w:t>).</w:t>
      </w:r>
    </w:p>
    <w:p w14:paraId="2D04E43B" w14:textId="77777777" w:rsidR="00220EF0" w:rsidRPr="00985A24" w:rsidRDefault="00220EF0" w:rsidP="001D291B">
      <w:pPr>
        <w:pStyle w:val="ListParagraph"/>
        <w:spacing w:line="480" w:lineRule="auto"/>
        <w:ind w:left="360" w:firstLine="491"/>
        <w:jc w:val="both"/>
      </w:pPr>
      <w:r w:rsidRPr="00672B39">
        <w:t>This review makes three contributions aimed at clarifying how NFIA operates in practice rather than how it is typically described.</w:t>
      </w:r>
      <w:r>
        <w:t xml:space="preserve"> </w:t>
      </w:r>
      <w:r w:rsidRPr="00985A24">
        <w:t>First,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w:t>
      </w:r>
      <w:r>
        <w:t xml:space="preserve"> </w:t>
      </w:r>
      <w:r w:rsidRPr="00985A24">
        <w:t xml:space="preserve">Second, the review provides a theoretically informed </w:t>
      </w:r>
      <w:r w:rsidRPr="00985A24">
        <w:lastRenderedPageBreak/>
        <w:t>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This bridges a longstanding gap between theory and evidence in audit society research.</w:t>
      </w:r>
      <w:r>
        <w:t xml:space="preserve"> </w:t>
      </w:r>
      <w:r w:rsidRPr="00985A24">
        <w:t xml:space="preserve">Third, the review advances the conceptual proposition of an audit planet to capture the infrastructural, generative, and world-making role of contemporary verification. </w:t>
      </w:r>
      <w:r w:rsidRPr="00550983">
        <w:t>By identifying persistent tensions, blind spots and under-explored domains</w:t>
      </w:r>
      <w:r w:rsidRPr="00985A24">
        <w:t>—particularly in emerging areas such as carbon and climate assurance—the review develops a future research agenda that shifts attention from documenting audit expansion to critically analysing how audit reshapes governance, responsibility, and professional authority at scale.</w:t>
      </w:r>
    </w:p>
    <w:p w14:paraId="2FB470D2" w14:textId="77777777" w:rsidR="00220EF0" w:rsidRPr="008D6449" w:rsidRDefault="00220EF0" w:rsidP="001D291B">
      <w:pPr>
        <w:pStyle w:val="ListParagraph"/>
        <w:spacing w:line="480" w:lineRule="auto"/>
        <w:ind w:left="360" w:firstLine="491"/>
        <w:jc w:val="both"/>
      </w:pPr>
      <w:r w:rsidRPr="008D6449">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3858E369" w14:textId="77777777" w:rsidR="00220EF0" w:rsidRPr="00DD70BA" w:rsidRDefault="00220EF0" w:rsidP="001D291B">
      <w:pPr>
        <w:pStyle w:val="ListParagraph"/>
        <w:spacing w:line="480" w:lineRule="auto"/>
        <w:ind w:left="360" w:firstLine="491"/>
        <w:jc w:val="both"/>
      </w:pPr>
    </w:p>
    <w:p w14:paraId="4518F2AF" w14:textId="77777777" w:rsidR="00220EF0" w:rsidRPr="00DD70BA" w:rsidRDefault="00220EF0" w:rsidP="001D291B">
      <w:pPr>
        <w:spacing w:line="480" w:lineRule="auto"/>
        <w:jc w:val="both"/>
        <w:rPr>
          <w:b/>
          <w:bCs/>
        </w:rPr>
      </w:pPr>
      <w:r w:rsidRPr="00DD70BA">
        <w:rPr>
          <w:b/>
          <w:bCs/>
        </w:rPr>
        <w:lastRenderedPageBreak/>
        <w:t>Conceptual Foundations: The Evolution of the Audit Society</w:t>
      </w:r>
    </w:p>
    <w:p w14:paraId="6922FE9C" w14:textId="77777777" w:rsidR="00220EF0" w:rsidRPr="00382579" w:rsidRDefault="00220EF0" w:rsidP="001D291B">
      <w:pPr>
        <w:pStyle w:val="ListParagraph"/>
        <w:spacing w:line="480" w:lineRule="auto"/>
        <w:ind w:left="360" w:firstLine="491"/>
        <w:jc w:val="both"/>
      </w:pPr>
      <w:r w:rsidRPr="00DD70BA">
        <w:t>The conceptualisation of auditing as a pervasive social and organisational phenomenon is most commonly traced to Michael Power</w:t>
      </w:r>
      <w:r>
        <w:t xml:space="preserve"> (1997a)</w:t>
      </w:r>
      <w:r w:rsidRPr="00DD70BA">
        <w:t>’s</w:t>
      </w:r>
      <w:r w:rsidRPr="00382579">
        <w:t xml:space="preserve"> </w:t>
      </w:r>
      <w:r>
        <w:t>concept of</w:t>
      </w:r>
      <w:r w:rsidRPr="00382579">
        <w:rPr>
          <w:i/>
          <w:iCs/>
        </w:rPr>
        <w:t xml:space="preserve"> Audit Society</w:t>
      </w:r>
      <w:r>
        <w:t xml:space="preserve"> (</w:t>
      </w:r>
      <w:r w:rsidRPr="00DE747B">
        <w:t>Funnell &amp; Wade, 2012; Humphrey &amp; Miller, 2012; Morin, 2011</w:t>
      </w:r>
      <w:r>
        <w:t>)</w:t>
      </w:r>
      <w:r w:rsidRPr="00382579">
        <w:t xml:space="preserve">. In this seminal work, Power challenged conventional understandings of audit as a neutral, technical practice by situating it within a broader regulatory and cultural context characterised by heightened demands for verification, transparency and control. However, while </w:t>
      </w:r>
      <w:r>
        <w:t>the</w:t>
      </w:r>
      <w:r w:rsidRPr="00382579">
        <w:t xml:space="preserve"> book established the now-canonical diagnosis of an expanding “audit society”</w:t>
      </w:r>
      <w:r>
        <w:t xml:space="preserve"> </w:t>
      </w:r>
      <w:r w:rsidRPr="004E3BCE">
        <w:t>(Power, 1997</w:t>
      </w:r>
      <w:r>
        <w:t>a</w:t>
      </w:r>
      <w:r w:rsidRPr="004E3BCE">
        <w:t>)</w:t>
      </w:r>
      <w:r w:rsidRPr="00382579">
        <w:t>, a fuller understanding of this theoretical trajectory requires deeper engagement with Power’s 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7E8E9B1B" w14:textId="77777777" w:rsidR="00220EF0" w:rsidRDefault="00220EF0" w:rsidP="001D291B">
      <w:pPr>
        <w:pStyle w:val="ListParagraph"/>
        <w:spacing w:line="480" w:lineRule="auto"/>
        <w:ind w:left="360" w:firstLine="491"/>
        <w:jc w:val="both"/>
      </w:pPr>
      <w:r w:rsidRPr="004E3BCE">
        <w:t xml:space="preserve">The theoretical foundations of this programme were laid in </w:t>
      </w:r>
      <w:r w:rsidRPr="004E3BCE">
        <w:rPr>
          <w:i/>
          <w:iCs/>
        </w:rPr>
        <w:t>Making Things Auditable</w:t>
      </w:r>
      <w:r w:rsidRPr="004E3BCE">
        <w:t xml:space="preserve"> (Power, 1996), where auditability was explicitly theorised as an accomplished rather than an inherent property of organisational activities. Power rejected the “official image” of audit as a derived activity that merely adds credibility to pre-existing facts, arguing instead that auditing actively constructs the legitimacy of its own knowledge base while simultaneously shaping the organisational environments in which that knowledge can operate successfully. This process of “making things auditable” was illustrated through three distinct strategies of fact construction. These ideas were subsequently elaborated and given institutional </w:t>
      </w:r>
      <w:r w:rsidRPr="004E3BCE">
        <w:lastRenderedPageBreak/>
        <w:t>specificity in Power’s analysis of environmental auditing (Power, 1997</w:t>
      </w:r>
      <w:r>
        <w:t>b</w:t>
      </w:r>
      <w:r w:rsidRPr="004E3BCE">
        <w:t>), which showed how auditability is extended to new domains through the re-framing of substantive phenomena as systems of control, verification, and management. In that context, auditability emerged not as a response to pre-given environmental facts, but as the outcome of professional and regulatory strategies that repositioned verification around organisational systems, enabling auditors to claim authority while subordinating alternative forms of expertise.</w:t>
      </w:r>
    </w:p>
    <w:p w14:paraId="3FE1655A" w14:textId="77777777" w:rsidR="00220EF0" w:rsidRPr="00382579" w:rsidRDefault="00220EF0" w:rsidP="001D291B">
      <w:pPr>
        <w:pStyle w:val="ListParagraph"/>
        <w:spacing w:line="480" w:lineRule="auto"/>
        <w:ind w:left="360" w:firstLine="491"/>
        <w:jc w:val="both"/>
      </w:pPr>
      <w:r w:rsidRPr="00382579">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44FA01FD" w14:textId="77777777" w:rsidR="00220EF0" w:rsidRPr="00382579" w:rsidRDefault="00220EF0" w:rsidP="001D291B">
      <w:pPr>
        <w:pStyle w:val="ListParagraph"/>
        <w:spacing w:line="480" w:lineRule="auto"/>
        <w:ind w:left="360" w:firstLine="491"/>
        <w:jc w:val="both"/>
      </w:pPr>
      <w:r w:rsidRPr="00382579">
        <w:t xml:space="preserve">This constructivist insight was subsequently generalised in </w:t>
      </w:r>
      <w:r w:rsidRPr="00382579">
        <w:rPr>
          <w:i/>
          <w:iCs/>
        </w:rPr>
        <w:t>The Audit Society</w:t>
      </w:r>
      <w:r w:rsidRPr="00382579">
        <w:t xml:space="preserve"> (</w:t>
      </w:r>
      <w:r>
        <w:t>Power, 1997a</w:t>
      </w:r>
      <w:r w:rsidRPr="00382579">
        <w:t xml:space="preserve">), where the diffusion of financial audit logics into non-financial domains was characterised as an “audit explosion”. </w:t>
      </w:r>
      <w:r>
        <w:t>Power (1997a)</w:t>
      </w:r>
      <w:r w:rsidRPr="00382579">
        <w:t xml:space="preserve"> argued that these expanding rituals of verification underpin a broader administrative style of “governing at a distance”, enabling central authorities to maintain an image of control within </w:t>
      </w:r>
      <w:r w:rsidRPr="00382579">
        <w:lastRenderedPageBreak/>
        <w:t xml:space="preserve">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activities to be auditable increasingly converges with the requirement for them to be </w:t>
      </w:r>
      <w:r w:rsidRPr="00382579">
        <w:rPr>
          <w:i/>
          <w:iCs/>
        </w:rPr>
        <w:t>seen</w:t>
      </w:r>
      <w:r w:rsidRPr="00382579">
        <w:t xml:space="preserve"> to be auditable, loosening the connection between verification practices and underlying organisational performance.</w:t>
      </w:r>
    </w:p>
    <w:p w14:paraId="462B2E03" w14:textId="77777777" w:rsidR="00220EF0" w:rsidRPr="00382579" w:rsidRDefault="00220EF0" w:rsidP="001D291B">
      <w:pPr>
        <w:pStyle w:val="ListParagraph"/>
        <w:spacing w:line="480" w:lineRule="auto"/>
        <w:ind w:left="360" w:firstLine="491"/>
        <w:jc w:val="both"/>
      </w:pPr>
      <w:r w:rsidRPr="00382579">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01910089" w14:textId="77777777" w:rsidR="00220EF0" w:rsidRPr="00382579" w:rsidRDefault="00220EF0" w:rsidP="001D291B">
      <w:pPr>
        <w:pStyle w:val="ListParagraph"/>
        <w:spacing w:line="480" w:lineRule="auto"/>
        <w:ind w:left="360" w:firstLine="491"/>
        <w:jc w:val="both"/>
      </w:pPr>
      <w:r w:rsidRPr="00382579">
        <w:t xml:space="preserve">A complementary perspective is provided in </w:t>
      </w:r>
      <w:r w:rsidRPr="000B6136">
        <w:rPr>
          <w:i/>
          <w:iCs/>
        </w:rPr>
        <w:t>Evaluating the Audit Explosion</w:t>
      </w:r>
      <w:r w:rsidRPr="00382579">
        <w:t xml:space="preserve"> (Power, 2003b), which offered a more differentiated and comparative account of audit </w:t>
      </w:r>
      <w:r w:rsidRPr="00382579">
        <w:lastRenderedPageBreak/>
        <w:t>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32CE3A46" w14:textId="77777777" w:rsidR="00220EF0" w:rsidRPr="00382579" w:rsidRDefault="00220EF0" w:rsidP="001D291B">
      <w:pPr>
        <w:pStyle w:val="ListParagraph"/>
        <w:spacing w:line="480" w:lineRule="auto"/>
        <w:ind w:left="360" w:firstLine="491"/>
        <w:jc w:val="both"/>
      </w:pPr>
      <w:r w:rsidRPr="00382579">
        <w:t xml:space="preserve">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(Sonnerfeldt &amp; Pontoppidan, 2020). While technical distinctions are sometimes articulated—most commonly between verification as completeness checking and assurance as confirmation of truthfulness—these </w:t>
      </w:r>
      <w:r w:rsidRPr="00382579">
        <w:lastRenderedPageBreak/>
        <w:t>distinctions appear to be driven more by market differentiation and regulatory framing than by substantive conceptual divergence (Sonnerfeldt &amp; Pontoppidan, 2020).</w:t>
      </w:r>
    </w:p>
    <w:p w14:paraId="2C9E533E" w14:textId="77777777" w:rsidR="00220EF0" w:rsidRPr="00382579" w:rsidRDefault="00220EF0" w:rsidP="001D291B">
      <w:pPr>
        <w:pStyle w:val="ListParagraph"/>
        <w:spacing w:line="480" w:lineRule="auto"/>
        <w:ind w:left="360" w:firstLine="491"/>
        <w:jc w:val="both"/>
      </w:pPr>
      <w:r w:rsidRPr="00382579">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50EC3F43" w14:textId="77777777" w:rsidR="00220EF0" w:rsidRPr="00DD70BA" w:rsidRDefault="00220EF0" w:rsidP="001D291B">
      <w:pPr>
        <w:spacing w:line="480" w:lineRule="auto"/>
        <w:jc w:val="both"/>
        <w:rPr>
          <w:b/>
          <w:bCs/>
        </w:rPr>
      </w:pPr>
    </w:p>
    <w:p w14:paraId="1243C559" w14:textId="77777777" w:rsidR="00220EF0" w:rsidRPr="00382579" w:rsidRDefault="00220EF0" w:rsidP="001D291B">
      <w:pPr>
        <w:spacing w:line="480" w:lineRule="auto"/>
        <w:jc w:val="both"/>
        <w:rPr>
          <w:b/>
          <w:bCs/>
        </w:rPr>
      </w:pPr>
      <w:r w:rsidRPr="00DD70BA">
        <w:rPr>
          <w:b/>
          <w:bCs/>
        </w:rPr>
        <w:t>Review Design and Methodology</w:t>
      </w:r>
    </w:p>
    <w:p w14:paraId="4CF69497" w14:textId="77777777" w:rsidR="00220EF0" w:rsidRDefault="00220EF0" w:rsidP="001D291B">
      <w:pPr>
        <w:spacing w:line="480" w:lineRule="auto"/>
        <w:ind w:firstLine="420"/>
        <w:jc w:val="both"/>
      </w:pPr>
      <w:r>
        <w:t>To address the NFIA literature's breadth and theoretical density, t</w:t>
      </w:r>
      <w:r w:rsidRPr="00D657C3">
        <w:t>he review proceeds in stages, combining systematic searching with bibliometric mapping and close reading of full texts.</w:t>
      </w:r>
      <w:r>
        <w:t xml:space="preserve"> First, a systematic literature review (SLR) ensures transparent identification of the field's boundaries. Subsequent descriptive and narrative abstract analyses map 35 years of research, identifying longitudinal patterns in journals, topics, and jurisdictions </w:t>
      </w:r>
      <w:r>
        <w:lastRenderedPageBreak/>
        <w:t>to address RQ1. Bibliometric keyword co-occurrence and intellectual clustering complement this mapping. These patterns identify thematic clusters informed by the “accounting complex” (Miller &amp; Power, 2013), which are refined through inductive full-text coding and temporal analyses to trace thematic maturation. Finally, the thematic structure is analyzed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2AAF339B" w14:textId="77777777" w:rsidR="00220EF0" w:rsidRDefault="00220EF0" w:rsidP="001D291B">
      <w:pPr>
        <w:spacing w:line="480" w:lineRule="auto"/>
        <w:jc w:val="both"/>
      </w:pPr>
    </w:p>
    <w:p w14:paraId="1E5B977A" w14:textId="77777777" w:rsidR="00220EF0" w:rsidRPr="008B0133" w:rsidRDefault="00220EF0" w:rsidP="001D291B">
      <w:pPr>
        <w:spacing w:line="480" w:lineRule="auto"/>
        <w:jc w:val="both"/>
        <w:rPr>
          <w:i/>
          <w:iCs/>
        </w:rPr>
      </w:pPr>
      <w:r w:rsidRPr="008B0133">
        <w:rPr>
          <w:i/>
          <w:iCs/>
        </w:rPr>
        <w:t>Systematic Literature Review</w:t>
      </w:r>
    </w:p>
    <w:p w14:paraId="3ACEF8D0" w14:textId="77777777" w:rsidR="00220EF0" w:rsidRDefault="00220EF0" w:rsidP="001D291B">
      <w:pPr>
        <w:spacing w:line="480" w:lineRule="auto"/>
        <w:ind w:firstLine="420"/>
        <w:jc w:val="both"/>
      </w:pPr>
      <w:r>
        <w:t>Standalone literature reviews are increasingly recognised as rigorous research methods capable of generating novel insights through systematic synthesis (</w:t>
      </w:r>
      <w:r w:rsidRPr="00B917FF">
        <w:t>Tranfield, Denyer and Smart, 2003;</w:t>
      </w:r>
      <w:r>
        <w:t xml:space="preserve"> Okoli, 2015). Drawing on the miner–prospector continuum (Breslin &amp; Gatrell, 2023), this review adopts a "prospector" approach, seeking to consolidate and problematize fragmented empirical findings while preparing the ground for theoretically informed analysis.</w:t>
      </w:r>
    </w:p>
    <w:p w14:paraId="312C2712" w14:textId="77777777" w:rsidR="00220EF0" w:rsidRDefault="00220EF0" w:rsidP="001D291B">
      <w:pPr>
        <w:spacing w:line="480" w:lineRule="auto"/>
        <w:ind w:firstLine="420"/>
        <w:jc w:val="both"/>
      </w:pPr>
      <w:r>
        <w:t xml:space="preserve">The SLR aligns with established benchmarks for impact: rigor, generativity, scope, and transparency (Fan </w:t>
      </w:r>
      <w:r w:rsidRPr="001C79A6">
        <w:rPr>
          <w:i/>
        </w:rPr>
        <w:t>et al</w:t>
      </w:r>
      <w:r>
        <w:t xml:space="preserve">., 2022). By following best-practice protocols to minimize bias and subjectivity (Snyder, 2019; Linnenluecke </w:t>
      </w:r>
      <w:r w:rsidRPr="001C79A6">
        <w:rPr>
          <w:i/>
        </w:rPr>
        <w:t>et al</w:t>
      </w:r>
      <w:r>
        <w:t>., 2020), t</w:t>
      </w:r>
      <w:r w:rsidRPr="00352A1C">
        <w:t>his approach reflects how SLRs are now used in accounting research to consolidate dispersed empirical findings rather than to test hypotheses</w:t>
      </w:r>
      <w:r>
        <w:t xml:space="preserve"> (Massaro </w:t>
      </w:r>
      <w:r w:rsidRPr="001C79A6">
        <w:rPr>
          <w:i/>
        </w:rPr>
        <w:t>et al</w:t>
      </w:r>
      <w:r>
        <w:t>., 2016). Adhering to the core attributes of reproducibility and comprehensive scope (Okoli, 2015), this design is particularly effective given the study’s well-defined parameters and manageable dataset (</w:t>
      </w:r>
      <w:r w:rsidRPr="00B917FF">
        <w:t xml:space="preserve">Donthu, </w:t>
      </w:r>
      <w:r w:rsidRPr="00B917FF">
        <w:lastRenderedPageBreak/>
        <w:t>Kumar, Mukherjee, Pandey and Lim, 2021</w:t>
      </w:r>
      <w:r>
        <w:t>). To identify NFIA literature from 1990 to 2025, we applied a systematic keyword strategy across major databases. Search terms were developed using Boolean operators (</w:t>
      </w:r>
      <w:r w:rsidRPr="00B917FF">
        <w:t>Wang, Scells, Koopman and Zuccon, 2023</w:t>
      </w:r>
      <w:r>
        <w:t xml:space="preserve">) and informed by professional auditing frameworks and literature (Hasan </w:t>
      </w:r>
      <w:r w:rsidRPr="001C79A6">
        <w:rPr>
          <w:i/>
        </w:rPr>
        <w:t>et al</w:t>
      </w:r>
      <w:r>
        <w:t xml:space="preserve">., 2005; Moroney </w:t>
      </w:r>
      <w:r w:rsidRPr="001C79A6">
        <w:rPr>
          <w:i/>
        </w:rPr>
        <w:t>et al</w:t>
      </w:r>
      <w:r>
        <w:t>., 2020). This inclusive set of keywords, summarized in Table 1, ensures coverage across all primary NFIA domains.</w:t>
      </w:r>
    </w:p>
    <w:p w14:paraId="05E39969" w14:textId="77777777" w:rsidR="00220EF0" w:rsidRPr="00382579" w:rsidRDefault="00220EF0" w:rsidP="00395BEE">
      <w:pPr>
        <w:ind w:firstLine="420"/>
        <w:jc w:val="both"/>
      </w:pPr>
    </w:p>
    <w:tbl>
      <w:tblPr>
        <w:tblStyle w:val="TableGrid"/>
        <w:tblW w:w="7513" w:type="dxa"/>
        <w:tblInd w:w="562" w:type="dxa"/>
        <w:tblLook w:val="04A0" w:firstRow="1" w:lastRow="0" w:firstColumn="1" w:lastColumn="0" w:noHBand="0" w:noVBand="1"/>
      </w:tblPr>
      <w:tblGrid>
        <w:gridCol w:w="2765"/>
        <w:gridCol w:w="4748"/>
      </w:tblGrid>
      <w:tr w:rsidR="00220EF0" w:rsidRPr="00382579" w14:paraId="64994763" w14:textId="77777777" w:rsidTr="008526BA">
        <w:tc>
          <w:tcPr>
            <w:tcW w:w="2765" w:type="dxa"/>
          </w:tcPr>
          <w:p w14:paraId="078109A5" w14:textId="77777777" w:rsidR="00220EF0" w:rsidRPr="00382579" w:rsidRDefault="00220EF0" w:rsidP="008526BA">
            <w:pPr>
              <w:rPr>
                <w:b/>
                <w:bCs/>
              </w:rPr>
            </w:pPr>
            <w:r w:rsidRPr="00382579">
              <w:rPr>
                <w:b/>
                <w:bCs/>
              </w:rPr>
              <w:t>NFIA subject domains</w:t>
            </w:r>
          </w:p>
        </w:tc>
        <w:tc>
          <w:tcPr>
            <w:tcW w:w="4748" w:type="dxa"/>
          </w:tcPr>
          <w:p w14:paraId="7C5BB0C4" w14:textId="77777777" w:rsidR="00220EF0" w:rsidRPr="00382579" w:rsidRDefault="00220EF0" w:rsidP="008526BA">
            <w:pPr>
              <w:rPr>
                <w:b/>
                <w:bCs/>
              </w:rPr>
            </w:pPr>
            <w:r w:rsidRPr="00382579">
              <w:rPr>
                <w:b/>
                <w:bCs/>
              </w:rPr>
              <w:t>Keywords</w:t>
            </w:r>
          </w:p>
        </w:tc>
      </w:tr>
      <w:tr w:rsidR="00220EF0" w:rsidRPr="00382579" w14:paraId="050782F0" w14:textId="77777777" w:rsidTr="008526BA">
        <w:tc>
          <w:tcPr>
            <w:tcW w:w="2765" w:type="dxa"/>
          </w:tcPr>
          <w:p w14:paraId="6754884A" w14:textId="77777777" w:rsidR="00220EF0" w:rsidRPr="00382579" w:rsidRDefault="00220EF0" w:rsidP="008526BA">
            <w:r w:rsidRPr="00382579">
              <w:t>Environment(al)</w:t>
            </w:r>
          </w:p>
        </w:tc>
        <w:tc>
          <w:tcPr>
            <w:tcW w:w="4748" w:type="dxa"/>
            <w:vAlign w:val="center"/>
          </w:tcPr>
          <w:p w14:paraId="30FD6B3B" w14:textId="77777777" w:rsidR="00220EF0" w:rsidRPr="00382579" w:rsidRDefault="00220EF0" w:rsidP="008526BA">
            <w:r w:rsidRPr="00382579">
              <w:rPr>
                <w:rFonts w:eastAsia="DengXian"/>
                <w:color w:val="000000"/>
              </w:rPr>
              <w:t>environmental audit, environmental assurance, externality audit, pollution audit</w:t>
            </w:r>
          </w:p>
        </w:tc>
      </w:tr>
      <w:tr w:rsidR="00220EF0" w:rsidRPr="00382579" w14:paraId="3EABF8E0" w14:textId="77777777" w:rsidTr="008526BA">
        <w:tc>
          <w:tcPr>
            <w:tcW w:w="2765" w:type="dxa"/>
          </w:tcPr>
          <w:p w14:paraId="0C36F620" w14:textId="77777777" w:rsidR="00220EF0" w:rsidRPr="00382579" w:rsidRDefault="00220EF0" w:rsidP="008526BA">
            <w:r w:rsidRPr="00382579">
              <w:t>Compliance</w:t>
            </w:r>
          </w:p>
        </w:tc>
        <w:tc>
          <w:tcPr>
            <w:tcW w:w="4748" w:type="dxa"/>
            <w:vAlign w:val="center"/>
          </w:tcPr>
          <w:p w14:paraId="338CE14C" w14:textId="77777777" w:rsidR="00220EF0" w:rsidRPr="00382579" w:rsidRDefault="00220EF0" w:rsidP="008526BA">
            <w:r w:rsidRPr="00382579">
              <w:rPr>
                <w:rFonts w:eastAsia="DengXian"/>
                <w:color w:val="000000"/>
              </w:rPr>
              <w:t xml:space="preserve">compliance audit, compliance assurance </w:t>
            </w:r>
          </w:p>
        </w:tc>
      </w:tr>
      <w:tr w:rsidR="00220EF0" w:rsidRPr="00382579" w14:paraId="76B96396" w14:textId="77777777" w:rsidTr="008526BA">
        <w:tc>
          <w:tcPr>
            <w:tcW w:w="2765" w:type="dxa"/>
          </w:tcPr>
          <w:p w14:paraId="6677822A" w14:textId="77777777" w:rsidR="00220EF0" w:rsidRPr="00382579" w:rsidRDefault="00220EF0" w:rsidP="008526BA">
            <w:r w:rsidRPr="00382579">
              <w:t>Performance</w:t>
            </w:r>
          </w:p>
        </w:tc>
        <w:tc>
          <w:tcPr>
            <w:tcW w:w="4748" w:type="dxa"/>
            <w:vAlign w:val="center"/>
          </w:tcPr>
          <w:p w14:paraId="11C96877" w14:textId="77777777" w:rsidR="00220EF0" w:rsidRPr="00382579" w:rsidRDefault="00220EF0" w:rsidP="008526BA">
            <w:r w:rsidRPr="00382579">
              <w:rPr>
                <w:rFonts w:eastAsia="DengXian"/>
                <w:color w:val="000000"/>
              </w:rPr>
              <w:t>performance audit, efficiency audit, effectiveness audit, government program audit</w:t>
            </w:r>
          </w:p>
        </w:tc>
      </w:tr>
      <w:tr w:rsidR="00220EF0" w:rsidRPr="00382579" w14:paraId="2F2CE9FA" w14:textId="77777777" w:rsidTr="008526BA">
        <w:tc>
          <w:tcPr>
            <w:tcW w:w="2765" w:type="dxa"/>
          </w:tcPr>
          <w:p w14:paraId="412E60D6" w14:textId="77777777" w:rsidR="00220EF0" w:rsidRPr="00382579" w:rsidRDefault="00220EF0" w:rsidP="008526BA">
            <w:r w:rsidRPr="00382579">
              <w:t>ISO</w:t>
            </w:r>
          </w:p>
        </w:tc>
        <w:tc>
          <w:tcPr>
            <w:tcW w:w="4748" w:type="dxa"/>
            <w:vAlign w:val="center"/>
          </w:tcPr>
          <w:p w14:paraId="2B45C896" w14:textId="77777777" w:rsidR="00220EF0" w:rsidRPr="00382579" w:rsidRDefault="00220EF0" w:rsidP="008526BA">
            <w:r w:rsidRPr="00382579">
              <w:rPr>
                <w:rFonts w:eastAsia="DengXian"/>
                <w:color w:val="000000"/>
              </w:rPr>
              <w:t>ISO audit, ISO assurance</w:t>
            </w:r>
          </w:p>
        </w:tc>
      </w:tr>
      <w:tr w:rsidR="00220EF0" w:rsidRPr="00382579" w14:paraId="3536CF95" w14:textId="77777777" w:rsidTr="008526BA">
        <w:tc>
          <w:tcPr>
            <w:tcW w:w="2765" w:type="dxa"/>
          </w:tcPr>
          <w:p w14:paraId="6918DA3C" w14:textId="77777777" w:rsidR="00220EF0" w:rsidRPr="00382579" w:rsidRDefault="00220EF0" w:rsidP="008526BA">
            <w:r w:rsidRPr="00382579">
              <w:t>Webtrust</w:t>
            </w:r>
          </w:p>
        </w:tc>
        <w:tc>
          <w:tcPr>
            <w:tcW w:w="4748" w:type="dxa"/>
            <w:vAlign w:val="center"/>
          </w:tcPr>
          <w:p w14:paraId="79791565" w14:textId="77777777" w:rsidR="00220EF0" w:rsidRPr="00382579" w:rsidRDefault="00220EF0" w:rsidP="008526BA">
            <w:r w:rsidRPr="00382579">
              <w:rPr>
                <w:rFonts w:eastAsia="DengXian"/>
                <w:color w:val="000000"/>
              </w:rPr>
              <w:t>WebTrust assurance, WebTrust audit, e-commerce assurance</w:t>
            </w:r>
          </w:p>
        </w:tc>
      </w:tr>
      <w:tr w:rsidR="00220EF0" w:rsidRPr="00382579" w14:paraId="4BD04098" w14:textId="77777777" w:rsidTr="008526BA">
        <w:tc>
          <w:tcPr>
            <w:tcW w:w="2765" w:type="dxa"/>
          </w:tcPr>
          <w:p w14:paraId="12C665C4" w14:textId="77777777" w:rsidR="00220EF0" w:rsidRPr="00382579" w:rsidRDefault="00220EF0" w:rsidP="008526BA">
            <w:r w:rsidRPr="00382579">
              <w:t>Sustainability</w:t>
            </w:r>
          </w:p>
        </w:tc>
        <w:tc>
          <w:tcPr>
            <w:tcW w:w="4748" w:type="dxa"/>
            <w:vAlign w:val="center"/>
          </w:tcPr>
          <w:p w14:paraId="603AD37D" w14:textId="77777777" w:rsidR="00220EF0" w:rsidRPr="00382579" w:rsidRDefault="00220EF0" w:rsidP="008526BA">
            <w:r w:rsidRPr="00382579">
              <w:rPr>
                <w:rFonts w:eastAsia="DengXian"/>
                <w:color w:val="000000"/>
              </w:rPr>
              <w:t>sustainability audit, sustainability assurance</w:t>
            </w:r>
          </w:p>
        </w:tc>
      </w:tr>
      <w:tr w:rsidR="00220EF0" w:rsidRPr="00382579" w14:paraId="685A949C" w14:textId="77777777" w:rsidTr="008526BA">
        <w:tc>
          <w:tcPr>
            <w:tcW w:w="2765" w:type="dxa"/>
          </w:tcPr>
          <w:p w14:paraId="0F4AED6D" w14:textId="77777777" w:rsidR="00220EF0" w:rsidRPr="00382579" w:rsidRDefault="00220EF0" w:rsidP="008526BA">
            <w:r w:rsidRPr="00382579">
              <w:t>CSR</w:t>
            </w:r>
          </w:p>
        </w:tc>
        <w:tc>
          <w:tcPr>
            <w:tcW w:w="4748" w:type="dxa"/>
            <w:vAlign w:val="center"/>
          </w:tcPr>
          <w:p w14:paraId="488318C8" w14:textId="77777777" w:rsidR="00220EF0" w:rsidRPr="00382579" w:rsidRDefault="00220EF0" w:rsidP="008526BA">
            <w:r w:rsidRPr="00382579">
              <w:rPr>
                <w:rFonts w:eastAsia="DengXian"/>
                <w:color w:val="000000"/>
              </w:rPr>
              <w:t>corporate social responsibility audit, CSR assurance, CSR audit, social responsibility assurance, corporate citizenship audit</w:t>
            </w:r>
          </w:p>
        </w:tc>
      </w:tr>
      <w:tr w:rsidR="00220EF0" w:rsidRPr="00382579" w14:paraId="74107374" w14:textId="77777777" w:rsidTr="008526BA">
        <w:tc>
          <w:tcPr>
            <w:tcW w:w="2765" w:type="dxa"/>
          </w:tcPr>
          <w:p w14:paraId="76040A59" w14:textId="77777777" w:rsidR="00220EF0" w:rsidRPr="00382579" w:rsidRDefault="00220EF0" w:rsidP="008526BA">
            <w:r w:rsidRPr="00382579">
              <w:t>ESG</w:t>
            </w:r>
          </w:p>
        </w:tc>
        <w:tc>
          <w:tcPr>
            <w:tcW w:w="4748" w:type="dxa"/>
            <w:vAlign w:val="center"/>
          </w:tcPr>
          <w:p w14:paraId="140DE4D5" w14:textId="77777777" w:rsidR="00220EF0" w:rsidRPr="00382579" w:rsidRDefault="00220EF0" w:rsidP="008526BA">
            <w:r w:rsidRPr="00382579">
              <w:rPr>
                <w:rFonts w:eastAsia="DengXian"/>
                <w:color w:val="000000"/>
              </w:rPr>
              <w:t>environmental, social, and governance audit, ESG assurance, ESG performance audit, ESG performance assurance</w:t>
            </w:r>
          </w:p>
        </w:tc>
      </w:tr>
      <w:tr w:rsidR="00220EF0" w:rsidRPr="00382579" w14:paraId="7D23D33D" w14:textId="77777777" w:rsidTr="008526BA">
        <w:tc>
          <w:tcPr>
            <w:tcW w:w="2765" w:type="dxa"/>
          </w:tcPr>
          <w:p w14:paraId="362A0C32" w14:textId="77777777" w:rsidR="00220EF0" w:rsidRPr="00382579" w:rsidRDefault="00220EF0" w:rsidP="008526BA">
            <w:r w:rsidRPr="00382579">
              <w:t>Carbon (GHG)</w:t>
            </w:r>
          </w:p>
        </w:tc>
        <w:tc>
          <w:tcPr>
            <w:tcW w:w="4748" w:type="dxa"/>
            <w:vAlign w:val="center"/>
          </w:tcPr>
          <w:p w14:paraId="0622B91A" w14:textId="77777777" w:rsidR="00220EF0" w:rsidRPr="00382579" w:rsidRDefault="00220EF0" w:rsidP="008526BA">
            <w:r w:rsidRPr="00382579">
              <w:rPr>
                <w:rFonts w:eastAsia="DengXian"/>
                <w:color w:val="000000"/>
              </w:rPr>
              <w:t>greenhouse gas emission audit, carbon audit, emissions assurance, GHG audit, GHG assurance, carbon verification</w:t>
            </w:r>
          </w:p>
        </w:tc>
      </w:tr>
    </w:tbl>
    <w:p w14:paraId="626BBF39" w14:textId="77777777" w:rsidR="00220EF0" w:rsidRPr="00382579" w:rsidRDefault="00220EF0" w:rsidP="00C94821">
      <w:pPr>
        <w:ind w:leftChars="257" w:left="617"/>
        <w:rPr>
          <w:i/>
          <w:iCs/>
        </w:rPr>
      </w:pPr>
      <w:r w:rsidRPr="00382579">
        <w:rPr>
          <w:b/>
          <w:bCs/>
        </w:rPr>
        <w:t>Table 1. NFIA subject domains and associated search keywords</w:t>
      </w:r>
      <w:r w:rsidRPr="00382579">
        <w:rPr>
          <w:b/>
          <w:bCs/>
        </w:rPr>
        <w:br/>
      </w:r>
      <w:r w:rsidRPr="00382579">
        <w:rPr>
          <w:i/>
          <w:iCs/>
        </w:rPr>
        <w:t xml:space="preserve">Source: Developed by the author using Boolean search strategies informed by Wang </w:t>
      </w:r>
      <w:r w:rsidRPr="001C79A6">
        <w:rPr>
          <w:i/>
          <w:iCs/>
        </w:rPr>
        <w:t>et al</w:t>
      </w:r>
      <w:r w:rsidRPr="00382579">
        <w:rPr>
          <w:i/>
          <w:iCs/>
        </w:rPr>
        <w:t xml:space="preserve">. (2023), Hasan </w:t>
      </w:r>
      <w:r w:rsidRPr="001C79A6">
        <w:rPr>
          <w:i/>
          <w:iCs/>
        </w:rPr>
        <w:t>et al</w:t>
      </w:r>
      <w:r w:rsidRPr="00382579">
        <w:rPr>
          <w:i/>
          <w:iCs/>
        </w:rPr>
        <w:t xml:space="preserve">. (2005), and Moroney </w:t>
      </w:r>
      <w:r w:rsidRPr="001C79A6">
        <w:rPr>
          <w:i/>
          <w:iCs/>
        </w:rPr>
        <w:t>et al</w:t>
      </w:r>
      <w:r w:rsidRPr="00382579">
        <w:rPr>
          <w:i/>
          <w:iCs/>
        </w:rPr>
        <w:t>. (2020)</w:t>
      </w:r>
    </w:p>
    <w:p w14:paraId="5A93D57B" w14:textId="77777777" w:rsidR="00220EF0" w:rsidRPr="00382579" w:rsidRDefault="00220EF0" w:rsidP="005F5CF4">
      <w:pPr>
        <w:pStyle w:val="ListParagraph"/>
        <w:ind w:left="360" w:firstLine="491"/>
        <w:jc w:val="both"/>
        <w:rPr>
          <w:i/>
          <w:iCs/>
        </w:rPr>
      </w:pPr>
    </w:p>
    <w:p w14:paraId="7471BF79" w14:textId="77777777" w:rsidR="00220EF0" w:rsidRPr="00DA15E4" w:rsidRDefault="00220EF0" w:rsidP="00DF105F">
      <w:pPr>
        <w:pStyle w:val="ListParagraph"/>
        <w:spacing w:line="480" w:lineRule="auto"/>
        <w:ind w:left="360" w:firstLine="491"/>
        <w:jc w:val="both"/>
      </w:pPr>
      <w:r w:rsidRPr="00DA15E4">
        <w:t>To ensure a comprehensive, high-quality corpus covering 1990–2025, we searched Scopus, EBSCO, Web of Science, and ProQuest. Study selection followed a transparent protocol based on four predefined criteria:</w:t>
      </w:r>
    </w:p>
    <w:p w14:paraId="4ACB8575" w14:textId="77777777" w:rsidR="00220EF0" w:rsidRPr="00DA15E4" w:rsidRDefault="00220EF0" w:rsidP="00220EF0">
      <w:pPr>
        <w:pStyle w:val="ListParagraph"/>
        <w:numPr>
          <w:ilvl w:val="0"/>
          <w:numId w:val="5"/>
        </w:numPr>
        <w:spacing w:after="0" w:line="480" w:lineRule="auto"/>
        <w:jc w:val="both"/>
      </w:pPr>
      <w:r w:rsidRPr="00DA15E4">
        <w:t>Quality: Peer-reviewed articles from "A" or "A*" accounting/auditing journals (2022 ABDC list).</w:t>
      </w:r>
    </w:p>
    <w:p w14:paraId="7CCBC71F" w14:textId="77777777" w:rsidR="00220EF0" w:rsidRPr="00DA15E4" w:rsidRDefault="00220EF0" w:rsidP="00220EF0">
      <w:pPr>
        <w:pStyle w:val="ListParagraph"/>
        <w:numPr>
          <w:ilvl w:val="0"/>
          <w:numId w:val="5"/>
        </w:numPr>
        <w:spacing w:after="0" w:line="480" w:lineRule="auto"/>
        <w:jc w:val="both"/>
      </w:pPr>
      <w:r w:rsidRPr="00DA15E4">
        <w:lastRenderedPageBreak/>
        <w:t>Language: English-only publications.</w:t>
      </w:r>
    </w:p>
    <w:p w14:paraId="30A2E680" w14:textId="77777777" w:rsidR="00220EF0" w:rsidRPr="00DA15E4" w:rsidRDefault="00220EF0" w:rsidP="00220EF0">
      <w:pPr>
        <w:pStyle w:val="ListParagraph"/>
        <w:numPr>
          <w:ilvl w:val="0"/>
          <w:numId w:val="5"/>
        </w:numPr>
        <w:spacing w:after="0" w:line="480" w:lineRule="auto"/>
        <w:jc w:val="both"/>
      </w:pPr>
      <w:r w:rsidRPr="00DA15E4">
        <w:t>Nature: Empirical studies (conceptual papers and policy commentaries excluded).</w:t>
      </w:r>
    </w:p>
    <w:p w14:paraId="74718840" w14:textId="77777777" w:rsidR="00220EF0" w:rsidRPr="00DA15E4" w:rsidRDefault="00220EF0" w:rsidP="00220EF0">
      <w:pPr>
        <w:pStyle w:val="ListParagraph"/>
        <w:numPr>
          <w:ilvl w:val="0"/>
          <w:numId w:val="5"/>
        </w:numPr>
        <w:spacing w:after="0" w:line="480" w:lineRule="auto"/>
        <w:jc w:val="both"/>
      </w:pPr>
      <w:r w:rsidRPr="00DA15E4">
        <w:t>Relevance: Substantive engagement with auditing or assurance.</w:t>
      </w:r>
    </w:p>
    <w:p w14:paraId="4284F197" w14:textId="77777777" w:rsidR="00220EF0" w:rsidRPr="00DA15E4" w:rsidRDefault="00220EF0" w:rsidP="00DF105F">
      <w:pPr>
        <w:pStyle w:val="ListParagraph"/>
        <w:spacing w:line="480" w:lineRule="auto"/>
        <w:ind w:left="360" w:firstLine="491"/>
        <w:jc w:val="both"/>
      </w:pPr>
      <w:r w:rsidRPr="00DA15E4">
        <w:t xml:space="preserve">We identified 41 target journals from the ABDC list by screening for titles containing “accounting” or “audit,” while including relevant exceptions such as </w:t>
      </w:r>
      <w:r w:rsidRPr="00DA15E4">
        <w:rPr>
          <w:i/>
          <w:iCs/>
        </w:rPr>
        <w:t>Abacus</w:t>
      </w:r>
      <w:r w:rsidRPr="00DA15E4">
        <w:t xml:space="preserve"> and </w:t>
      </w:r>
      <w:r w:rsidRPr="00DA15E4">
        <w:rPr>
          <w:i/>
          <w:iCs/>
        </w:rPr>
        <w:t>Journal of Business Ethics</w:t>
      </w:r>
      <w:r w:rsidRPr="00DA15E4">
        <w:t xml:space="preserve"> due to their significant NFIA contributions. This final journal list is detailed in Table 2.</w:t>
      </w:r>
    </w:p>
    <w:tbl>
      <w:tblPr>
        <w:tblW w:w="9188" w:type="dxa"/>
        <w:tblLook w:val="04A0" w:firstRow="1" w:lastRow="0" w:firstColumn="1" w:lastColumn="0" w:noHBand="0" w:noVBand="1"/>
      </w:tblPr>
      <w:tblGrid>
        <w:gridCol w:w="460"/>
        <w:gridCol w:w="5856"/>
        <w:gridCol w:w="1356"/>
        <w:gridCol w:w="1608"/>
      </w:tblGrid>
      <w:tr w:rsidR="00220EF0" w:rsidRPr="00382579" w14:paraId="70068465" w14:textId="77777777" w:rsidTr="00A83C0D">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01350EE4" w14:textId="77777777" w:rsidR="00220EF0" w:rsidRPr="00382579" w:rsidRDefault="00220EF0" w:rsidP="00A83C0D">
            <w:pPr>
              <w:rPr>
                <w:rFonts w:ascii="Calibri" w:hAnsi="Calibri" w:cs="Calibri"/>
                <w:color w:val="000000"/>
              </w:rPr>
            </w:pPr>
            <w:r w:rsidRPr="00382579">
              <w:rPr>
                <w:rFonts w:ascii="Calibri" w:hAnsi="Calibri" w:cs="Calibri"/>
                <w:color w:val="000000"/>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6B88FCEB" w14:textId="77777777" w:rsidR="00220EF0" w:rsidRPr="00382579" w:rsidRDefault="00220EF0" w:rsidP="00A83C0D">
            <w:pPr>
              <w:rPr>
                <w:rFonts w:ascii="Calibri" w:hAnsi="Calibri" w:cs="Calibri"/>
                <w:b/>
                <w:bCs/>
                <w:color w:val="000000"/>
              </w:rPr>
            </w:pPr>
            <w:r w:rsidRPr="00382579">
              <w:rPr>
                <w:rFonts w:ascii="Calibri" w:hAnsi="Calibri" w:cs="Calibri"/>
                <w:b/>
                <w:bCs/>
                <w:color w:val="000000"/>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015BB724" w14:textId="77777777" w:rsidR="00220EF0" w:rsidRPr="00382579" w:rsidRDefault="00220EF0" w:rsidP="00A83C0D">
            <w:pPr>
              <w:rPr>
                <w:rFonts w:ascii="Calibri" w:hAnsi="Calibri" w:cs="Calibri"/>
                <w:b/>
                <w:bCs/>
                <w:color w:val="000000"/>
              </w:rPr>
            </w:pPr>
            <w:r w:rsidRPr="00382579">
              <w:rPr>
                <w:rFonts w:ascii="Calibri" w:hAnsi="Calibri" w:cs="Calibri"/>
                <w:b/>
                <w:bCs/>
                <w:color w:val="000000"/>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368D9128" w14:textId="77777777" w:rsidR="00220EF0" w:rsidRPr="00382579" w:rsidRDefault="00220EF0" w:rsidP="00A83C0D">
            <w:pPr>
              <w:rPr>
                <w:rFonts w:ascii="Calibri" w:hAnsi="Calibri" w:cs="Calibri"/>
                <w:b/>
                <w:bCs/>
                <w:color w:val="000000"/>
              </w:rPr>
            </w:pPr>
            <w:r w:rsidRPr="00382579">
              <w:rPr>
                <w:rFonts w:ascii="Calibri" w:hAnsi="Calibri" w:cs="Calibri"/>
                <w:b/>
                <w:bCs/>
                <w:color w:val="000000"/>
              </w:rPr>
              <w:t>2022 rating</w:t>
            </w:r>
          </w:p>
        </w:tc>
      </w:tr>
      <w:tr w:rsidR="00220EF0" w:rsidRPr="00382579" w14:paraId="7271240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5120C54"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1</w:t>
            </w:r>
          </w:p>
        </w:tc>
        <w:tc>
          <w:tcPr>
            <w:tcW w:w="5856" w:type="dxa"/>
            <w:tcBorders>
              <w:top w:val="nil"/>
              <w:left w:val="nil"/>
              <w:bottom w:val="nil"/>
              <w:right w:val="nil"/>
            </w:tcBorders>
            <w:shd w:val="clear" w:color="000000" w:fill="FFFFFF"/>
            <w:noWrap/>
            <w:hideMark/>
          </w:tcPr>
          <w:p w14:paraId="606FD33F" w14:textId="77777777" w:rsidR="00220EF0" w:rsidRPr="00382579" w:rsidRDefault="00220EF0" w:rsidP="00A83C0D">
            <w:pPr>
              <w:rPr>
                <w:rFonts w:ascii="Calibri" w:hAnsi="Calibri" w:cs="Calibri"/>
                <w:color w:val="000000"/>
              </w:rPr>
            </w:pPr>
            <w:r w:rsidRPr="00382579">
              <w:rPr>
                <w:rFonts w:ascii="Calibri" w:hAnsi="Calibri" w:cs="Calibri"/>
                <w:color w:val="000000"/>
              </w:rPr>
              <w:t>Accounting Auditing and Accountability Journal</w:t>
            </w:r>
          </w:p>
        </w:tc>
        <w:tc>
          <w:tcPr>
            <w:tcW w:w="1356" w:type="dxa"/>
            <w:tcBorders>
              <w:top w:val="nil"/>
              <w:left w:val="nil"/>
              <w:bottom w:val="nil"/>
              <w:right w:val="nil"/>
            </w:tcBorders>
            <w:shd w:val="clear" w:color="000000" w:fill="FFFFFF"/>
            <w:noWrap/>
            <w:hideMark/>
          </w:tcPr>
          <w:p w14:paraId="3D0804D5"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1988 </w:t>
            </w:r>
          </w:p>
        </w:tc>
        <w:tc>
          <w:tcPr>
            <w:tcW w:w="1608" w:type="dxa"/>
            <w:tcBorders>
              <w:top w:val="nil"/>
              <w:left w:val="nil"/>
              <w:bottom w:val="nil"/>
              <w:right w:val="single" w:sz="8" w:space="0" w:color="auto"/>
            </w:tcBorders>
            <w:shd w:val="clear" w:color="000000" w:fill="FFFFFF"/>
            <w:noWrap/>
            <w:hideMark/>
          </w:tcPr>
          <w:p w14:paraId="77AE3D43"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2C5F612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98027EF"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w:t>
            </w:r>
          </w:p>
        </w:tc>
        <w:tc>
          <w:tcPr>
            <w:tcW w:w="5856" w:type="dxa"/>
            <w:tcBorders>
              <w:top w:val="nil"/>
              <w:left w:val="nil"/>
              <w:bottom w:val="nil"/>
              <w:right w:val="nil"/>
            </w:tcBorders>
            <w:shd w:val="clear" w:color="000000" w:fill="FFFFFF"/>
            <w:noWrap/>
            <w:hideMark/>
          </w:tcPr>
          <w:p w14:paraId="448904B8" w14:textId="77777777" w:rsidR="00220EF0" w:rsidRPr="00382579" w:rsidRDefault="00220EF0" w:rsidP="00A83C0D">
            <w:pPr>
              <w:rPr>
                <w:rFonts w:ascii="Calibri" w:hAnsi="Calibri" w:cs="Calibri"/>
                <w:color w:val="000000"/>
              </w:rPr>
            </w:pPr>
            <w:r w:rsidRPr="00382579">
              <w:rPr>
                <w:rFonts w:ascii="Calibri" w:hAnsi="Calibri" w:cs="Calibri"/>
                <w:color w:val="000000"/>
              </w:rPr>
              <w:t>Accounting, Organizations and Society</w:t>
            </w:r>
          </w:p>
        </w:tc>
        <w:tc>
          <w:tcPr>
            <w:tcW w:w="1356" w:type="dxa"/>
            <w:tcBorders>
              <w:top w:val="nil"/>
              <w:left w:val="nil"/>
              <w:bottom w:val="nil"/>
              <w:right w:val="nil"/>
            </w:tcBorders>
            <w:shd w:val="clear" w:color="000000" w:fill="FFFFFF"/>
            <w:noWrap/>
            <w:hideMark/>
          </w:tcPr>
          <w:p w14:paraId="5786DB49"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1976 </w:t>
            </w:r>
          </w:p>
        </w:tc>
        <w:tc>
          <w:tcPr>
            <w:tcW w:w="1608" w:type="dxa"/>
            <w:tcBorders>
              <w:top w:val="nil"/>
              <w:left w:val="nil"/>
              <w:bottom w:val="nil"/>
              <w:right w:val="single" w:sz="8" w:space="0" w:color="auto"/>
            </w:tcBorders>
            <w:shd w:val="clear" w:color="000000" w:fill="FFFFFF"/>
            <w:noWrap/>
            <w:hideMark/>
          </w:tcPr>
          <w:p w14:paraId="6B97748E"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700ED1AA"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21EC87E"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w:t>
            </w:r>
          </w:p>
        </w:tc>
        <w:tc>
          <w:tcPr>
            <w:tcW w:w="5856" w:type="dxa"/>
            <w:tcBorders>
              <w:top w:val="nil"/>
              <w:left w:val="nil"/>
              <w:bottom w:val="nil"/>
              <w:right w:val="nil"/>
            </w:tcBorders>
            <w:shd w:val="clear" w:color="000000" w:fill="FFFFFF"/>
            <w:noWrap/>
            <w:hideMark/>
          </w:tcPr>
          <w:p w14:paraId="51FE73DF" w14:textId="77777777" w:rsidR="00220EF0" w:rsidRPr="00382579" w:rsidRDefault="00220EF0" w:rsidP="00A83C0D">
            <w:pPr>
              <w:rPr>
                <w:rFonts w:ascii="Calibri" w:hAnsi="Calibri" w:cs="Calibri"/>
                <w:color w:val="000000"/>
              </w:rPr>
            </w:pPr>
            <w:r w:rsidRPr="00382579">
              <w:rPr>
                <w:rFonts w:ascii="Calibri" w:hAnsi="Calibri" w:cs="Calibri"/>
                <w:color w:val="000000"/>
              </w:rPr>
              <w:t>Auditing: A Journal of Practice and Theory</w:t>
            </w:r>
          </w:p>
        </w:tc>
        <w:tc>
          <w:tcPr>
            <w:tcW w:w="1356" w:type="dxa"/>
            <w:tcBorders>
              <w:top w:val="nil"/>
              <w:left w:val="nil"/>
              <w:bottom w:val="nil"/>
              <w:right w:val="nil"/>
            </w:tcBorders>
            <w:shd w:val="clear" w:color="000000" w:fill="FFFFFF"/>
            <w:noWrap/>
            <w:hideMark/>
          </w:tcPr>
          <w:p w14:paraId="29B013A5"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62EE6E6A"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6E67AC4A"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38E5BF3"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4</w:t>
            </w:r>
          </w:p>
        </w:tc>
        <w:tc>
          <w:tcPr>
            <w:tcW w:w="5856" w:type="dxa"/>
            <w:tcBorders>
              <w:top w:val="nil"/>
              <w:left w:val="nil"/>
              <w:bottom w:val="nil"/>
              <w:right w:val="nil"/>
            </w:tcBorders>
            <w:shd w:val="clear" w:color="000000" w:fill="FFFFFF"/>
            <w:noWrap/>
            <w:hideMark/>
          </w:tcPr>
          <w:p w14:paraId="076A300E" w14:textId="77777777" w:rsidR="00220EF0" w:rsidRPr="00382579" w:rsidRDefault="00220EF0" w:rsidP="00A83C0D">
            <w:pPr>
              <w:rPr>
                <w:rFonts w:ascii="Calibri" w:hAnsi="Calibri" w:cs="Calibri"/>
                <w:color w:val="000000"/>
              </w:rPr>
            </w:pPr>
            <w:r w:rsidRPr="00382579">
              <w:rPr>
                <w:rFonts w:ascii="Calibri" w:hAnsi="Calibri" w:cs="Calibri"/>
                <w:color w:val="000000"/>
              </w:rPr>
              <w:t>British Accounting Review</w:t>
            </w:r>
          </w:p>
        </w:tc>
        <w:tc>
          <w:tcPr>
            <w:tcW w:w="1356" w:type="dxa"/>
            <w:tcBorders>
              <w:top w:val="nil"/>
              <w:left w:val="nil"/>
              <w:bottom w:val="nil"/>
              <w:right w:val="nil"/>
            </w:tcBorders>
            <w:shd w:val="clear" w:color="000000" w:fill="FFFFFF"/>
            <w:noWrap/>
            <w:hideMark/>
          </w:tcPr>
          <w:p w14:paraId="0FC23419"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1968 </w:t>
            </w:r>
          </w:p>
        </w:tc>
        <w:tc>
          <w:tcPr>
            <w:tcW w:w="1608" w:type="dxa"/>
            <w:tcBorders>
              <w:top w:val="nil"/>
              <w:left w:val="nil"/>
              <w:bottom w:val="nil"/>
              <w:right w:val="single" w:sz="8" w:space="0" w:color="auto"/>
            </w:tcBorders>
            <w:shd w:val="clear" w:color="000000" w:fill="FFFFFF"/>
            <w:noWrap/>
            <w:hideMark/>
          </w:tcPr>
          <w:p w14:paraId="2855609A"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4EF0911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A498381"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5</w:t>
            </w:r>
          </w:p>
        </w:tc>
        <w:tc>
          <w:tcPr>
            <w:tcW w:w="5856" w:type="dxa"/>
            <w:tcBorders>
              <w:top w:val="nil"/>
              <w:left w:val="nil"/>
              <w:bottom w:val="nil"/>
              <w:right w:val="nil"/>
            </w:tcBorders>
            <w:shd w:val="clear" w:color="000000" w:fill="FFFFFF"/>
            <w:noWrap/>
            <w:hideMark/>
          </w:tcPr>
          <w:p w14:paraId="11469FA4" w14:textId="77777777" w:rsidR="00220EF0" w:rsidRPr="00382579" w:rsidRDefault="00220EF0" w:rsidP="00A83C0D">
            <w:pPr>
              <w:rPr>
                <w:rFonts w:ascii="Calibri" w:hAnsi="Calibri" w:cs="Calibri"/>
                <w:color w:val="000000"/>
              </w:rPr>
            </w:pPr>
            <w:r w:rsidRPr="00382579">
              <w:rPr>
                <w:rFonts w:ascii="Calibri" w:hAnsi="Calibri" w:cs="Calibri"/>
                <w:color w:val="000000"/>
              </w:rPr>
              <w:t>Contemporary Accounting Research</w:t>
            </w:r>
          </w:p>
        </w:tc>
        <w:tc>
          <w:tcPr>
            <w:tcW w:w="1356" w:type="dxa"/>
            <w:tcBorders>
              <w:top w:val="nil"/>
              <w:left w:val="nil"/>
              <w:bottom w:val="nil"/>
              <w:right w:val="nil"/>
            </w:tcBorders>
            <w:shd w:val="clear" w:color="000000" w:fill="FFFFFF"/>
            <w:noWrap/>
            <w:hideMark/>
          </w:tcPr>
          <w:p w14:paraId="5D671DC2"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57ED8ABE"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0E25CD1D"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DFBC333"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6</w:t>
            </w:r>
          </w:p>
        </w:tc>
        <w:tc>
          <w:tcPr>
            <w:tcW w:w="5856" w:type="dxa"/>
            <w:tcBorders>
              <w:top w:val="nil"/>
              <w:left w:val="nil"/>
              <w:bottom w:val="nil"/>
              <w:right w:val="nil"/>
            </w:tcBorders>
            <w:shd w:val="clear" w:color="000000" w:fill="FFFFFF"/>
            <w:noWrap/>
            <w:hideMark/>
          </w:tcPr>
          <w:p w14:paraId="3E7C682C" w14:textId="77777777" w:rsidR="00220EF0" w:rsidRPr="00382579" w:rsidRDefault="00220EF0" w:rsidP="00A83C0D">
            <w:pPr>
              <w:rPr>
                <w:rFonts w:ascii="Calibri" w:hAnsi="Calibri" w:cs="Calibri"/>
                <w:color w:val="000000"/>
              </w:rPr>
            </w:pPr>
            <w:r w:rsidRPr="00382579">
              <w:rPr>
                <w:rFonts w:ascii="Calibri" w:hAnsi="Calibri" w:cs="Calibri"/>
                <w:color w:val="000000"/>
              </w:rPr>
              <w:t>Journal of Accounting and Economics</w:t>
            </w:r>
          </w:p>
        </w:tc>
        <w:tc>
          <w:tcPr>
            <w:tcW w:w="1356" w:type="dxa"/>
            <w:tcBorders>
              <w:top w:val="nil"/>
              <w:left w:val="nil"/>
              <w:bottom w:val="nil"/>
              <w:right w:val="nil"/>
            </w:tcBorders>
            <w:shd w:val="clear" w:color="000000" w:fill="FFFFFF"/>
            <w:noWrap/>
            <w:hideMark/>
          </w:tcPr>
          <w:p w14:paraId="45B54882"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1979 </w:t>
            </w:r>
          </w:p>
        </w:tc>
        <w:tc>
          <w:tcPr>
            <w:tcW w:w="1608" w:type="dxa"/>
            <w:tcBorders>
              <w:top w:val="nil"/>
              <w:left w:val="nil"/>
              <w:bottom w:val="nil"/>
              <w:right w:val="single" w:sz="8" w:space="0" w:color="auto"/>
            </w:tcBorders>
            <w:shd w:val="clear" w:color="000000" w:fill="FFFFFF"/>
            <w:noWrap/>
            <w:hideMark/>
          </w:tcPr>
          <w:p w14:paraId="56AB8BFA"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2B2C2D6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B3A9C76"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7</w:t>
            </w:r>
          </w:p>
        </w:tc>
        <w:tc>
          <w:tcPr>
            <w:tcW w:w="5856" w:type="dxa"/>
            <w:tcBorders>
              <w:top w:val="nil"/>
              <w:left w:val="nil"/>
              <w:bottom w:val="nil"/>
              <w:right w:val="nil"/>
            </w:tcBorders>
            <w:shd w:val="clear" w:color="000000" w:fill="FFFFFF"/>
            <w:noWrap/>
            <w:hideMark/>
          </w:tcPr>
          <w:p w14:paraId="72914D48" w14:textId="77777777" w:rsidR="00220EF0" w:rsidRPr="00382579" w:rsidRDefault="00220EF0" w:rsidP="00A83C0D">
            <w:pPr>
              <w:rPr>
                <w:rFonts w:ascii="Calibri" w:hAnsi="Calibri" w:cs="Calibri"/>
                <w:color w:val="000000"/>
              </w:rPr>
            </w:pPr>
            <w:r w:rsidRPr="00382579">
              <w:rPr>
                <w:rFonts w:ascii="Calibri" w:hAnsi="Calibri" w:cs="Calibri"/>
                <w:color w:val="000000"/>
              </w:rPr>
              <w:t>Journal of Accounting Research</w:t>
            </w:r>
          </w:p>
        </w:tc>
        <w:tc>
          <w:tcPr>
            <w:tcW w:w="1356" w:type="dxa"/>
            <w:tcBorders>
              <w:top w:val="nil"/>
              <w:left w:val="nil"/>
              <w:bottom w:val="nil"/>
              <w:right w:val="nil"/>
            </w:tcBorders>
            <w:shd w:val="clear" w:color="000000" w:fill="FFFFFF"/>
            <w:noWrap/>
            <w:hideMark/>
          </w:tcPr>
          <w:p w14:paraId="4B4EAB02"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1963 </w:t>
            </w:r>
          </w:p>
        </w:tc>
        <w:tc>
          <w:tcPr>
            <w:tcW w:w="1608" w:type="dxa"/>
            <w:tcBorders>
              <w:top w:val="nil"/>
              <w:left w:val="nil"/>
              <w:bottom w:val="nil"/>
              <w:right w:val="single" w:sz="8" w:space="0" w:color="auto"/>
            </w:tcBorders>
            <w:shd w:val="clear" w:color="000000" w:fill="FFFFFF"/>
            <w:noWrap/>
            <w:hideMark/>
          </w:tcPr>
          <w:p w14:paraId="24033C47"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6AF2904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8D5EE47"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8</w:t>
            </w:r>
          </w:p>
        </w:tc>
        <w:tc>
          <w:tcPr>
            <w:tcW w:w="5856" w:type="dxa"/>
            <w:tcBorders>
              <w:top w:val="nil"/>
              <w:left w:val="nil"/>
              <w:bottom w:val="nil"/>
              <w:right w:val="nil"/>
            </w:tcBorders>
            <w:shd w:val="clear" w:color="000000" w:fill="FFFFFF"/>
            <w:noWrap/>
            <w:hideMark/>
          </w:tcPr>
          <w:p w14:paraId="2223064B" w14:textId="77777777" w:rsidR="00220EF0" w:rsidRPr="00382579" w:rsidRDefault="00220EF0" w:rsidP="00A83C0D">
            <w:pPr>
              <w:rPr>
                <w:rFonts w:ascii="Calibri" w:hAnsi="Calibri" w:cs="Calibri"/>
                <w:color w:val="000000"/>
              </w:rPr>
            </w:pPr>
            <w:r w:rsidRPr="00382579">
              <w:rPr>
                <w:rFonts w:ascii="Calibri" w:hAnsi="Calibri" w:cs="Calibri"/>
                <w:color w:val="000000"/>
              </w:rPr>
              <w:t>Journal of Business Finance &amp; Accounting</w:t>
            </w:r>
          </w:p>
        </w:tc>
        <w:tc>
          <w:tcPr>
            <w:tcW w:w="1356" w:type="dxa"/>
            <w:tcBorders>
              <w:top w:val="nil"/>
              <w:left w:val="nil"/>
              <w:bottom w:val="nil"/>
              <w:right w:val="nil"/>
            </w:tcBorders>
            <w:shd w:val="clear" w:color="000000" w:fill="FFFFFF"/>
            <w:noWrap/>
            <w:hideMark/>
          </w:tcPr>
          <w:p w14:paraId="34B51F53"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1974 </w:t>
            </w:r>
          </w:p>
        </w:tc>
        <w:tc>
          <w:tcPr>
            <w:tcW w:w="1608" w:type="dxa"/>
            <w:tcBorders>
              <w:top w:val="nil"/>
              <w:left w:val="nil"/>
              <w:bottom w:val="nil"/>
              <w:right w:val="single" w:sz="8" w:space="0" w:color="auto"/>
            </w:tcBorders>
            <w:shd w:val="clear" w:color="000000" w:fill="FFFFFF"/>
            <w:noWrap/>
            <w:hideMark/>
          </w:tcPr>
          <w:p w14:paraId="237F6FD9"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558A9AD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694DED5"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9</w:t>
            </w:r>
          </w:p>
        </w:tc>
        <w:tc>
          <w:tcPr>
            <w:tcW w:w="5856" w:type="dxa"/>
            <w:tcBorders>
              <w:top w:val="nil"/>
              <w:left w:val="nil"/>
              <w:bottom w:val="nil"/>
              <w:right w:val="nil"/>
            </w:tcBorders>
            <w:shd w:val="clear" w:color="000000" w:fill="FFFFFF"/>
            <w:noWrap/>
            <w:hideMark/>
          </w:tcPr>
          <w:p w14:paraId="48358DAF" w14:textId="77777777" w:rsidR="00220EF0" w:rsidRPr="00382579" w:rsidRDefault="00220EF0" w:rsidP="00A83C0D">
            <w:pPr>
              <w:rPr>
                <w:rFonts w:ascii="Calibri" w:hAnsi="Calibri" w:cs="Calibri"/>
                <w:color w:val="000000"/>
              </w:rPr>
            </w:pPr>
            <w:r w:rsidRPr="00382579">
              <w:rPr>
                <w:rFonts w:ascii="Calibri" w:hAnsi="Calibri" w:cs="Calibri"/>
                <w:color w:val="000000"/>
              </w:rPr>
              <w:t>Journal of Management Accounting Research</w:t>
            </w:r>
          </w:p>
        </w:tc>
        <w:tc>
          <w:tcPr>
            <w:tcW w:w="1356" w:type="dxa"/>
            <w:tcBorders>
              <w:top w:val="nil"/>
              <w:left w:val="nil"/>
              <w:bottom w:val="nil"/>
              <w:right w:val="nil"/>
            </w:tcBorders>
            <w:shd w:val="clear" w:color="000000" w:fill="FFFFFF"/>
            <w:noWrap/>
            <w:hideMark/>
          </w:tcPr>
          <w:p w14:paraId="4989599A"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353F396B"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0A8F0A9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163AD5C"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10</w:t>
            </w:r>
          </w:p>
        </w:tc>
        <w:tc>
          <w:tcPr>
            <w:tcW w:w="5856" w:type="dxa"/>
            <w:tcBorders>
              <w:top w:val="nil"/>
              <w:left w:val="nil"/>
              <w:bottom w:val="nil"/>
              <w:right w:val="nil"/>
            </w:tcBorders>
            <w:shd w:val="clear" w:color="000000" w:fill="FFFFFF"/>
            <w:noWrap/>
            <w:hideMark/>
          </w:tcPr>
          <w:p w14:paraId="27FE682F" w14:textId="77777777" w:rsidR="00220EF0" w:rsidRPr="00382579" w:rsidRDefault="00220EF0" w:rsidP="00A83C0D">
            <w:pPr>
              <w:rPr>
                <w:rFonts w:ascii="Calibri" w:hAnsi="Calibri" w:cs="Calibri"/>
                <w:color w:val="000000"/>
              </w:rPr>
            </w:pPr>
            <w:r w:rsidRPr="00382579">
              <w:rPr>
                <w:rFonts w:ascii="Calibri" w:hAnsi="Calibri" w:cs="Calibri"/>
                <w:color w:val="000000"/>
              </w:rPr>
              <w:t>Management Accounting Research</w:t>
            </w:r>
          </w:p>
        </w:tc>
        <w:tc>
          <w:tcPr>
            <w:tcW w:w="1356" w:type="dxa"/>
            <w:tcBorders>
              <w:top w:val="nil"/>
              <w:left w:val="nil"/>
              <w:bottom w:val="nil"/>
              <w:right w:val="nil"/>
            </w:tcBorders>
            <w:shd w:val="clear" w:color="000000" w:fill="FFFFFF"/>
            <w:noWrap/>
            <w:hideMark/>
          </w:tcPr>
          <w:p w14:paraId="65EF8AAB"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31A7B9C8"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1CFCC0B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C953F82"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11</w:t>
            </w:r>
          </w:p>
        </w:tc>
        <w:tc>
          <w:tcPr>
            <w:tcW w:w="5856" w:type="dxa"/>
            <w:tcBorders>
              <w:top w:val="nil"/>
              <w:left w:val="nil"/>
              <w:bottom w:val="nil"/>
              <w:right w:val="nil"/>
            </w:tcBorders>
            <w:shd w:val="clear" w:color="000000" w:fill="FFFFFF"/>
            <w:noWrap/>
            <w:hideMark/>
          </w:tcPr>
          <w:p w14:paraId="74B2281A" w14:textId="77777777" w:rsidR="00220EF0" w:rsidRPr="00382579" w:rsidRDefault="00220EF0" w:rsidP="00A83C0D">
            <w:pPr>
              <w:rPr>
                <w:rFonts w:ascii="Calibri" w:hAnsi="Calibri" w:cs="Calibri"/>
                <w:color w:val="000000"/>
              </w:rPr>
            </w:pPr>
            <w:r w:rsidRPr="00382579">
              <w:rPr>
                <w:rFonts w:ascii="Calibri" w:hAnsi="Calibri" w:cs="Calibri"/>
                <w:color w:val="000000"/>
              </w:rPr>
              <w:t>Review of Accounting Studies</w:t>
            </w:r>
          </w:p>
        </w:tc>
        <w:tc>
          <w:tcPr>
            <w:tcW w:w="1356" w:type="dxa"/>
            <w:tcBorders>
              <w:top w:val="nil"/>
              <w:left w:val="nil"/>
              <w:bottom w:val="nil"/>
              <w:right w:val="nil"/>
            </w:tcBorders>
            <w:shd w:val="clear" w:color="000000" w:fill="FFFFFF"/>
            <w:noWrap/>
            <w:hideMark/>
          </w:tcPr>
          <w:p w14:paraId="71B97164"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1996 </w:t>
            </w:r>
          </w:p>
        </w:tc>
        <w:tc>
          <w:tcPr>
            <w:tcW w:w="1608" w:type="dxa"/>
            <w:tcBorders>
              <w:top w:val="nil"/>
              <w:left w:val="nil"/>
              <w:bottom w:val="nil"/>
              <w:right w:val="single" w:sz="8" w:space="0" w:color="auto"/>
            </w:tcBorders>
            <w:shd w:val="clear" w:color="000000" w:fill="FFFFFF"/>
            <w:noWrap/>
            <w:hideMark/>
          </w:tcPr>
          <w:p w14:paraId="72400495"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4328069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77903D2"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12</w:t>
            </w:r>
          </w:p>
        </w:tc>
        <w:tc>
          <w:tcPr>
            <w:tcW w:w="5856" w:type="dxa"/>
            <w:tcBorders>
              <w:top w:val="nil"/>
              <w:left w:val="nil"/>
              <w:bottom w:val="nil"/>
              <w:right w:val="nil"/>
            </w:tcBorders>
            <w:shd w:val="clear" w:color="000000" w:fill="FFFFFF"/>
            <w:noWrap/>
            <w:hideMark/>
          </w:tcPr>
          <w:p w14:paraId="689447A2" w14:textId="77777777" w:rsidR="00220EF0" w:rsidRPr="00382579" w:rsidRDefault="00220EF0" w:rsidP="00A83C0D">
            <w:pPr>
              <w:rPr>
                <w:rFonts w:ascii="Calibri" w:hAnsi="Calibri" w:cs="Calibri"/>
                <w:color w:val="000000"/>
              </w:rPr>
            </w:pPr>
            <w:r w:rsidRPr="00382579">
              <w:rPr>
                <w:rFonts w:ascii="Calibri" w:hAnsi="Calibri" w:cs="Calibri"/>
                <w:color w:val="000000"/>
              </w:rPr>
              <w:t>The Accounting Review</w:t>
            </w:r>
          </w:p>
        </w:tc>
        <w:tc>
          <w:tcPr>
            <w:tcW w:w="1356" w:type="dxa"/>
            <w:tcBorders>
              <w:top w:val="nil"/>
              <w:left w:val="nil"/>
              <w:bottom w:val="nil"/>
              <w:right w:val="nil"/>
            </w:tcBorders>
            <w:shd w:val="clear" w:color="000000" w:fill="FFFFFF"/>
            <w:noWrap/>
            <w:hideMark/>
          </w:tcPr>
          <w:p w14:paraId="1B8D0279"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1926 </w:t>
            </w:r>
          </w:p>
        </w:tc>
        <w:tc>
          <w:tcPr>
            <w:tcW w:w="1608" w:type="dxa"/>
            <w:tcBorders>
              <w:top w:val="nil"/>
              <w:left w:val="nil"/>
              <w:bottom w:val="nil"/>
              <w:right w:val="single" w:sz="8" w:space="0" w:color="auto"/>
            </w:tcBorders>
            <w:shd w:val="clear" w:color="000000" w:fill="FFFFFF"/>
            <w:noWrap/>
            <w:hideMark/>
          </w:tcPr>
          <w:p w14:paraId="0BA48FA9"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5B9EE49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1925BB2"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13</w:t>
            </w:r>
          </w:p>
        </w:tc>
        <w:tc>
          <w:tcPr>
            <w:tcW w:w="5856" w:type="dxa"/>
            <w:tcBorders>
              <w:top w:val="nil"/>
              <w:left w:val="nil"/>
              <w:bottom w:val="nil"/>
              <w:right w:val="nil"/>
            </w:tcBorders>
            <w:shd w:val="clear" w:color="000000" w:fill="FFFFFF"/>
            <w:noWrap/>
            <w:hideMark/>
          </w:tcPr>
          <w:p w14:paraId="16D4B161" w14:textId="77777777" w:rsidR="00220EF0" w:rsidRPr="00382579" w:rsidRDefault="00220EF0" w:rsidP="00A83C0D">
            <w:pPr>
              <w:rPr>
                <w:rFonts w:ascii="Calibri" w:hAnsi="Calibri" w:cs="Calibri"/>
                <w:color w:val="000000"/>
              </w:rPr>
            </w:pPr>
            <w:r w:rsidRPr="00382579">
              <w:rPr>
                <w:rFonts w:ascii="Calibri" w:hAnsi="Calibri" w:cs="Calibri"/>
                <w:color w:val="000000"/>
              </w:rPr>
              <w:t>The European Accounting Review</w:t>
            </w:r>
          </w:p>
        </w:tc>
        <w:tc>
          <w:tcPr>
            <w:tcW w:w="1356" w:type="dxa"/>
            <w:tcBorders>
              <w:top w:val="nil"/>
              <w:left w:val="nil"/>
              <w:bottom w:val="nil"/>
              <w:right w:val="nil"/>
            </w:tcBorders>
            <w:shd w:val="clear" w:color="000000" w:fill="FFFFFF"/>
            <w:noWrap/>
            <w:hideMark/>
          </w:tcPr>
          <w:p w14:paraId="78A5977F"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03B1EB5C"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71DB2BF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9B44939"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14</w:t>
            </w:r>
          </w:p>
        </w:tc>
        <w:tc>
          <w:tcPr>
            <w:tcW w:w="5856" w:type="dxa"/>
            <w:tcBorders>
              <w:top w:val="nil"/>
              <w:left w:val="nil"/>
              <w:bottom w:val="nil"/>
              <w:right w:val="nil"/>
            </w:tcBorders>
            <w:shd w:val="clear" w:color="000000" w:fill="FFFFFF"/>
            <w:noWrap/>
            <w:hideMark/>
          </w:tcPr>
          <w:p w14:paraId="1469FDC8" w14:textId="77777777" w:rsidR="00220EF0" w:rsidRPr="00382579" w:rsidRDefault="00220EF0" w:rsidP="00A83C0D">
            <w:pPr>
              <w:rPr>
                <w:rFonts w:ascii="Calibri" w:hAnsi="Calibri" w:cs="Calibri"/>
                <w:color w:val="000000"/>
              </w:rPr>
            </w:pPr>
            <w:r w:rsidRPr="00382579">
              <w:rPr>
                <w:rFonts w:ascii="Calibri" w:hAnsi="Calibri" w:cs="Calibri"/>
                <w:color w:val="000000"/>
              </w:rPr>
              <w:t>Abacus</w:t>
            </w:r>
          </w:p>
        </w:tc>
        <w:tc>
          <w:tcPr>
            <w:tcW w:w="1356" w:type="dxa"/>
            <w:tcBorders>
              <w:top w:val="nil"/>
              <w:left w:val="nil"/>
              <w:bottom w:val="nil"/>
              <w:right w:val="nil"/>
            </w:tcBorders>
            <w:shd w:val="clear" w:color="000000" w:fill="FFFFFF"/>
            <w:noWrap/>
            <w:hideMark/>
          </w:tcPr>
          <w:p w14:paraId="41398EB0"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nil"/>
              <w:right w:val="single" w:sz="8" w:space="0" w:color="auto"/>
            </w:tcBorders>
            <w:shd w:val="clear" w:color="000000" w:fill="FFFFFF"/>
            <w:noWrap/>
            <w:hideMark/>
          </w:tcPr>
          <w:p w14:paraId="5823D625"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4D2B576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032C3D5"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15</w:t>
            </w:r>
          </w:p>
        </w:tc>
        <w:tc>
          <w:tcPr>
            <w:tcW w:w="5856" w:type="dxa"/>
            <w:tcBorders>
              <w:top w:val="nil"/>
              <w:left w:val="nil"/>
              <w:bottom w:val="nil"/>
              <w:right w:val="nil"/>
            </w:tcBorders>
            <w:shd w:val="clear" w:color="000000" w:fill="FFFFFF"/>
            <w:noWrap/>
            <w:hideMark/>
          </w:tcPr>
          <w:p w14:paraId="368F63DF" w14:textId="77777777" w:rsidR="00220EF0" w:rsidRPr="00382579" w:rsidRDefault="00220EF0" w:rsidP="00A83C0D">
            <w:pPr>
              <w:rPr>
                <w:rFonts w:ascii="Calibri" w:hAnsi="Calibri" w:cs="Calibri"/>
                <w:color w:val="000000"/>
              </w:rPr>
            </w:pPr>
            <w:r w:rsidRPr="00382579">
              <w:rPr>
                <w:rFonts w:ascii="Calibri" w:hAnsi="Calibri" w:cs="Calibri"/>
                <w:color w:val="000000"/>
              </w:rPr>
              <w:t>Accounting and Business Research</w:t>
            </w:r>
          </w:p>
        </w:tc>
        <w:tc>
          <w:tcPr>
            <w:tcW w:w="1356" w:type="dxa"/>
            <w:tcBorders>
              <w:top w:val="nil"/>
              <w:left w:val="nil"/>
              <w:bottom w:val="nil"/>
              <w:right w:val="nil"/>
            </w:tcBorders>
            <w:shd w:val="clear" w:color="000000" w:fill="FFFFFF"/>
            <w:noWrap/>
            <w:hideMark/>
          </w:tcPr>
          <w:p w14:paraId="35F74345"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1970 </w:t>
            </w:r>
          </w:p>
        </w:tc>
        <w:tc>
          <w:tcPr>
            <w:tcW w:w="1608" w:type="dxa"/>
            <w:tcBorders>
              <w:top w:val="nil"/>
              <w:left w:val="nil"/>
              <w:bottom w:val="nil"/>
              <w:right w:val="single" w:sz="8" w:space="0" w:color="auto"/>
            </w:tcBorders>
            <w:shd w:val="clear" w:color="000000" w:fill="FFFFFF"/>
            <w:noWrap/>
            <w:hideMark/>
          </w:tcPr>
          <w:p w14:paraId="69DC8D73"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40505955"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2C425F1"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16</w:t>
            </w:r>
          </w:p>
        </w:tc>
        <w:tc>
          <w:tcPr>
            <w:tcW w:w="5856" w:type="dxa"/>
            <w:tcBorders>
              <w:top w:val="nil"/>
              <w:left w:val="nil"/>
              <w:bottom w:val="nil"/>
              <w:right w:val="nil"/>
            </w:tcBorders>
            <w:shd w:val="clear" w:color="000000" w:fill="FFFFFF"/>
            <w:noWrap/>
            <w:hideMark/>
          </w:tcPr>
          <w:p w14:paraId="09F05224" w14:textId="77777777" w:rsidR="00220EF0" w:rsidRPr="00382579" w:rsidRDefault="00220EF0" w:rsidP="00A83C0D">
            <w:pPr>
              <w:rPr>
                <w:rFonts w:ascii="Calibri" w:hAnsi="Calibri" w:cs="Calibri"/>
                <w:color w:val="000000"/>
              </w:rPr>
            </w:pPr>
            <w:r w:rsidRPr="00382579">
              <w:rPr>
                <w:rFonts w:ascii="Calibri" w:hAnsi="Calibri" w:cs="Calibri"/>
                <w:color w:val="000000"/>
              </w:rPr>
              <w:t>Accounting and Finance</w:t>
            </w:r>
          </w:p>
        </w:tc>
        <w:tc>
          <w:tcPr>
            <w:tcW w:w="1356" w:type="dxa"/>
            <w:tcBorders>
              <w:top w:val="nil"/>
              <w:left w:val="nil"/>
              <w:bottom w:val="nil"/>
              <w:right w:val="nil"/>
            </w:tcBorders>
            <w:shd w:val="clear" w:color="000000" w:fill="FFFFFF"/>
            <w:noWrap/>
            <w:hideMark/>
          </w:tcPr>
          <w:p w14:paraId="638BDC68"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1961 </w:t>
            </w:r>
          </w:p>
        </w:tc>
        <w:tc>
          <w:tcPr>
            <w:tcW w:w="1608" w:type="dxa"/>
            <w:tcBorders>
              <w:top w:val="nil"/>
              <w:left w:val="nil"/>
              <w:bottom w:val="nil"/>
              <w:right w:val="single" w:sz="8" w:space="0" w:color="auto"/>
            </w:tcBorders>
            <w:shd w:val="clear" w:color="000000" w:fill="FFFFFF"/>
            <w:noWrap/>
            <w:hideMark/>
          </w:tcPr>
          <w:p w14:paraId="07937DDE"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294E315D"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57FE7BF"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lastRenderedPageBreak/>
              <w:t>17</w:t>
            </w:r>
          </w:p>
        </w:tc>
        <w:tc>
          <w:tcPr>
            <w:tcW w:w="5856" w:type="dxa"/>
            <w:tcBorders>
              <w:top w:val="nil"/>
              <w:left w:val="nil"/>
              <w:bottom w:val="nil"/>
              <w:right w:val="nil"/>
            </w:tcBorders>
            <w:shd w:val="clear" w:color="000000" w:fill="FFFFFF"/>
            <w:noWrap/>
            <w:hideMark/>
          </w:tcPr>
          <w:p w14:paraId="76EA6A5E" w14:textId="77777777" w:rsidR="00220EF0" w:rsidRPr="00382579" w:rsidRDefault="00220EF0" w:rsidP="00A83C0D">
            <w:pPr>
              <w:rPr>
                <w:rFonts w:ascii="Calibri" w:hAnsi="Calibri" w:cs="Calibri"/>
                <w:color w:val="000000"/>
              </w:rPr>
            </w:pPr>
            <w:r w:rsidRPr="00382579">
              <w:rPr>
                <w:rFonts w:ascii="Calibri" w:hAnsi="Calibri" w:cs="Calibri"/>
                <w:color w:val="000000"/>
              </w:rPr>
              <w:t>Accounting Education</w:t>
            </w:r>
          </w:p>
        </w:tc>
        <w:tc>
          <w:tcPr>
            <w:tcW w:w="1356" w:type="dxa"/>
            <w:tcBorders>
              <w:top w:val="nil"/>
              <w:left w:val="nil"/>
              <w:bottom w:val="nil"/>
              <w:right w:val="nil"/>
            </w:tcBorders>
            <w:shd w:val="clear" w:color="000000" w:fill="FFFFFF"/>
            <w:noWrap/>
            <w:hideMark/>
          </w:tcPr>
          <w:p w14:paraId="19FF8C24"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7BAFFB72"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3532071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7C87475"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18</w:t>
            </w:r>
          </w:p>
        </w:tc>
        <w:tc>
          <w:tcPr>
            <w:tcW w:w="5856" w:type="dxa"/>
            <w:tcBorders>
              <w:top w:val="nil"/>
              <w:left w:val="nil"/>
              <w:bottom w:val="nil"/>
              <w:right w:val="nil"/>
            </w:tcBorders>
            <w:shd w:val="clear" w:color="000000" w:fill="FFFFFF"/>
            <w:noWrap/>
            <w:hideMark/>
          </w:tcPr>
          <w:p w14:paraId="202884C6" w14:textId="77777777" w:rsidR="00220EF0" w:rsidRPr="00382579" w:rsidRDefault="00220EF0" w:rsidP="00A83C0D">
            <w:pPr>
              <w:rPr>
                <w:rFonts w:ascii="Calibri" w:hAnsi="Calibri" w:cs="Calibri"/>
                <w:color w:val="000000"/>
              </w:rPr>
            </w:pPr>
            <w:r w:rsidRPr="00382579">
              <w:rPr>
                <w:rFonts w:ascii="Calibri" w:hAnsi="Calibri" w:cs="Calibri"/>
                <w:color w:val="000000"/>
              </w:rPr>
              <w:t>Accounting History</w:t>
            </w:r>
          </w:p>
        </w:tc>
        <w:tc>
          <w:tcPr>
            <w:tcW w:w="1356" w:type="dxa"/>
            <w:tcBorders>
              <w:top w:val="nil"/>
              <w:left w:val="nil"/>
              <w:bottom w:val="nil"/>
              <w:right w:val="nil"/>
            </w:tcBorders>
            <w:shd w:val="clear" w:color="000000" w:fill="FFFFFF"/>
            <w:noWrap/>
            <w:hideMark/>
          </w:tcPr>
          <w:p w14:paraId="4D7A525B"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68B65043"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35DAA80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B45B9CB"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19</w:t>
            </w:r>
          </w:p>
        </w:tc>
        <w:tc>
          <w:tcPr>
            <w:tcW w:w="5856" w:type="dxa"/>
            <w:tcBorders>
              <w:top w:val="nil"/>
              <w:left w:val="nil"/>
              <w:bottom w:val="nil"/>
              <w:right w:val="nil"/>
            </w:tcBorders>
            <w:shd w:val="clear" w:color="000000" w:fill="FFFFFF"/>
            <w:noWrap/>
            <w:hideMark/>
          </w:tcPr>
          <w:p w14:paraId="1CF57771" w14:textId="77777777" w:rsidR="00220EF0" w:rsidRPr="00382579" w:rsidRDefault="00220EF0" w:rsidP="00A83C0D">
            <w:pPr>
              <w:rPr>
                <w:rFonts w:ascii="Calibri" w:hAnsi="Calibri" w:cs="Calibri"/>
                <w:color w:val="000000"/>
              </w:rPr>
            </w:pPr>
            <w:r w:rsidRPr="00382579">
              <w:rPr>
                <w:rFonts w:ascii="Calibri" w:hAnsi="Calibri" w:cs="Calibri"/>
                <w:color w:val="000000"/>
              </w:rPr>
              <w:t>Accounting Horizons</w:t>
            </w:r>
          </w:p>
        </w:tc>
        <w:tc>
          <w:tcPr>
            <w:tcW w:w="1356" w:type="dxa"/>
            <w:tcBorders>
              <w:top w:val="nil"/>
              <w:left w:val="nil"/>
              <w:bottom w:val="nil"/>
              <w:right w:val="nil"/>
            </w:tcBorders>
            <w:shd w:val="clear" w:color="000000" w:fill="FFFFFF"/>
            <w:noWrap/>
            <w:hideMark/>
          </w:tcPr>
          <w:p w14:paraId="0FF3E399"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1987 </w:t>
            </w:r>
          </w:p>
        </w:tc>
        <w:tc>
          <w:tcPr>
            <w:tcW w:w="1608" w:type="dxa"/>
            <w:tcBorders>
              <w:top w:val="nil"/>
              <w:left w:val="nil"/>
              <w:bottom w:val="nil"/>
              <w:right w:val="single" w:sz="8" w:space="0" w:color="auto"/>
            </w:tcBorders>
            <w:shd w:val="clear" w:color="000000" w:fill="FFFFFF"/>
            <w:noWrap/>
            <w:hideMark/>
          </w:tcPr>
          <w:p w14:paraId="1A6F2B3E"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0CC6993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06C67AA"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20</w:t>
            </w:r>
          </w:p>
        </w:tc>
        <w:tc>
          <w:tcPr>
            <w:tcW w:w="5856" w:type="dxa"/>
            <w:tcBorders>
              <w:top w:val="nil"/>
              <w:left w:val="nil"/>
              <w:bottom w:val="nil"/>
              <w:right w:val="nil"/>
            </w:tcBorders>
            <w:shd w:val="clear" w:color="000000" w:fill="FFFFFF"/>
            <w:noWrap/>
            <w:hideMark/>
          </w:tcPr>
          <w:p w14:paraId="79D19FCC" w14:textId="77777777" w:rsidR="00220EF0" w:rsidRPr="00382579" w:rsidRDefault="00220EF0" w:rsidP="00A83C0D">
            <w:pPr>
              <w:rPr>
                <w:rFonts w:ascii="Calibri" w:hAnsi="Calibri" w:cs="Calibri"/>
                <w:color w:val="000000"/>
              </w:rPr>
            </w:pPr>
            <w:r w:rsidRPr="00382579">
              <w:rPr>
                <w:rFonts w:ascii="Calibri" w:hAnsi="Calibri" w:cs="Calibri"/>
                <w:color w:val="000000"/>
              </w:rPr>
              <w:t>Accounting in Europe</w:t>
            </w:r>
          </w:p>
        </w:tc>
        <w:tc>
          <w:tcPr>
            <w:tcW w:w="1356" w:type="dxa"/>
            <w:tcBorders>
              <w:top w:val="nil"/>
              <w:left w:val="nil"/>
              <w:bottom w:val="nil"/>
              <w:right w:val="nil"/>
            </w:tcBorders>
            <w:shd w:val="clear" w:color="000000" w:fill="FFFFFF"/>
            <w:noWrap/>
            <w:hideMark/>
          </w:tcPr>
          <w:p w14:paraId="79EC5A67"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7B552703"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7AECA62A"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9EFFDCA"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21</w:t>
            </w:r>
          </w:p>
        </w:tc>
        <w:tc>
          <w:tcPr>
            <w:tcW w:w="5856" w:type="dxa"/>
            <w:tcBorders>
              <w:top w:val="nil"/>
              <w:left w:val="nil"/>
              <w:bottom w:val="nil"/>
              <w:right w:val="nil"/>
            </w:tcBorders>
            <w:shd w:val="clear" w:color="000000" w:fill="FFFFFF"/>
            <w:noWrap/>
            <w:hideMark/>
          </w:tcPr>
          <w:p w14:paraId="46E7F411" w14:textId="77777777" w:rsidR="00220EF0" w:rsidRPr="00382579" w:rsidRDefault="00220EF0" w:rsidP="00A83C0D">
            <w:pPr>
              <w:rPr>
                <w:rFonts w:ascii="Calibri" w:hAnsi="Calibri" w:cs="Calibri"/>
                <w:color w:val="000000"/>
              </w:rPr>
            </w:pPr>
            <w:r w:rsidRPr="00382579">
              <w:rPr>
                <w:rFonts w:ascii="Calibri" w:hAnsi="Calibri" w:cs="Calibri"/>
                <w:color w:val="000000"/>
              </w:rPr>
              <w:t>Advances in Accounting</w:t>
            </w:r>
          </w:p>
        </w:tc>
        <w:tc>
          <w:tcPr>
            <w:tcW w:w="1356" w:type="dxa"/>
            <w:tcBorders>
              <w:top w:val="nil"/>
              <w:left w:val="nil"/>
              <w:bottom w:val="nil"/>
              <w:right w:val="nil"/>
            </w:tcBorders>
            <w:shd w:val="clear" w:color="000000" w:fill="FFFFFF"/>
            <w:noWrap/>
            <w:hideMark/>
          </w:tcPr>
          <w:p w14:paraId="4B8B072B"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2F9ED20A"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7CB4312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3AFA5F9"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22</w:t>
            </w:r>
          </w:p>
        </w:tc>
        <w:tc>
          <w:tcPr>
            <w:tcW w:w="5856" w:type="dxa"/>
            <w:tcBorders>
              <w:top w:val="nil"/>
              <w:left w:val="nil"/>
              <w:bottom w:val="nil"/>
              <w:right w:val="nil"/>
            </w:tcBorders>
            <w:shd w:val="clear" w:color="000000" w:fill="FFFFFF"/>
            <w:noWrap/>
            <w:hideMark/>
          </w:tcPr>
          <w:p w14:paraId="647F2017" w14:textId="77777777" w:rsidR="00220EF0" w:rsidRPr="00382579" w:rsidRDefault="00220EF0" w:rsidP="00A83C0D">
            <w:pPr>
              <w:rPr>
                <w:rFonts w:ascii="Calibri" w:hAnsi="Calibri" w:cs="Calibri"/>
                <w:color w:val="000000"/>
              </w:rPr>
            </w:pPr>
            <w:r w:rsidRPr="00382579">
              <w:rPr>
                <w:rFonts w:ascii="Calibri" w:hAnsi="Calibri" w:cs="Calibri"/>
                <w:color w:val="000000"/>
              </w:rPr>
              <w:t>Advances in Accounting Behavioral Research</w:t>
            </w:r>
          </w:p>
        </w:tc>
        <w:tc>
          <w:tcPr>
            <w:tcW w:w="1356" w:type="dxa"/>
            <w:tcBorders>
              <w:top w:val="nil"/>
              <w:left w:val="nil"/>
              <w:bottom w:val="nil"/>
              <w:right w:val="nil"/>
            </w:tcBorders>
            <w:shd w:val="clear" w:color="000000" w:fill="FFFFFF"/>
            <w:noWrap/>
            <w:hideMark/>
          </w:tcPr>
          <w:p w14:paraId="7BFEFC00"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1998 </w:t>
            </w:r>
          </w:p>
        </w:tc>
        <w:tc>
          <w:tcPr>
            <w:tcW w:w="1608" w:type="dxa"/>
            <w:tcBorders>
              <w:top w:val="nil"/>
              <w:left w:val="nil"/>
              <w:bottom w:val="nil"/>
              <w:right w:val="single" w:sz="8" w:space="0" w:color="auto"/>
            </w:tcBorders>
            <w:shd w:val="clear" w:color="000000" w:fill="FFFFFF"/>
            <w:noWrap/>
            <w:hideMark/>
          </w:tcPr>
          <w:p w14:paraId="0016908D"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50E86A7F"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7CDE33C"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23</w:t>
            </w:r>
          </w:p>
        </w:tc>
        <w:tc>
          <w:tcPr>
            <w:tcW w:w="5856" w:type="dxa"/>
            <w:tcBorders>
              <w:top w:val="nil"/>
              <w:left w:val="nil"/>
              <w:bottom w:val="nil"/>
              <w:right w:val="nil"/>
            </w:tcBorders>
            <w:shd w:val="clear" w:color="000000" w:fill="FFFFFF"/>
            <w:noWrap/>
            <w:hideMark/>
          </w:tcPr>
          <w:p w14:paraId="20933C0E" w14:textId="77777777" w:rsidR="00220EF0" w:rsidRPr="00382579" w:rsidRDefault="00220EF0" w:rsidP="00A83C0D">
            <w:pPr>
              <w:rPr>
                <w:rFonts w:ascii="Calibri" w:hAnsi="Calibri" w:cs="Calibri"/>
                <w:color w:val="000000"/>
              </w:rPr>
            </w:pPr>
            <w:r w:rsidRPr="00382579">
              <w:rPr>
                <w:rFonts w:ascii="Calibri" w:hAnsi="Calibri" w:cs="Calibri"/>
                <w:color w:val="000000"/>
              </w:rPr>
              <w:t>Advances in Management Accounting</w:t>
            </w:r>
          </w:p>
        </w:tc>
        <w:tc>
          <w:tcPr>
            <w:tcW w:w="1356" w:type="dxa"/>
            <w:tcBorders>
              <w:top w:val="nil"/>
              <w:left w:val="nil"/>
              <w:bottom w:val="nil"/>
              <w:right w:val="nil"/>
            </w:tcBorders>
            <w:shd w:val="clear" w:color="000000" w:fill="FFFFFF"/>
            <w:noWrap/>
            <w:hideMark/>
          </w:tcPr>
          <w:p w14:paraId="4B73B4F6"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30F20CF9"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0B41F6D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F4A7342"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24</w:t>
            </w:r>
          </w:p>
        </w:tc>
        <w:tc>
          <w:tcPr>
            <w:tcW w:w="5856" w:type="dxa"/>
            <w:tcBorders>
              <w:top w:val="nil"/>
              <w:left w:val="nil"/>
              <w:bottom w:val="nil"/>
              <w:right w:val="nil"/>
            </w:tcBorders>
            <w:shd w:val="clear" w:color="000000" w:fill="FFFFFF"/>
            <w:noWrap/>
            <w:hideMark/>
          </w:tcPr>
          <w:p w14:paraId="6634A51C" w14:textId="77777777" w:rsidR="00220EF0" w:rsidRPr="00382579" w:rsidRDefault="00220EF0" w:rsidP="00A83C0D">
            <w:pPr>
              <w:rPr>
                <w:rFonts w:ascii="Calibri" w:hAnsi="Calibri" w:cs="Calibri"/>
                <w:color w:val="000000"/>
              </w:rPr>
            </w:pPr>
            <w:r w:rsidRPr="00382579">
              <w:rPr>
                <w:rFonts w:ascii="Calibri" w:hAnsi="Calibri" w:cs="Calibri"/>
                <w:color w:val="000000"/>
              </w:rPr>
              <w:t>Behavioral Research in Accounting</w:t>
            </w:r>
          </w:p>
        </w:tc>
        <w:tc>
          <w:tcPr>
            <w:tcW w:w="1356" w:type="dxa"/>
            <w:tcBorders>
              <w:top w:val="nil"/>
              <w:left w:val="nil"/>
              <w:bottom w:val="nil"/>
              <w:right w:val="nil"/>
            </w:tcBorders>
            <w:shd w:val="clear" w:color="000000" w:fill="FFFFFF"/>
            <w:noWrap/>
            <w:hideMark/>
          </w:tcPr>
          <w:p w14:paraId="0CAF0003"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30A02897"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09984A7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CA80CC4"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25</w:t>
            </w:r>
          </w:p>
        </w:tc>
        <w:tc>
          <w:tcPr>
            <w:tcW w:w="5856" w:type="dxa"/>
            <w:tcBorders>
              <w:top w:val="nil"/>
              <w:left w:val="nil"/>
              <w:bottom w:val="nil"/>
              <w:right w:val="nil"/>
            </w:tcBorders>
            <w:shd w:val="clear" w:color="000000" w:fill="FFFFFF"/>
            <w:noWrap/>
            <w:hideMark/>
          </w:tcPr>
          <w:p w14:paraId="55FEB9E8" w14:textId="77777777" w:rsidR="00220EF0" w:rsidRPr="00382579" w:rsidRDefault="00220EF0" w:rsidP="00A83C0D">
            <w:pPr>
              <w:rPr>
                <w:rFonts w:ascii="Calibri" w:hAnsi="Calibri" w:cs="Calibri"/>
                <w:color w:val="000000"/>
              </w:rPr>
            </w:pPr>
            <w:r w:rsidRPr="00382579">
              <w:rPr>
                <w:rFonts w:ascii="Calibri" w:hAnsi="Calibri" w:cs="Calibri"/>
                <w:color w:val="000000"/>
              </w:rPr>
              <w:t>China Accounting and Finance Review</w:t>
            </w:r>
          </w:p>
        </w:tc>
        <w:tc>
          <w:tcPr>
            <w:tcW w:w="1356" w:type="dxa"/>
            <w:tcBorders>
              <w:top w:val="nil"/>
              <w:left w:val="nil"/>
              <w:bottom w:val="nil"/>
              <w:right w:val="nil"/>
            </w:tcBorders>
            <w:shd w:val="clear" w:color="000000" w:fill="FFFFFF"/>
            <w:noWrap/>
            <w:hideMark/>
          </w:tcPr>
          <w:p w14:paraId="282ED91E"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1999 </w:t>
            </w:r>
          </w:p>
        </w:tc>
        <w:tc>
          <w:tcPr>
            <w:tcW w:w="1608" w:type="dxa"/>
            <w:tcBorders>
              <w:top w:val="nil"/>
              <w:left w:val="nil"/>
              <w:bottom w:val="nil"/>
              <w:right w:val="single" w:sz="8" w:space="0" w:color="auto"/>
            </w:tcBorders>
            <w:shd w:val="clear" w:color="000000" w:fill="FFFFFF"/>
            <w:noWrap/>
            <w:hideMark/>
          </w:tcPr>
          <w:p w14:paraId="284C1397"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145419E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26DA36E"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26</w:t>
            </w:r>
          </w:p>
        </w:tc>
        <w:tc>
          <w:tcPr>
            <w:tcW w:w="5856" w:type="dxa"/>
            <w:tcBorders>
              <w:top w:val="nil"/>
              <w:left w:val="nil"/>
              <w:bottom w:val="nil"/>
              <w:right w:val="nil"/>
            </w:tcBorders>
            <w:shd w:val="clear" w:color="000000" w:fill="FFFFFF"/>
            <w:noWrap/>
            <w:hideMark/>
          </w:tcPr>
          <w:p w14:paraId="33237187" w14:textId="77777777" w:rsidR="00220EF0" w:rsidRPr="00382579" w:rsidRDefault="00220EF0" w:rsidP="00A83C0D">
            <w:pPr>
              <w:rPr>
                <w:rFonts w:ascii="Calibri" w:hAnsi="Calibri" w:cs="Calibri"/>
                <w:color w:val="000000"/>
              </w:rPr>
            </w:pPr>
            <w:r w:rsidRPr="00382579">
              <w:rPr>
                <w:rFonts w:ascii="Calibri" w:hAnsi="Calibri" w:cs="Calibri"/>
                <w:color w:val="000000"/>
              </w:rPr>
              <w:t>Critical Perspectives on Accounting</w:t>
            </w:r>
          </w:p>
        </w:tc>
        <w:tc>
          <w:tcPr>
            <w:tcW w:w="1356" w:type="dxa"/>
            <w:tcBorders>
              <w:top w:val="nil"/>
              <w:left w:val="nil"/>
              <w:bottom w:val="nil"/>
              <w:right w:val="nil"/>
            </w:tcBorders>
            <w:shd w:val="clear" w:color="000000" w:fill="FFFFFF"/>
            <w:noWrap/>
            <w:hideMark/>
          </w:tcPr>
          <w:p w14:paraId="71C71537"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7D85E2A0"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0768A55F"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97162B0"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27</w:t>
            </w:r>
          </w:p>
        </w:tc>
        <w:tc>
          <w:tcPr>
            <w:tcW w:w="5856" w:type="dxa"/>
            <w:tcBorders>
              <w:top w:val="nil"/>
              <w:left w:val="nil"/>
              <w:bottom w:val="nil"/>
              <w:right w:val="nil"/>
            </w:tcBorders>
            <w:shd w:val="clear" w:color="000000" w:fill="FFFFFF"/>
            <w:noWrap/>
            <w:hideMark/>
          </w:tcPr>
          <w:p w14:paraId="0DE4029C" w14:textId="77777777" w:rsidR="00220EF0" w:rsidRPr="00382579" w:rsidRDefault="00220EF0" w:rsidP="00A83C0D">
            <w:pPr>
              <w:rPr>
                <w:rFonts w:ascii="Calibri" w:hAnsi="Calibri" w:cs="Calibri"/>
                <w:color w:val="000000"/>
              </w:rPr>
            </w:pPr>
            <w:r w:rsidRPr="00382579">
              <w:rPr>
                <w:rFonts w:ascii="Calibri" w:hAnsi="Calibri" w:cs="Calibri"/>
                <w:color w:val="000000"/>
              </w:rPr>
              <w:t>Financial Accountability and Management</w:t>
            </w:r>
          </w:p>
        </w:tc>
        <w:tc>
          <w:tcPr>
            <w:tcW w:w="1356" w:type="dxa"/>
            <w:tcBorders>
              <w:top w:val="nil"/>
              <w:left w:val="nil"/>
              <w:bottom w:val="nil"/>
              <w:right w:val="nil"/>
            </w:tcBorders>
            <w:shd w:val="clear" w:color="000000" w:fill="FFFFFF"/>
            <w:noWrap/>
            <w:hideMark/>
          </w:tcPr>
          <w:p w14:paraId="7F44DA22"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1985 </w:t>
            </w:r>
          </w:p>
        </w:tc>
        <w:tc>
          <w:tcPr>
            <w:tcW w:w="1608" w:type="dxa"/>
            <w:tcBorders>
              <w:top w:val="nil"/>
              <w:left w:val="nil"/>
              <w:bottom w:val="nil"/>
              <w:right w:val="single" w:sz="8" w:space="0" w:color="auto"/>
            </w:tcBorders>
            <w:shd w:val="clear" w:color="000000" w:fill="FFFFFF"/>
            <w:noWrap/>
            <w:hideMark/>
          </w:tcPr>
          <w:p w14:paraId="0F7144CA"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29CB6A0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49CD286"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28</w:t>
            </w:r>
          </w:p>
        </w:tc>
        <w:tc>
          <w:tcPr>
            <w:tcW w:w="5856" w:type="dxa"/>
            <w:tcBorders>
              <w:top w:val="nil"/>
              <w:left w:val="nil"/>
              <w:bottom w:val="nil"/>
              <w:right w:val="nil"/>
            </w:tcBorders>
            <w:shd w:val="clear" w:color="000000" w:fill="FFFFFF"/>
            <w:noWrap/>
            <w:hideMark/>
          </w:tcPr>
          <w:p w14:paraId="1F45548B" w14:textId="77777777" w:rsidR="00220EF0" w:rsidRPr="00382579" w:rsidRDefault="00220EF0" w:rsidP="00A83C0D">
            <w:pPr>
              <w:rPr>
                <w:rFonts w:ascii="Calibri" w:hAnsi="Calibri" w:cs="Calibri"/>
                <w:color w:val="000000"/>
              </w:rPr>
            </w:pPr>
            <w:r w:rsidRPr="00382579">
              <w:rPr>
                <w:rFonts w:ascii="Calibri" w:hAnsi="Calibri" w:cs="Calibri"/>
                <w:color w:val="000000"/>
              </w:rPr>
              <w:t>Foundations and Trends in Accounting</w:t>
            </w:r>
          </w:p>
        </w:tc>
        <w:tc>
          <w:tcPr>
            <w:tcW w:w="1356" w:type="dxa"/>
            <w:tcBorders>
              <w:top w:val="nil"/>
              <w:left w:val="nil"/>
              <w:bottom w:val="nil"/>
              <w:right w:val="nil"/>
            </w:tcBorders>
            <w:shd w:val="clear" w:color="000000" w:fill="FFFFFF"/>
            <w:noWrap/>
            <w:hideMark/>
          </w:tcPr>
          <w:p w14:paraId="41C9279F"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2006 </w:t>
            </w:r>
          </w:p>
        </w:tc>
        <w:tc>
          <w:tcPr>
            <w:tcW w:w="1608" w:type="dxa"/>
            <w:tcBorders>
              <w:top w:val="nil"/>
              <w:left w:val="nil"/>
              <w:bottom w:val="nil"/>
              <w:right w:val="single" w:sz="8" w:space="0" w:color="auto"/>
            </w:tcBorders>
            <w:shd w:val="clear" w:color="000000" w:fill="FFFFFF"/>
            <w:noWrap/>
            <w:hideMark/>
          </w:tcPr>
          <w:p w14:paraId="5D01D168"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59384075"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BAF9A48"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29</w:t>
            </w:r>
          </w:p>
        </w:tc>
        <w:tc>
          <w:tcPr>
            <w:tcW w:w="5856" w:type="dxa"/>
            <w:tcBorders>
              <w:top w:val="nil"/>
              <w:left w:val="nil"/>
              <w:bottom w:val="nil"/>
              <w:right w:val="nil"/>
            </w:tcBorders>
            <w:shd w:val="clear" w:color="000000" w:fill="FFFFFF"/>
            <w:noWrap/>
            <w:hideMark/>
          </w:tcPr>
          <w:p w14:paraId="1ABEB325" w14:textId="77777777" w:rsidR="00220EF0" w:rsidRPr="00382579" w:rsidRDefault="00220EF0" w:rsidP="00A83C0D">
            <w:pPr>
              <w:rPr>
                <w:rFonts w:ascii="Calibri" w:hAnsi="Calibri" w:cs="Calibri"/>
                <w:color w:val="000000"/>
              </w:rPr>
            </w:pPr>
            <w:r w:rsidRPr="00382579">
              <w:rPr>
                <w:rFonts w:ascii="Calibri" w:hAnsi="Calibri" w:cs="Calibri"/>
                <w:color w:val="000000"/>
              </w:rPr>
              <w:t>International Journal of Accounting Information Systems</w:t>
            </w:r>
          </w:p>
        </w:tc>
        <w:tc>
          <w:tcPr>
            <w:tcW w:w="1356" w:type="dxa"/>
            <w:tcBorders>
              <w:top w:val="nil"/>
              <w:left w:val="nil"/>
              <w:bottom w:val="nil"/>
              <w:right w:val="nil"/>
            </w:tcBorders>
            <w:shd w:val="clear" w:color="000000" w:fill="FFFFFF"/>
            <w:noWrap/>
            <w:hideMark/>
          </w:tcPr>
          <w:p w14:paraId="20EB5701"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2000 </w:t>
            </w:r>
          </w:p>
        </w:tc>
        <w:tc>
          <w:tcPr>
            <w:tcW w:w="1608" w:type="dxa"/>
            <w:tcBorders>
              <w:top w:val="nil"/>
              <w:left w:val="nil"/>
              <w:bottom w:val="nil"/>
              <w:right w:val="single" w:sz="8" w:space="0" w:color="auto"/>
            </w:tcBorders>
            <w:shd w:val="clear" w:color="000000" w:fill="FFFFFF"/>
            <w:noWrap/>
            <w:hideMark/>
          </w:tcPr>
          <w:p w14:paraId="7F757C8E"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20E7488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E0D9F7F"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30</w:t>
            </w:r>
          </w:p>
        </w:tc>
        <w:tc>
          <w:tcPr>
            <w:tcW w:w="5856" w:type="dxa"/>
            <w:tcBorders>
              <w:top w:val="nil"/>
              <w:left w:val="nil"/>
              <w:bottom w:val="nil"/>
              <w:right w:val="nil"/>
            </w:tcBorders>
            <w:shd w:val="clear" w:color="000000" w:fill="FFFFFF"/>
            <w:noWrap/>
            <w:hideMark/>
          </w:tcPr>
          <w:p w14:paraId="4BACA08E" w14:textId="77777777" w:rsidR="00220EF0" w:rsidRPr="00382579" w:rsidRDefault="00220EF0" w:rsidP="00A83C0D">
            <w:pPr>
              <w:rPr>
                <w:rFonts w:ascii="Calibri" w:hAnsi="Calibri" w:cs="Calibri"/>
                <w:color w:val="000000"/>
              </w:rPr>
            </w:pPr>
            <w:r w:rsidRPr="00382579">
              <w:rPr>
                <w:rFonts w:ascii="Calibri" w:hAnsi="Calibri" w:cs="Calibri"/>
                <w:color w:val="000000"/>
              </w:rPr>
              <w:t>International Journal of Auditing</w:t>
            </w:r>
          </w:p>
        </w:tc>
        <w:tc>
          <w:tcPr>
            <w:tcW w:w="1356" w:type="dxa"/>
            <w:tcBorders>
              <w:top w:val="nil"/>
              <w:left w:val="nil"/>
              <w:bottom w:val="nil"/>
              <w:right w:val="nil"/>
            </w:tcBorders>
            <w:shd w:val="clear" w:color="000000" w:fill="FFFFFF"/>
            <w:noWrap/>
            <w:hideMark/>
          </w:tcPr>
          <w:p w14:paraId="38984420"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1997 </w:t>
            </w:r>
          </w:p>
        </w:tc>
        <w:tc>
          <w:tcPr>
            <w:tcW w:w="1608" w:type="dxa"/>
            <w:tcBorders>
              <w:top w:val="nil"/>
              <w:left w:val="nil"/>
              <w:bottom w:val="nil"/>
              <w:right w:val="single" w:sz="8" w:space="0" w:color="auto"/>
            </w:tcBorders>
            <w:shd w:val="clear" w:color="000000" w:fill="FFFFFF"/>
            <w:noWrap/>
            <w:hideMark/>
          </w:tcPr>
          <w:p w14:paraId="447A3F9D"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34527F9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3D5F207"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31</w:t>
            </w:r>
          </w:p>
        </w:tc>
        <w:tc>
          <w:tcPr>
            <w:tcW w:w="5856" w:type="dxa"/>
            <w:tcBorders>
              <w:top w:val="nil"/>
              <w:left w:val="nil"/>
              <w:bottom w:val="nil"/>
              <w:right w:val="nil"/>
            </w:tcBorders>
            <w:shd w:val="clear" w:color="000000" w:fill="FFFFFF"/>
            <w:noWrap/>
            <w:hideMark/>
          </w:tcPr>
          <w:p w14:paraId="21B2DCF9" w14:textId="77777777" w:rsidR="00220EF0" w:rsidRPr="00382579" w:rsidRDefault="00220EF0" w:rsidP="00A83C0D">
            <w:pPr>
              <w:rPr>
                <w:rFonts w:ascii="Calibri" w:hAnsi="Calibri" w:cs="Calibri"/>
                <w:color w:val="000000"/>
              </w:rPr>
            </w:pPr>
            <w:r w:rsidRPr="00382579">
              <w:rPr>
                <w:rFonts w:ascii="Calibri" w:hAnsi="Calibri" w:cs="Calibri"/>
                <w:color w:val="000000"/>
              </w:rPr>
              <w:t>Issues in Accounting Education</w:t>
            </w:r>
          </w:p>
        </w:tc>
        <w:tc>
          <w:tcPr>
            <w:tcW w:w="1356" w:type="dxa"/>
            <w:tcBorders>
              <w:top w:val="nil"/>
              <w:left w:val="nil"/>
              <w:bottom w:val="nil"/>
              <w:right w:val="nil"/>
            </w:tcBorders>
            <w:shd w:val="clear" w:color="000000" w:fill="FFFFFF"/>
            <w:noWrap/>
            <w:hideMark/>
          </w:tcPr>
          <w:p w14:paraId="65D3FB8B"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1983 </w:t>
            </w:r>
          </w:p>
        </w:tc>
        <w:tc>
          <w:tcPr>
            <w:tcW w:w="1608" w:type="dxa"/>
            <w:tcBorders>
              <w:top w:val="nil"/>
              <w:left w:val="nil"/>
              <w:bottom w:val="nil"/>
              <w:right w:val="single" w:sz="8" w:space="0" w:color="auto"/>
            </w:tcBorders>
            <w:shd w:val="clear" w:color="000000" w:fill="FFFFFF"/>
            <w:noWrap/>
            <w:hideMark/>
          </w:tcPr>
          <w:p w14:paraId="10660174"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4C5B501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BF532B2"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32</w:t>
            </w:r>
          </w:p>
        </w:tc>
        <w:tc>
          <w:tcPr>
            <w:tcW w:w="5856" w:type="dxa"/>
            <w:tcBorders>
              <w:top w:val="nil"/>
              <w:left w:val="nil"/>
              <w:bottom w:val="nil"/>
              <w:right w:val="nil"/>
            </w:tcBorders>
            <w:shd w:val="clear" w:color="000000" w:fill="FFFFFF"/>
            <w:noWrap/>
            <w:hideMark/>
          </w:tcPr>
          <w:p w14:paraId="68A6C003" w14:textId="77777777" w:rsidR="00220EF0" w:rsidRPr="00382579" w:rsidRDefault="00220EF0" w:rsidP="00A83C0D">
            <w:pPr>
              <w:rPr>
                <w:rFonts w:ascii="Calibri" w:hAnsi="Calibri" w:cs="Calibri"/>
                <w:color w:val="000000"/>
              </w:rPr>
            </w:pPr>
            <w:r w:rsidRPr="00382579">
              <w:rPr>
                <w:rFonts w:ascii="Calibri" w:hAnsi="Calibri" w:cs="Calibri"/>
                <w:color w:val="000000"/>
              </w:rPr>
              <w:t>Journal of Accounting and Public Policy</w:t>
            </w:r>
          </w:p>
        </w:tc>
        <w:tc>
          <w:tcPr>
            <w:tcW w:w="1356" w:type="dxa"/>
            <w:tcBorders>
              <w:top w:val="nil"/>
              <w:left w:val="nil"/>
              <w:bottom w:val="nil"/>
              <w:right w:val="nil"/>
            </w:tcBorders>
            <w:shd w:val="clear" w:color="000000" w:fill="FFFFFF"/>
            <w:noWrap/>
            <w:hideMark/>
          </w:tcPr>
          <w:p w14:paraId="60211BC3"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hideMark/>
          </w:tcPr>
          <w:p w14:paraId="7132FE86"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196724F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61C7478"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33</w:t>
            </w:r>
          </w:p>
        </w:tc>
        <w:tc>
          <w:tcPr>
            <w:tcW w:w="5856" w:type="dxa"/>
            <w:tcBorders>
              <w:top w:val="nil"/>
              <w:left w:val="nil"/>
              <w:bottom w:val="nil"/>
              <w:right w:val="nil"/>
            </w:tcBorders>
            <w:shd w:val="clear" w:color="000000" w:fill="FFFFFF"/>
            <w:noWrap/>
            <w:hideMark/>
          </w:tcPr>
          <w:p w14:paraId="6CAD11EF" w14:textId="77777777" w:rsidR="00220EF0" w:rsidRPr="00382579" w:rsidRDefault="00220EF0" w:rsidP="00A83C0D">
            <w:pPr>
              <w:rPr>
                <w:rFonts w:ascii="Calibri" w:hAnsi="Calibri" w:cs="Calibri"/>
                <w:color w:val="000000"/>
              </w:rPr>
            </w:pPr>
            <w:r w:rsidRPr="00382579">
              <w:rPr>
                <w:rFonts w:ascii="Calibri" w:hAnsi="Calibri" w:cs="Calibri"/>
                <w:color w:val="000000"/>
              </w:rPr>
              <w:t>Journal of Accounting Auditing and Finance</w:t>
            </w:r>
          </w:p>
        </w:tc>
        <w:tc>
          <w:tcPr>
            <w:tcW w:w="1356" w:type="dxa"/>
            <w:tcBorders>
              <w:top w:val="nil"/>
              <w:left w:val="nil"/>
              <w:bottom w:val="nil"/>
              <w:right w:val="nil"/>
            </w:tcBorders>
            <w:shd w:val="clear" w:color="000000" w:fill="FFFFFF"/>
            <w:noWrap/>
            <w:hideMark/>
          </w:tcPr>
          <w:p w14:paraId="4695DEB5"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7E8D9A58"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7B9E934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5011EE0"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34</w:t>
            </w:r>
          </w:p>
        </w:tc>
        <w:tc>
          <w:tcPr>
            <w:tcW w:w="5856" w:type="dxa"/>
            <w:tcBorders>
              <w:top w:val="nil"/>
              <w:left w:val="nil"/>
              <w:bottom w:val="nil"/>
              <w:right w:val="nil"/>
            </w:tcBorders>
            <w:shd w:val="clear" w:color="000000" w:fill="FFFFFF"/>
            <w:noWrap/>
            <w:hideMark/>
          </w:tcPr>
          <w:p w14:paraId="370A2B60" w14:textId="77777777" w:rsidR="00220EF0" w:rsidRPr="00382579" w:rsidRDefault="00220EF0" w:rsidP="00A83C0D">
            <w:pPr>
              <w:rPr>
                <w:rFonts w:ascii="Calibri" w:hAnsi="Calibri" w:cs="Calibri"/>
                <w:color w:val="000000"/>
              </w:rPr>
            </w:pPr>
            <w:r w:rsidRPr="00382579">
              <w:rPr>
                <w:rFonts w:ascii="Calibri" w:hAnsi="Calibri" w:cs="Calibri"/>
                <w:color w:val="000000"/>
              </w:rPr>
              <w:t>Journal of Accounting Literature</w:t>
            </w:r>
          </w:p>
        </w:tc>
        <w:tc>
          <w:tcPr>
            <w:tcW w:w="1356" w:type="dxa"/>
            <w:tcBorders>
              <w:top w:val="nil"/>
              <w:left w:val="nil"/>
              <w:bottom w:val="nil"/>
              <w:right w:val="nil"/>
            </w:tcBorders>
            <w:shd w:val="clear" w:color="000000" w:fill="FFFFFF"/>
            <w:noWrap/>
            <w:hideMark/>
          </w:tcPr>
          <w:p w14:paraId="1C2EDDF7"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4D060946"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1C849085"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D84E443"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35</w:t>
            </w:r>
          </w:p>
        </w:tc>
        <w:tc>
          <w:tcPr>
            <w:tcW w:w="5856" w:type="dxa"/>
            <w:tcBorders>
              <w:top w:val="nil"/>
              <w:left w:val="nil"/>
              <w:bottom w:val="nil"/>
              <w:right w:val="nil"/>
            </w:tcBorders>
            <w:shd w:val="clear" w:color="000000" w:fill="FFFFFF"/>
            <w:noWrap/>
            <w:vAlign w:val="bottom"/>
            <w:hideMark/>
          </w:tcPr>
          <w:p w14:paraId="3E358D52" w14:textId="77777777" w:rsidR="00220EF0" w:rsidRPr="00382579" w:rsidRDefault="00220EF0" w:rsidP="00A83C0D">
            <w:pPr>
              <w:rPr>
                <w:rFonts w:ascii="Calibri" w:hAnsi="Calibri" w:cs="Calibri"/>
                <w:color w:val="000000"/>
              </w:rPr>
            </w:pPr>
            <w:r w:rsidRPr="00382579">
              <w:rPr>
                <w:rFonts w:ascii="Calibri" w:hAnsi="Calibri" w:cs="Calibri"/>
                <w:color w:val="000000"/>
              </w:rPr>
              <w:t>Journal of Business Ethics</w:t>
            </w:r>
          </w:p>
        </w:tc>
        <w:tc>
          <w:tcPr>
            <w:tcW w:w="1356" w:type="dxa"/>
            <w:tcBorders>
              <w:top w:val="nil"/>
              <w:left w:val="nil"/>
              <w:bottom w:val="nil"/>
              <w:right w:val="nil"/>
            </w:tcBorders>
            <w:shd w:val="clear" w:color="000000" w:fill="FFFFFF"/>
            <w:noWrap/>
            <w:vAlign w:val="bottom"/>
            <w:hideMark/>
          </w:tcPr>
          <w:p w14:paraId="277B585C"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vAlign w:val="bottom"/>
            <w:hideMark/>
          </w:tcPr>
          <w:p w14:paraId="41F98588"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0BA7007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4A8F730"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36</w:t>
            </w:r>
          </w:p>
        </w:tc>
        <w:tc>
          <w:tcPr>
            <w:tcW w:w="5856" w:type="dxa"/>
            <w:tcBorders>
              <w:top w:val="nil"/>
              <w:left w:val="nil"/>
              <w:bottom w:val="nil"/>
              <w:right w:val="nil"/>
            </w:tcBorders>
            <w:shd w:val="clear" w:color="000000" w:fill="FFFFFF"/>
            <w:noWrap/>
            <w:hideMark/>
          </w:tcPr>
          <w:p w14:paraId="011FC11C" w14:textId="77777777" w:rsidR="00220EF0" w:rsidRPr="00382579" w:rsidRDefault="00220EF0" w:rsidP="00A83C0D">
            <w:pPr>
              <w:rPr>
                <w:rFonts w:ascii="Calibri" w:hAnsi="Calibri" w:cs="Calibri"/>
                <w:color w:val="000000"/>
              </w:rPr>
            </w:pPr>
            <w:r w:rsidRPr="00382579">
              <w:rPr>
                <w:rFonts w:ascii="Calibri" w:hAnsi="Calibri" w:cs="Calibri"/>
                <w:color w:val="000000"/>
              </w:rPr>
              <w:t>Journal of Contemporary Accounting and Economics</w:t>
            </w:r>
          </w:p>
        </w:tc>
        <w:tc>
          <w:tcPr>
            <w:tcW w:w="1356" w:type="dxa"/>
            <w:tcBorders>
              <w:top w:val="nil"/>
              <w:left w:val="nil"/>
              <w:bottom w:val="nil"/>
              <w:right w:val="nil"/>
            </w:tcBorders>
            <w:shd w:val="clear" w:color="000000" w:fill="FFFFFF"/>
            <w:noWrap/>
            <w:hideMark/>
          </w:tcPr>
          <w:p w14:paraId="3A400C64"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2005 </w:t>
            </w:r>
          </w:p>
        </w:tc>
        <w:tc>
          <w:tcPr>
            <w:tcW w:w="1608" w:type="dxa"/>
            <w:tcBorders>
              <w:top w:val="nil"/>
              <w:left w:val="nil"/>
              <w:bottom w:val="nil"/>
              <w:right w:val="single" w:sz="8" w:space="0" w:color="auto"/>
            </w:tcBorders>
            <w:shd w:val="clear" w:color="000000" w:fill="FFFFFF"/>
            <w:noWrap/>
            <w:hideMark/>
          </w:tcPr>
          <w:p w14:paraId="46281B2A"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2E184BA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0C97F6B"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37</w:t>
            </w:r>
          </w:p>
        </w:tc>
        <w:tc>
          <w:tcPr>
            <w:tcW w:w="5856" w:type="dxa"/>
            <w:tcBorders>
              <w:top w:val="nil"/>
              <w:left w:val="nil"/>
              <w:bottom w:val="nil"/>
              <w:right w:val="nil"/>
            </w:tcBorders>
            <w:shd w:val="clear" w:color="000000" w:fill="FFFFFF"/>
            <w:noWrap/>
            <w:hideMark/>
          </w:tcPr>
          <w:p w14:paraId="6D29E976" w14:textId="77777777" w:rsidR="00220EF0" w:rsidRPr="00382579" w:rsidRDefault="00220EF0" w:rsidP="00A83C0D">
            <w:pPr>
              <w:rPr>
                <w:rFonts w:ascii="Calibri" w:hAnsi="Calibri" w:cs="Calibri"/>
                <w:color w:val="000000"/>
              </w:rPr>
            </w:pPr>
            <w:r w:rsidRPr="00382579">
              <w:rPr>
                <w:rFonts w:ascii="Calibri" w:hAnsi="Calibri" w:cs="Calibri"/>
                <w:color w:val="000000"/>
              </w:rPr>
              <w:t>Journal of International Accounting Research</w:t>
            </w:r>
          </w:p>
        </w:tc>
        <w:tc>
          <w:tcPr>
            <w:tcW w:w="1356" w:type="dxa"/>
            <w:tcBorders>
              <w:top w:val="nil"/>
              <w:left w:val="nil"/>
              <w:bottom w:val="nil"/>
              <w:right w:val="nil"/>
            </w:tcBorders>
            <w:shd w:val="clear" w:color="000000" w:fill="FFFFFF"/>
            <w:noWrap/>
            <w:hideMark/>
          </w:tcPr>
          <w:p w14:paraId="7BEE398B"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2002 </w:t>
            </w:r>
          </w:p>
        </w:tc>
        <w:tc>
          <w:tcPr>
            <w:tcW w:w="1608" w:type="dxa"/>
            <w:tcBorders>
              <w:top w:val="nil"/>
              <w:left w:val="nil"/>
              <w:bottom w:val="nil"/>
              <w:right w:val="single" w:sz="8" w:space="0" w:color="auto"/>
            </w:tcBorders>
            <w:shd w:val="clear" w:color="000000" w:fill="FFFFFF"/>
            <w:noWrap/>
            <w:hideMark/>
          </w:tcPr>
          <w:p w14:paraId="7D227610"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r w:rsidR="00220EF0" w:rsidRPr="00382579" w14:paraId="79DD5C8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51B5201"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38</w:t>
            </w:r>
          </w:p>
        </w:tc>
        <w:tc>
          <w:tcPr>
            <w:tcW w:w="5856" w:type="dxa"/>
            <w:tcBorders>
              <w:top w:val="nil"/>
              <w:left w:val="nil"/>
              <w:bottom w:val="nil"/>
              <w:right w:val="nil"/>
            </w:tcBorders>
            <w:shd w:val="clear" w:color="000000" w:fill="FFFFFF"/>
            <w:noWrap/>
            <w:hideMark/>
          </w:tcPr>
          <w:p w14:paraId="3425F8BC" w14:textId="77777777" w:rsidR="00220EF0" w:rsidRPr="00382579" w:rsidRDefault="00220EF0" w:rsidP="00A83C0D">
            <w:pPr>
              <w:rPr>
                <w:rFonts w:ascii="Calibri" w:hAnsi="Calibri" w:cs="Calibri"/>
                <w:color w:val="000000"/>
              </w:rPr>
            </w:pPr>
            <w:r w:rsidRPr="00382579">
              <w:rPr>
                <w:rFonts w:ascii="Calibri" w:hAnsi="Calibri" w:cs="Calibri"/>
                <w:color w:val="000000"/>
              </w:rPr>
              <w:t>Managerial Auditing Journal</w:t>
            </w:r>
          </w:p>
        </w:tc>
        <w:tc>
          <w:tcPr>
            <w:tcW w:w="1356" w:type="dxa"/>
            <w:tcBorders>
              <w:top w:val="nil"/>
              <w:left w:val="nil"/>
              <w:bottom w:val="nil"/>
              <w:right w:val="nil"/>
            </w:tcBorders>
            <w:shd w:val="clear" w:color="000000" w:fill="FFFFFF"/>
            <w:noWrap/>
            <w:hideMark/>
          </w:tcPr>
          <w:p w14:paraId="2FC40E41"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0F6391CF"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4DD83F9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C33BF4C"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39</w:t>
            </w:r>
          </w:p>
        </w:tc>
        <w:tc>
          <w:tcPr>
            <w:tcW w:w="5856" w:type="dxa"/>
            <w:tcBorders>
              <w:top w:val="nil"/>
              <w:left w:val="nil"/>
              <w:bottom w:val="nil"/>
              <w:right w:val="nil"/>
            </w:tcBorders>
            <w:shd w:val="clear" w:color="000000" w:fill="FFFFFF"/>
            <w:noWrap/>
            <w:hideMark/>
          </w:tcPr>
          <w:p w14:paraId="283EA40C" w14:textId="77777777" w:rsidR="00220EF0" w:rsidRPr="00382579" w:rsidRDefault="00220EF0" w:rsidP="00A83C0D">
            <w:pPr>
              <w:rPr>
                <w:rFonts w:ascii="Calibri" w:hAnsi="Calibri" w:cs="Calibri"/>
                <w:color w:val="000000"/>
              </w:rPr>
            </w:pPr>
            <w:r w:rsidRPr="00382579">
              <w:rPr>
                <w:rFonts w:ascii="Calibri" w:hAnsi="Calibri" w:cs="Calibri"/>
                <w:color w:val="000000"/>
              </w:rPr>
              <w:t>Meditari Accountancy Research</w:t>
            </w:r>
          </w:p>
        </w:tc>
        <w:tc>
          <w:tcPr>
            <w:tcW w:w="1356" w:type="dxa"/>
            <w:tcBorders>
              <w:top w:val="nil"/>
              <w:left w:val="nil"/>
              <w:bottom w:val="nil"/>
              <w:right w:val="nil"/>
            </w:tcBorders>
            <w:shd w:val="clear" w:color="000000" w:fill="FFFFFF"/>
            <w:noWrap/>
            <w:hideMark/>
          </w:tcPr>
          <w:p w14:paraId="0628273F"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1993 </w:t>
            </w:r>
          </w:p>
        </w:tc>
        <w:tc>
          <w:tcPr>
            <w:tcW w:w="1608" w:type="dxa"/>
            <w:tcBorders>
              <w:top w:val="nil"/>
              <w:left w:val="nil"/>
              <w:bottom w:val="nil"/>
              <w:right w:val="single" w:sz="8" w:space="0" w:color="auto"/>
            </w:tcBorders>
            <w:shd w:val="clear" w:color="000000" w:fill="FFFFFF"/>
            <w:noWrap/>
            <w:hideMark/>
          </w:tcPr>
          <w:p w14:paraId="4D7648EB"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37C47EB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C0BF34B"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40</w:t>
            </w:r>
          </w:p>
        </w:tc>
        <w:tc>
          <w:tcPr>
            <w:tcW w:w="5856" w:type="dxa"/>
            <w:tcBorders>
              <w:top w:val="nil"/>
              <w:left w:val="nil"/>
              <w:bottom w:val="nil"/>
              <w:right w:val="nil"/>
            </w:tcBorders>
            <w:shd w:val="clear" w:color="000000" w:fill="FFFFFF"/>
            <w:noWrap/>
            <w:hideMark/>
          </w:tcPr>
          <w:p w14:paraId="71817EFA" w14:textId="77777777" w:rsidR="00220EF0" w:rsidRPr="00382579" w:rsidRDefault="00220EF0" w:rsidP="00A83C0D">
            <w:pPr>
              <w:rPr>
                <w:rFonts w:ascii="Calibri" w:hAnsi="Calibri" w:cs="Calibri"/>
                <w:color w:val="000000"/>
              </w:rPr>
            </w:pPr>
            <w:r w:rsidRPr="00382579">
              <w:rPr>
                <w:rFonts w:ascii="Calibri" w:hAnsi="Calibri" w:cs="Calibri"/>
                <w:color w:val="000000"/>
              </w:rPr>
              <w:t>Qualitative Research in Accounting and Management</w:t>
            </w:r>
          </w:p>
        </w:tc>
        <w:tc>
          <w:tcPr>
            <w:tcW w:w="1356" w:type="dxa"/>
            <w:tcBorders>
              <w:top w:val="nil"/>
              <w:left w:val="nil"/>
              <w:bottom w:val="nil"/>
              <w:right w:val="nil"/>
            </w:tcBorders>
            <w:shd w:val="clear" w:color="000000" w:fill="FFFFFF"/>
            <w:noWrap/>
            <w:hideMark/>
          </w:tcPr>
          <w:p w14:paraId="0FF12B0B"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320CFFF7" w14:textId="77777777" w:rsidR="00220EF0" w:rsidRPr="00382579" w:rsidRDefault="00220EF0" w:rsidP="00A83C0D">
            <w:pPr>
              <w:rPr>
                <w:rFonts w:ascii="Calibri" w:hAnsi="Calibri" w:cs="Calibri"/>
                <w:color w:val="000000"/>
              </w:rPr>
            </w:pPr>
            <w:r w:rsidRPr="00382579">
              <w:rPr>
                <w:rFonts w:ascii="Calibri" w:hAnsi="Calibri" w:cs="Calibri"/>
                <w:color w:val="000000"/>
              </w:rPr>
              <w:t>A</w:t>
            </w:r>
          </w:p>
        </w:tc>
      </w:tr>
      <w:tr w:rsidR="00220EF0" w:rsidRPr="00382579" w14:paraId="2FF1ABA9" w14:textId="77777777" w:rsidTr="00A83C0D">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083D55F3" w14:textId="77777777" w:rsidR="00220EF0" w:rsidRPr="00382579" w:rsidRDefault="00220EF0" w:rsidP="00A83C0D">
            <w:pPr>
              <w:jc w:val="right"/>
              <w:rPr>
                <w:rFonts w:ascii="Calibri" w:hAnsi="Calibri" w:cs="Calibri"/>
                <w:color w:val="000000"/>
              </w:rPr>
            </w:pPr>
            <w:r w:rsidRPr="00382579">
              <w:rPr>
                <w:rFonts w:ascii="Calibri" w:hAnsi="Calibri" w:cs="Calibri"/>
                <w:color w:val="000000"/>
              </w:rPr>
              <w:t>41</w:t>
            </w:r>
          </w:p>
        </w:tc>
        <w:tc>
          <w:tcPr>
            <w:tcW w:w="5856" w:type="dxa"/>
            <w:tcBorders>
              <w:top w:val="nil"/>
              <w:left w:val="nil"/>
              <w:bottom w:val="single" w:sz="8" w:space="0" w:color="auto"/>
              <w:right w:val="nil"/>
            </w:tcBorders>
            <w:shd w:val="clear" w:color="000000" w:fill="FFFFFF"/>
            <w:noWrap/>
            <w:hideMark/>
          </w:tcPr>
          <w:p w14:paraId="3416F23E" w14:textId="77777777" w:rsidR="00220EF0" w:rsidRPr="00382579" w:rsidRDefault="00220EF0" w:rsidP="00A83C0D">
            <w:pPr>
              <w:rPr>
                <w:rFonts w:ascii="Calibri" w:hAnsi="Calibri" w:cs="Calibri"/>
                <w:color w:val="000000"/>
              </w:rPr>
            </w:pPr>
            <w:r w:rsidRPr="00382579">
              <w:rPr>
                <w:rFonts w:ascii="Calibri" w:hAnsi="Calibri" w:cs="Calibri"/>
                <w:color w:val="000000"/>
              </w:rPr>
              <w:t>The International Journal of Accounting</w:t>
            </w:r>
          </w:p>
        </w:tc>
        <w:tc>
          <w:tcPr>
            <w:tcW w:w="1356" w:type="dxa"/>
            <w:tcBorders>
              <w:top w:val="nil"/>
              <w:left w:val="nil"/>
              <w:bottom w:val="single" w:sz="8" w:space="0" w:color="auto"/>
              <w:right w:val="nil"/>
            </w:tcBorders>
            <w:shd w:val="clear" w:color="000000" w:fill="FFFFFF"/>
            <w:noWrap/>
            <w:hideMark/>
          </w:tcPr>
          <w:p w14:paraId="6F57F961"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1D06FBAC" w14:textId="77777777" w:rsidR="00220EF0" w:rsidRPr="00382579" w:rsidRDefault="00220EF0" w:rsidP="00A83C0D">
            <w:pPr>
              <w:rPr>
                <w:rFonts w:ascii="Calibri" w:hAnsi="Calibri" w:cs="Calibri"/>
                <w:color w:val="000000"/>
              </w:rPr>
            </w:pPr>
            <w:r w:rsidRPr="00382579">
              <w:rPr>
                <w:rFonts w:ascii="Calibri" w:hAnsi="Calibri" w:cs="Calibri"/>
                <w:color w:val="000000"/>
              </w:rPr>
              <w:t xml:space="preserve">A </w:t>
            </w:r>
          </w:p>
        </w:tc>
      </w:tr>
    </w:tbl>
    <w:p w14:paraId="65533262" w14:textId="77777777" w:rsidR="00220EF0" w:rsidRPr="00382579" w:rsidRDefault="00220EF0" w:rsidP="005C61D2">
      <w:pPr>
        <w:rPr>
          <w:i/>
          <w:iCs/>
        </w:rPr>
      </w:pPr>
      <w:r w:rsidRPr="00382579">
        <w:rPr>
          <w:b/>
          <w:bCs/>
        </w:rPr>
        <w:t xml:space="preserve">Table </w:t>
      </w:r>
      <w:r w:rsidRPr="00382579">
        <w:rPr>
          <w:rFonts w:hint="eastAsia"/>
          <w:b/>
          <w:bCs/>
        </w:rPr>
        <w:t>2</w:t>
      </w:r>
      <w:r w:rsidRPr="00382579">
        <w:rPr>
          <w:b/>
          <w:bCs/>
        </w:rPr>
        <w:t>. Top accounting journals (based on ABDC lists)</w:t>
      </w:r>
      <w:r w:rsidRPr="00382579">
        <w:br/>
      </w:r>
      <w:r w:rsidRPr="00382579">
        <w:rPr>
          <w:i/>
          <w:iCs/>
        </w:rPr>
        <w:t>Source: ABDC (2022)</w:t>
      </w:r>
    </w:p>
    <w:p w14:paraId="43C0B816" w14:textId="77777777" w:rsidR="00220EF0" w:rsidRDefault="00220EF0" w:rsidP="00741E41">
      <w:pPr>
        <w:ind w:firstLine="420"/>
      </w:pPr>
    </w:p>
    <w:p w14:paraId="5362FFB4" w14:textId="77777777" w:rsidR="00220EF0" w:rsidRPr="00382579" w:rsidRDefault="00220EF0" w:rsidP="001D291B">
      <w:pPr>
        <w:spacing w:line="480" w:lineRule="auto"/>
        <w:ind w:firstLine="420"/>
        <w:jc w:val="both"/>
      </w:pPr>
      <w:r>
        <w:lastRenderedPageBreak/>
        <w:t xml:space="preserve">The article selection protocol was pilot-tested in early 2025 to refine keyword combinations and inclusion criteria. Final database searches in November 2025 yielded 3,551 records (Scopus: 961; EBSCO: 915; ProQuest: 913; Web of Science: 762). </w:t>
      </w:r>
      <w:r w:rsidRPr="00D34DFA">
        <w:t xml:space="preserve">Following PRISMA guidance (Page </w:t>
      </w:r>
      <w:r w:rsidRPr="001C79A6">
        <w:rPr>
          <w:i/>
        </w:rPr>
        <w:t>et al</w:t>
      </w:r>
      <w:r w:rsidRPr="00D34DFA">
        <w:t>., 2021), as illustrated in Figure 1, we applied ABDC quality filters and performed manual, line-by-line deduplication via EndNote.</w:t>
      </w:r>
      <w:r>
        <w:t xml:space="preserve"> This initial screening reduced the corpus to 176 unique records. During abstract review, an additional 52 studies were excluded (35 non-empirical; 17 marginally relevant), resulting in a final dataset of 124 empirical studies for full-text analysis.</w:t>
      </w:r>
      <w:r w:rsidRPr="00382579">
        <w:br w:type="page"/>
      </w:r>
    </w:p>
    <w:p w14:paraId="17F882D2" w14:textId="77777777" w:rsidR="00220EF0" w:rsidRPr="00382579" w:rsidRDefault="00220EF0" w:rsidP="00C9060A">
      <w:pPr>
        <w:rPr>
          <w:highlight w:val="yellow"/>
        </w:rPr>
      </w:pPr>
      <w:r w:rsidRPr="00382579">
        <w:rPr>
          <w:noProof/>
          <w:highlight w:val="yellow"/>
        </w:rPr>
        <w:lastRenderedPageBreak/>
        <mc:AlternateContent>
          <mc:Choice Requires="wps">
            <w:drawing>
              <wp:anchor distT="0" distB="0" distL="114300" distR="114300" simplePos="0" relativeHeight="251672576" behindDoc="0" locked="0" layoutInCell="1" allowOverlap="1" wp14:anchorId="64B6D9AD" wp14:editId="55C9A1AE">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A854D72" w14:textId="77777777" w:rsidR="00220EF0" w:rsidRPr="001502CF" w:rsidRDefault="00220EF0"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B6D9A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6pbAIAADMFAAAOAAAAZHJzL2Uyb0RvYy54bWysVMFu2zAMvQ/YPwi6r3Zcd1uDOkWQosOA&#10;og3WDj0rslQbkCWNYuJkXz9KdtyiKzZgmA8yJZJP5COpi8t9Z9hOQWidrfjsJOdMWenq1j5V/PvD&#10;9YfPnAUUthbGWVXxgwr8cvH+3UXv56pwjTO1AkYgNsx7X/EG0c+zLMhGdSKcOK8sKbWDTiBt4Smr&#10;QfSE3pmsyPOPWe+g9uCkCoFOrwYlXyR8rZXEO62DQmYqTrFhWiGtm7hmiwsxfwLhm1aOYYh/iKIT&#10;raVLJ6grgYJtof0NqmsluOA0nkjXZU7rVqqUA2Uzy19lc98Ir1IuRE7wE03h/8HK2929XwPR0Psw&#10;DyTGLPYauvin+Ng+kXWYyFJ7ZJIOy9PyrCjOOZOkOy3zoiwim9mzt4eAX5TrWBQqro3rV40AXBpU&#10;YAWq9VC3RJzY3QQc/I9+BPYcVJLwYFSMy9hvSrO2pjCK5J36Ra0MsJ2gSgsplcVyUDWiVsPxWU7f&#10;GOTkkUJOgBFZt8ZM2LM/YQ+xjvbRVaV2m5zzvztPHulmZ3Fy7lrr4C0Ag7MxAT3YH0kaqIks4X6z&#10;H+u5cfVhDQzc0PfBy+uWanEjAq4FUKPTSNDw4h0tsTwVd6PEWePg51vn0Z76j7Sc9TQ4FQ8/tgIU&#10;Z+arpc48n5VlnLS0Kc8+FbSBl5rNS43dditHFZvRM+FlEqM9mqOowXWPNOPLeCuphJV0d8UlwnGz&#10;wmGg6ZWQarlMZjRdXuCNvfcygkeCY1s97B8F+LEhkVr51h2HTMxfteBgGz2tW27R6Tb1Z6R44HWk&#10;niYz9dD4isTRf7lPVs9v3eIXAAAA//8DAFBLAwQUAAYACAAAACEALNlbCdwAAAAIAQAADwAAAGRy&#10;cy9kb3ducmV2LnhtbEyPMU/DMBCFdyT+g3VILIjabUUShThVhWBho3RgdOMjMdjnKHbbwK/nmGA6&#10;3b2nd99rNnPw4oRTcpE0LBcKBFIXraNew/716bYCkbIha3wk1PCFCTbt5UVjahvP9IKnXe4Fh1Cq&#10;jYYh57GWMnUDBpMWcURi7T1OwWRep17ayZw5PHi5UqqQwTjiD4MZ8WHA7nN3DBqKm8Ilt8rBq4/t&#10;99u4f3zGWWl9fTVv70FknPOfGX7xGR1aZjrEI9kkvIaqKtnJ9yVP1styzd0OHH63Btk28n+B9gcA&#10;AP//AwBQSwECLQAUAAYACAAAACEAtoM4kv4AAADhAQAAEwAAAAAAAAAAAAAAAAAAAAAAW0NvbnRl&#10;bnRfVHlwZXNdLnhtbFBLAQItABQABgAIAAAAIQA4/SH/1gAAAJQBAAALAAAAAAAAAAAAAAAAAC8B&#10;AABfcmVscy8ucmVsc1BLAQItABQABgAIAAAAIQAkBr6pbAIAADMFAAAOAAAAAAAAAAAAAAAAAC4C&#10;AABkcnMvZTJvRG9jLnhtbFBLAQItABQABgAIAAAAIQAs2VsJ3AAAAAgBAAAPAAAAAAAAAAAAAAAA&#10;AMYEAABkcnMvZG93bnJldi54bWxQSwUGAAAAAAQABADzAAAAzwUAAAAA&#10;" fillcolor="#0f9ed5 [3207]" strokecolor="#074e69 [1607]" strokeweight="1.5pt">
                <v:textbox>
                  <w:txbxContent>
                    <w:p w14:paraId="7A854D72" w14:textId="77777777" w:rsidR="00220EF0" w:rsidRPr="001502CF" w:rsidRDefault="00220EF0"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33BF7161" w14:textId="77777777" w:rsidR="00220EF0" w:rsidRPr="00382579" w:rsidRDefault="00220EF0" w:rsidP="00C9060A">
      <w:pPr>
        <w:rPr>
          <w:highlight w:val="yellow"/>
        </w:rPr>
      </w:pPr>
    </w:p>
    <w:p w14:paraId="526D6DD4" w14:textId="77777777" w:rsidR="00220EF0" w:rsidRPr="00CC7453" w:rsidRDefault="00220EF0" w:rsidP="00C9060A">
      <w:pPr>
        <w:rPr>
          <w:sz w:val="20"/>
          <w:szCs w:val="20"/>
          <w:highlight w:val="yellow"/>
        </w:rPr>
      </w:pPr>
    </w:p>
    <w:p w14:paraId="4B1B44D1"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59264" behindDoc="0" locked="0" layoutInCell="1" allowOverlap="1" wp14:anchorId="334C7644" wp14:editId="1761D151">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CCCB13"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40978526" w14:textId="77777777" w:rsidR="00220EF0" w:rsidRDefault="00220EF0"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0FDBD65A" w14:textId="77777777" w:rsidR="00220EF0" w:rsidRDefault="00220EF0"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7FBB0279" w14:textId="77777777" w:rsidR="00220EF0" w:rsidRDefault="00220EF0" w:rsidP="00C9060A">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445ADC9C" w14:textId="77777777" w:rsidR="00220EF0" w:rsidRDefault="00220EF0"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6CCE21DD" w14:textId="77777777" w:rsidR="00220EF0" w:rsidRPr="006E4066" w:rsidRDefault="00220EF0"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3AF60948" w14:textId="77777777" w:rsidR="00220EF0" w:rsidRPr="00560609" w:rsidRDefault="00220EF0" w:rsidP="00C9060A">
                            <w:pPr>
                              <w:ind w:left="284"/>
                              <w:rPr>
                                <w:rFonts w:ascii="Arial" w:hAnsi="Arial" w:cs="Arial"/>
                                <w:color w:val="000000" w:themeColor="text1"/>
                                <w:sz w:val="18"/>
                                <w:szCs w:val="20"/>
                              </w:rPr>
                            </w:pPr>
                          </w:p>
                          <w:p w14:paraId="0BCEDB83" w14:textId="77777777" w:rsidR="00220EF0" w:rsidRPr="00560609" w:rsidRDefault="00220EF0"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C7644" id="Rectangle 2085532282" o:spid="_x0000_s1027" style="position:absolute;margin-left:44.2pt;margin-top:1pt;width:148.6pt;height:10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uO9hwIAAHEFAAAOAAAAZHJzL2Uyb0RvYy54bWysVEtv2zAMvg/YfxB0X21n6ZoFdYqgRYcB&#10;RRu0HXpWZKkWIIuapMTOfv0o+ZGgK3YYloMjieRH8uPj8qprNNkL5xWYkhZnOSXCcKiUeS3pj+fb&#10;TwtKfGCmYhqMKOlBeHq1+vjhsrVLMYMadCUcQRDjl60taR2CXWaZ57VomD8DKwwKJbiGBby616xy&#10;rEX0RmezPP+SteAq64AL7/H1phfSVcKXUvDwIKUXgeiSYmwhfV36buM3W12y5atjtlZ8CIP9QxQN&#10;UwadTlA3LDCyc+oPqEZxBx5kOOPQZCCl4iLlgNkU+ZtsnmpmRcoFyfF2osn/P1h+v3+yG4c0tNYv&#10;PR5jFp10TfzH+EiXyDpMZIkuEI6PxWJxMZshpxxlxed5Pp8tIp3Z0dw6H74JaEg8lNRhNRJJbH/n&#10;Q686qkRvBm6V1qki2sQHD1pV8S1dYkuIa+3InmExQ1cM3k600He0zI65pFM4aBEhtHkUkqgKo5+l&#10;QFKbHTEZ58KEohfVrBK9q/Mcf6OzMYqUaAKMyBKDnLAHgFGzBxmx+7QH/WgqUpdOxvnfAuuNJ4vk&#10;GUyYjBtlwL0HoDGrwXOvP5LUUxNZCt22Q26wllEzvmyhOmwccdBPjbf8VmEh75gPG+ZwTLD4OPrh&#10;AT9SQ1tSGE6U1OB+vfce9bF7UUpJi2NXUv9zx5ygRH832Ndfi/k8zmm6zM8vYoO5U8n2VGJ2zTVg&#10;MxS4ZCxPx6gf9HiUDpoX3BDr6BVFzHD0XVIe3Hi5Dv06wB3DxXqd1HA2LQt35snyCB55jo363L0w&#10;Z4duDjgI9zCOKFu+aepeN1oaWO8CSJU6/sjrUAGc69RKww6Ki+P0nrSOm3L1GwAA//8DAFBLAwQU&#10;AAYACAAAACEA0bThGt4AAAAIAQAADwAAAGRycy9kb3ducmV2LnhtbEyPzU7DMBCE70i8g7VI3KiT&#10;BqooxKlQ+ZFAXBq49ObE2zgiXkexm4a3ZznBcTSjmW/K7eIGMeMUek8K0lUCAqn1pqdOwefH800O&#10;IkRNRg+eUME3BthWlxelLow/0x7nOnaCSygUWoGNcSykDK1Fp8PKj0jsHf3kdGQ5ddJM+szlbpDr&#10;JNlIp3viBatH3Flsv+qTU3Acm+z9sD8kdfP6tnt6MVY+zlap66vl4R5ExCX+heEXn9GhYqbGn8gE&#10;MSjI81tOKljzI7az/G4DomGdZinIqpT/D1Q/AAAA//8DAFBLAQItABQABgAIAAAAIQC2gziS/gAA&#10;AOEBAAATAAAAAAAAAAAAAAAAAAAAAABbQ29udGVudF9UeXBlc10ueG1sUEsBAi0AFAAGAAgAAAAh&#10;ADj9If/WAAAAlAEAAAsAAAAAAAAAAAAAAAAALwEAAF9yZWxzLy5yZWxzUEsBAi0AFAAGAAgAAAAh&#10;AL0q472HAgAAcQUAAA4AAAAAAAAAAAAAAAAALgIAAGRycy9lMm9Eb2MueG1sUEsBAi0AFAAGAAgA&#10;AAAhANG04RreAAAACAEAAA8AAAAAAAAAAAAAAAAA4QQAAGRycy9kb3ducmV2LnhtbFBLBQYAAAAA&#10;BAAEAPMAAADsBQAAAAA=&#10;" filled="f" strokecolor="black [3213]" strokeweight="1.5pt">
                <v:textbox>
                  <w:txbxContent>
                    <w:p w14:paraId="79CCCB13"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40978526" w14:textId="77777777" w:rsidR="00220EF0" w:rsidRDefault="00220EF0"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0FDBD65A" w14:textId="77777777" w:rsidR="00220EF0" w:rsidRDefault="00220EF0"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7FBB0279" w14:textId="77777777" w:rsidR="00220EF0" w:rsidRDefault="00220EF0" w:rsidP="00C9060A">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445ADC9C" w14:textId="77777777" w:rsidR="00220EF0" w:rsidRDefault="00220EF0"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6CCE21DD" w14:textId="77777777" w:rsidR="00220EF0" w:rsidRPr="006E4066" w:rsidRDefault="00220EF0"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3AF60948" w14:textId="77777777" w:rsidR="00220EF0" w:rsidRPr="00560609" w:rsidRDefault="00220EF0" w:rsidP="00C9060A">
                      <w:pPr>
                        <w:ind w:left="284"/>
                        <w:rPr>
                          <w:rFonts w:ascii="Arial" w:hAnsi="Arial" w:cs="Arial"/>
                          <w:color w:val="000000" w:themeColor="text1"/>
                          <w:sz w:val="18"/>
                          <w:szCs w:val="20"/>
                        </w:rPr>
                      </w:pPr>
                    </w:p>
                    <w:p w14:paraId="0BCEDB83" w14:textId="77777777" w:rsidR="00220EF0" w:rsidRPr="00560609" w:rsidRDefault="00220EF0" w:rsidP="00C9060A">
                      <w:pPr>
                        <w:ind w:left="284"/>
                        <w:rPr>
                          <w:rFonts w:ascii="Arial" w:hAnsi="Arial" w:cs="Arial"/>
                          <w:color w:val="000000" w:themeColor="text1"/>
                          <w:sz w:val="18"/>
                          <w:szCs w:val="20"/>
                        </w:rPr>
                      </w:pP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0288" behindDoc="0" locked="0" layoutInCell="1" allowOverlap="1" wp14:anchorId="1EA7D643" wp14:editId="27D386E8">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0C4BC5"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63C39C15" w14:textId="77777777" w:rsidR="00220EF0" w:rsidRDefault="00220EF0"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6247B176" w14:textId="77777777" w:rsidR="00220EF0" w:rsidRPr="009B3F4C" w:rsidRDefault="00220EF0"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736FE1EB" w14:textId="77777777" w:rsidR="00220EF0" w:rsidRPr="00560609" w:rsidRDefault="00220EF0"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7D643" id="Rectangle 252070438" o:spid="_x0000_s1028" style="position:absolute;margin-left:239.4pt;margin-top:.85pt;width:178.3pt;height:10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6ghwIAAHEFAAAOAAAAZHJzL2Uyb0RvYy54bWysVE1v2zAMvQ/YfxB0X21nSbcGdYqgRYcB&#10;RRu0HXpWZKkWIIuapMTOfv0o+SNBV+wwzAdZEslH8onk5VXXaLIXziswJS3OckqE4VAp81rSH8+3&#10;n75S4gMzFdNgREkPwtOr1ccPl61dihnUoCvhCIIYv2xtSesQ7DLLPK9Fw/wZWGFQKME1LODRvWaV&#10;Yy2iNzqb5fl51oKrrAMuvMfbm15IVwlfSsHDg5ReBKJLirGFtLq0buOarS7Z8tUxWys+hMH+IYqG&#10;KYNOJ6gbFhjZOfUHVKO4Aw8ynHFoMpBScZFywGyK/E02TzWzIuWC5Hg70eT/Hyy/3z/ZjUMaWuuX&#10;Hrcxi066Jv4xPtIlsg4TWaILhOPlbHY+nxfIKUdZ8Xl2kS8Wkc7saG6dD98ENCRuSurwNRJJbH/n&#10;Q686qkRvBm6V1ulFtIkXHrSq4l06xJIQ19qRPcPHDF0xeDvRQt/RMjvmknbhoEWE0OZRSKKqGH0K&#10;JJXZEZNxLkwoelHNKtG7WuT4jc7GKFKiCTAiSwxywh4ARs0eZMTu0x70o6lIVToZ538LrDeeLJJn&#10;MGEybpQB9x6AxqwGz73+SFJPTWQpdNsOuYnUoGa82UJ12DjioO8ab/mtwoe8Yz5smMM2wcfH1g8P&#10;uEgNbUlh2FFSg/v13n3Ux+pFKSUttl1J/c8dc4IS/d1gXV8U83ns03SYL77M8OBOJdtTidk114DF&#10;UOCQsTxto37Q41Y6aF5wQqyjVxQxw9F3SXlw4+E69OMAZwwX63VSw960LNyZJ8sjeOQ5Fupz98Kc&#10;Hao5YCPcw9iibPmmqHvdaGlgvQsgVar4I6/DC2Bfp1IaZlAcHKfnpHWclKvfAAAA//8DAFBLAwQU&#10;AAYACAAAACEAcE+0TeAAAAAJAQAADwAAAGRycy9kb3ducmV2LnhtbEyPy07DMBBF90j8gzVI7KiT&#10;ttAoxKlQeUggNg1sunPiaRwRj6PYTcPfM6xgOTpX954ptrPrxYRj6DwpSBcJCKTGm45aBZ8fzzcZ&#10;iBA1Gd17QgXfGGBbXl4UOjf+THucqtgKLqGQawU2xiGXMjQWnQ4LPyAxO/rR6cjn2Eoz6jOXu14u&#10;k+ROOt0RL1g94M5i81WdnILjUK/eD/tDUtWvb7unF2Pl42SVur6aH+5BRJzjXxh+9VkdSnaq/YlM&#10;EL2C9SZj9chgA4J5trpdg6gVLNM0AVkW8v8H5Q8AAAD//wMAUEsBAi0AFAAGAAgAAAAhALaDOJL+&#10;AAAA4QEAABMAAAAAAAAAAAAAAAAAAAAAAFtDb250ZW50X1R5cGVzXS54bWxQSwECLQAUAAYACAAA&#10;ACEAOP0h/9YAAACUAQAACwAAAAAAAAAAAAAAAAAvAQAAX3JlbHMvLnJlbHNQSwECLQAUAAYACAAA&#10;ACEAqlKeoIcCAABxBQAADgAAAAAAAAAAAAAAAAAuAgAAZHJzL2Uyb0RvYy54bWxQSwECLQAUAAYA&#10;CAAAACEAcE+0TeAAAAAJAQAADwAAAAAAAAAAAAAAAADhBAAAZHJzL2Rvd25yZXYueG1sUEsFBgAA&#10;AAAEAAQA8wAAAO4FAAAAAA==&#10;" filled="f" strokecolor="black [3213]" strokeweight="1.5pt">
                <v:textbox>
                  <w:txbxContent>
                    <w:p w14:paraId="250C4BC5"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63C39C15" w14:textId="77777777" w:rsidR="00220EF0" w:rsidRDefault="00220EF0"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6247B176" w14:textId="77777777" w:rsidR="00220EF0" w:rsidRPr="009B3F4C" w:rsidRDefault="00220EF0"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736FE1EB" w14:textId="77777777" w:rsidR="00220EF0" w:rsidRPr="00560609" w:rsidRDefault="00220EF0" w:rsidP="00C9060A">
                      <w:pPr>
                        <w:ind w:left="284"/>
                        <w:rPr>
                          <w:rFonts w:ascii="Arial" w:hAnsi="Arial" w:cs="Arial"/>
                          <w:color w:val="000000" w:themeColor="text1"/>
                          <w:sz w:val="18"/>
                          <w:szCs w:val="20"/>
                        </w:rPr>
                      </w:pPr>
                    </w:p>
                  </w:txbxContent>
                </v:textbox>
              </v:rect>
            </w:pict>
          </mc:Fallback>
        </mc:AlternateContent>
      </w:r>
    </w:p>
    <w:p w14:paraId="702BE7DB"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3600" behindDoc="0" locked="0" layoutInCell="1" allowOverlap="1" wp14:anchorId="78EB3F74" wp14:editId="73EE48C9">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B4A653E" w14:textId="77777777" w:rsidR="00220EF0" w:rsidRPr="001502CF" w:rsidRDefault="00220EF0"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B3F74" id="Flowchart: Alternate Process 1275149529"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DwXwWK&#10;4gAAAAkBAAAPAAAAZHJzL2Rvd25yZXYueG1sTI9NS8NAEIbvgv9hGcFLaTf9SGpjNqUIgtKTaUW8&#10;TZM1ie7Ohuy2jf31jic9vrwP7zyTrQdrxEn3vnWkYDqJQGgqXdVSrWC/exzfgfABqULjSCv41h7W&#10;+fVVhmnlzvSiT0WoBY+QT1FBE0KXSunLRlv0E9dp4u7D9RYDx76WVY9nHrdGzqIokRZb4gsNdvqh&#10;0eVXcbQKnLlEBcbT16fL2/NmNJp3n9vVu1K3N8PmHkTQQ/iD4Vef1SFnp4M7UuWF4ZzMmVQwXixW&#10;IBiIl0sQBy7iZAYyz+T/D/IfAAAA//8DAFBLAQItABQABgAIAAAAIQC2gziS/gAAAOEBAAATAAAA&#10;AAAAAAAAAAAAAAAAAABbQ29udGVudF9UeXBlc10ueG1sUEsBAi0AFAAGAAgAAAAhADj9If/WAAAA&#10;lAEAAAsAAAAAAAAAAAAAAAAALwEAAF9yZWxzLy5yZWxzUEsBAi0AFAAGAAgAAAAhABkwgwuzAgAA&#10;+wUAAA4AAAAAAAAAAAAAAAAALgIAAGRycy9lMm9Eb2MueG1sUEsBAi0AFAAGAAgAAAAhAPBfBYri&#10;AAAACQEAAA8AAAAAAAAAAAAAAAAADQUAAGRycy9kb3ducmV2LnhtbFBLBQYAAAAABAAEAPMAAAAc&#10;BgAAAAA=&#10;" fillcolor="#d86dcb [1944]" strokecolor="black [3213]" strokeweight="1.5pt">
                <v:textbox>
                  <w:txbxContent>
                    <w:p w14:paraId="3B4A653E" w14:textId="77777777" w:rsidR="00220EF0" w:rsidRPr="001502CF" w:rsidRDefault="00220EF0"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5F6AA5E8" w14:textId="77777777" w:rsidR="00220EF0" w:rsidRPr="00CC7453" w:rsidRDefault="00220EF0" w:rsidP="00C9060A">
      <w:pPr>
        <w:rPr>
          <w:sz w:val="20"/>
          <w:szCs w:val="20"/>
          <w:highlight w:val="yellow"/>
        </w:rPr>
      </w:pPr>
    </w:p>
    <w:p w14:paraId="196B9E1C"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68480" behindDoc="0" locked="0" layoutInCell="1" allowOverlap="1" wp14:anchorId="176B4CC5" wp14:editId="0A6CDDE3">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C78277"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rmY+Y9wAAAAH&#10;AQAADwAAAGRycy9kb3ducmV2LnhtbEyO0U6DQBBF3038h82Y+GYXscUWWZqGRB80mkj9gC07AsrO&#10;IrsF+veOvujT5Obc3DnZdradGHHwrSMF14sIBFLlTEu1grf9/dUahA+ajO4coYITetjm52eZTo2b&#10;6BXHMtSCR8inWkETQp9K6asGrfYL1yMxe3eD1YHjUEsz6InHbSfjKEqk1S3xh0b3WDRYfZZHq2Dz&#10;Mu7K8uljswxfSVw8Tqfn/UOh1OXFvLsDEXAOf2X40Wd1yNnp4I5kvOgU3KyTFVcZ8GG+vF3FIA6/&#10;WeaZ/O+ffwMAAP//AwBQSwECLQAUAAYACAAAACEAtoM4kv4AAADhAQAAEwAAAAAAAAAAAAAAAAAA&#10;AAAAW0NvbnRlbnRfVHlwZXNdLnhtbFBLAQItABQABgAIAAAAIQA4/SH/1gAAAJQBAAALAAAAAAAA&#10;AAAAAAAAAC8BAABfcmVscy8ucmVsc1BLAQItABQABgAIAAAAIQCkejQVygEAAP0DAAAOAAAAAAAA&#10;AAAAAAAAAC4CAABkcnMvZTJvRG9jLnhtbFBLAQItABQABgAIAAAAIQCuZj5j3AAAAAcBAAAPAAAA&#10;AAAAAAAAAAAAACQEAABkcnMvZG93bnJldi54bWxQSwUGAAAAAAQABADzAAAALQUAAAAA&#10;" strokecolor="black [3213]" strokeweight="1pt">
                <v:stroke endarrow="block" joinstyle="miter"/>
              </v:shape>
            </w:pict>
          </mc:Fallback>
        </mc:AlternateContent>
      </w:r>
    </w:p>
    <w:p w14:paraId="509D5011" w14:textId="77777777" w:rsidR="00220EF0" w:rsidRPr="00CC7453" w:rsidRDefault="00220EF0" w:rsidP="00C9060A">
      <w:pPr>
        <w:rPr>
          <w:sz w:val="20"/>
          <w:szCs w:val="20"/>
          <w:highlight w:val="yellow"/>
        </w:rPr>
      </w:pPr>
    </w:p>
    <w:p w14:paraId="3E158959" w14:textId="77777777" w:rsidR="00220EF0" w:rsidRPr="00CC7453" w:rsidRDefault="00220EF0" w:rsidP="00C9060A">
      <w:pPr>
        <w:rPr>
          <w:sz w:val="20"/>
          <w:szCs w:val="20"/>
          <w:highlight w:val="yellow"/>
        </w:rPr>
      </w:pPr>
    </w:p>
    <w:p w14:paraId="5B42E7C2" w14:textId="77777777" w:rsidR="00220EF0" w:rsidRPr="00CC7453" w:rsidRDefault="00220EF0" w:rsidP="00C9060A">
      <w:pPr>
        <w:rPr>
          <w:sz w:val="20"/>
          <w:szCs w:val="20"/>
          <w:highlight w:val="yellow"/>
        </w:rPr>
      </w:pPr>
    </w:p>
    <w:p w14:paraId="30C1E1CF"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6672" behindDoc="0" locked="0" layoutInCell="1" allowOverlap="1" wp14:anchorId="0D890969" wp14:editId="5D3AC09B">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50C9FD" id="Straight Arrow Connector 1787916010" o:spid="_x0000_s1026" type="#_x0000_t32" style="position:absolute;margin-left:110.25pt;margin-top:1.2pt;width:0;height:22.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NFb6eXdAAAACAEA&#10;AA8AAABkcnMvZG93bnJldi54bWxMj8FOhEAQRO8m/sOkTby5gwTRRYbNhkQPGjeR9QNmmRZQpgeZ&#10;WWD/3jYe9NaVqlS/yjeL7cWEo+8cKbheRSCQamc6ahS87R+u7kD4oMno3hEqOKGHTXF+luvMuJle&#10;capCI7iEfKYVtCEMmZS+btFqv3IDEnvvbrQ6sBwbaUY9c7ntZRxFqbS6I/7Q6gHLFuvP6mgVrHfT&#10;tqqeP9ZJ+Erj8mk+vewfS6UuL5btPYiAS/gLww8+o0PBTAd3JONFryCOoxuO8pGAYP9XHxQk6S3I&#10;Ipf/BxTfAAAA//8DAFBLAQItABQABgAIAAAAIQC2gziS/gAAAOEBAAATAAAAAAAAAAAAAAAAAAAA&#10;AABbQ29udGVudF9UeXBlc10ueG1sUEsBAi0AFAAGAAgAAAAhADj9If/WAAAAlAEAAAsAAAAAAAAA&#10;AAAAAAAALwEAAF9yZWxzLy5yZWxzUEsBAi0AFAAGAAgAAAAhAFBdJ+TIAQAA/QMAAA4AAAAAAAAA&#10;AAAAAAAALgIAAGRycy9lMm9Eb2MueG1sUEsBAi0AFAAGAAgAAAAhANFb6eXdAAAACAEAAA8AAAAA&#10;AAAAAAAAAAAAIgQAAGRycy9kb3ducmV2LnhtbFBLBQYAAAAABAAEAPMAAAAsBQAAAAA=&#10;" strokecolor="black [3213]" strokeweight="1pt">
                <v:stroke endarrow="block" joinstyle="miter"/>
              </v:shape>
            </w:pict>
          </mc:Fallback>
        </mc:AlternateContent>
      </w:r>
    </w:p>
    <w:p w14:paraId="19007DFF"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62336" behindDoc="0" locked="0" layoutInCell="1" allowOverlap="1" wp14:anchorId="31FBF4BE" wp14:editId="29E8EF39">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6D2582"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2F44A386" w14:textId="77777777" w:rsidR="00220EF0" w:rsidRDefault="00220EF0"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77422777" w14:textId="77777777" w:rsidR="00220EF0" w:rsidRDefault="00220EF0"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3FF0EDA0" w14:textId="77777777" w:rsidR="00220EF0" w:rsidRPr="00AE000D" w:rsidRDefault="00220EF0"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BF4BE" id="Rectangle 614985903" o:spid="_x0000_s1030" style="position:absolute;margin-left:240.3pt;margin-top:5.9pt;width:146.85pt;height:7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k77hwIAAHAFAAAOAAAAZHJzL2Uyb0RvYy54bWysVE1v2zAMvQ/YfxB0Xx0HaZsEdYogRYcB&#10;RVusHXpWZCkWIIuapMTOfv0o+SNBV+wwzAdZEslH8onkzW1ba3IQziswBc0vJpQIw6FUZlfQH6/3&#10;X+aU+MBMyTQYUdCj8PR29fnTTWOXYgoV6FI4giDGLxtb0CoEu8wyzytRM38BVhgUSnA1C3h0u6x0&#10;rEH0WmfTyeQqa8CV1gEX3uPtXSekq4QvpeDhSUovAtEFxdhCWl1at3HNVjdsuXPMVor3YbB/iKJm&#10;yqDTEeqOBUb2Tv0BVSvuwIMMFxzqDKRUXKQcMJt88i6bl4pZkXJBcrwdafL/D5Y/Hl7ss0MaGuuX&#10;Hrcxi1a6Ov4xPtImso4jWaINhONlPr+azfNrSjjK5ovrxWIW2cxO1tb58FVATeKmoA4fI3HEDg8+&#10;dKqDSnRm4F5pnR5Em3jhQasy3qVDrAix0Y4cGL5laPPe25kW+o6W2SmVtAtHLSKENt+FJKrE4Kcp&#10;kFRlJ0zGuTAh70QVK0Xn6nKC3+BsiCIlmgAjssQgR+weYNDsQAbsLu1eP5qKVKSj8eRvgXXGo0Xy&#10;DCaMxrUy4D4C0JhV77nTH0jqqIkshXbbIjcFTa8Yb7ZQHp8dcdA1jbf8XuFDPjAfnpnDLsF+ws4P&#10;T7hIDU1Bod9RUoH79dF91MfiRSklDXZdQf3PPXOCEv3NYFkv8tkstmk6zC6vp3hw55LtucTs6w1g&#10;MeQ4YyxP26gf9LCVDuo3HBDr6BVFzHD0XVAe3HDYhG4a4IjhYr1OatialoUH82J5BI88x0J9bd+Y&#10;s301B+yDRxg6lC3fFXWnGy0NrPcBpEoVf+K1fwFs61RK/QiKc+P8nLROg3L1GwAA//8DAFBLAwQU&#10;AAYACAAAACEAWmJj3+AAAAAKAQAADwAAAGRycy9kb3ducmV2LnhtbEyPzU7DMBCE70i8g7VI3KjT&#10;prRViFOh8iNRcWng0psTb+OIeB3FbhrenuUEx535NDuTbyfXiRGH0HpSMJ8lIJBqb1pqFHx+vNxt&#10;QISoyejOEyr4xgDb4voq15nxFzrgWMZGcAiFTCuwMfaZlKG26HSY+R6JvZMfnI58Do00g75wuOvk&#10;IklW0umW+IPVPe4s1l/l2Sk49VX6fjwck7J62++eX42VT6NV6vZmenwAEXGKfzD81ufqUHCnyp/J&#10;BNEpWG6SFaNszHkCA+v1MgVRsXCfLkAWufw/ofgBAAD//wMAUEsBAi0AFAAGAAgAAAAhALaDOJL+&#10;AAAA4QEAABMAAAAAAAAAAAAAAAAAAAAAAFtDb250ZW50X1R5cGVzXS54bWxQSwECLQAUAAYACAAA&#10;ACEAOP0h/9YAAACUAQAACwAAAAAAAAAAAAAAAAAvAQAAX3JlbHMvLnJlbHNQSwECLQAUAAYACAAA&#10;ACEAebZO+4cCAABwBQAADgAAAAAAAAAAAAAAAAAuAgAAZHJzL2Uyb0RvYy54bWxQSwECLQAUAAYA&#10;CAAAACEAWmJj3+AAAAAKAQAADwAAAAAAAAAAAAAAAADhBAAAZHJzL2Rvd25yZXYueG1sUEsFBgAA&#10;AAAEAAQA8wAAAO4FAAAAAA==&#10;" filled="f" strokecolor="black [3213]" strokeweight="1.5pt">
                <v:textbox>
                  <w:txbxContent>
                    <w:p w14:paraId="0D6D2582"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2F44A386" w14:textId="77777777" w:rsidR="00220EF0" w:rsidRDefault="00220EF0"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77422777" w14:textId="77777777" w:rsidR="00220EF0" w:rsidRDefault="00220EF0"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3FF0EDA0" w14:textId="77777777" w:rsidR="00220EF0" w:rsidRPr="00AE000D" w:rsidRDefault="00220EF0"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9504" behindDoc="0" locked="0" layoutInCell="1" allowOverlap="1" wp14:anchorId="682E1B25" wp14:editId="4BD4588C">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A1CB95" id="Straight Arrow Connector 1659215031"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UaZp9uAAAAAJ&#10;AQAADwAAAGRycy9kb3ducmV2LnhtbEyPwU6DQBCG7018h8008dYuVEpbZGkaEj1oNJH6AFt2BCo7&#10;i+wW6Nu7xoMeZ+bLP9+f7ifdsgF72xgSEC4DYEilUQ1VAt6PD4stMOskKdkaQgFXtLDPbmapTJQZ&#10;6Q2HwlXMh5BNpIDauS7h3JY1ammXpkPytw/Ta+n82Fdc9XL04brlqyCIuZYN+Q+17DCvsfwsLlrA&#10;7nU4FMXzeRe5r3iVP43Xl+NjLsTtfDrcA3M4uT8YfvS9OmTe6WQupCxrBdxt48ijAtbhBpgHos06&#10;BHb6XfAs5f8bZN8AAAD//wMAUEsBAi0AFAAGAAgAAAAhALaDOJL+AAAA4QEAABMAAAAAAAAAAAAA&#10;AAAAAAAAAFtDb250ZW50X1R5cGVzXS54bWxQSwECLQAUAAYACAAAACEAOP0h/9YAAACUAQAACwAA&#10;AAAAAAAAAAAAAAAvAQAAX3JlbHMvLnJlbHNQSwECLQAUAAYACAAAACEAA0VuzcoBAAD9AwAADgAA&#10;AAAAAAAAAAAAAAAuAgAAZHJzL2Uyb0RvYy54bWxQSwECLQAUAAYACAAAACEAUaZp9uAAAAAJAQAA&#10;DwAAAAAAAAAAAAAAAAAkBAAAZHJzL2Rvd25yZXYueG1sUEsFBgAAAAAEAAQA8wAAADEFAAAAAA==&#10;" strokecolor="black [3213]" strokeweight="1pt">
                <v:stroke endarrow="block" joinstyle="miter"/>
              </v:shape>
            </w:pict>
          </mc:Fallback>
        </mc:AlternateContent>
      </w:r>
    </w:p>
    <w:p w14:paraId="42EE512A"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61312" behindDoc="0" locked="0" layoutInCell="1" allowOverlap="1" wp14:anchorId="2C55C13C" wp14:editId="70E2F47C">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270478"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1E352E0" w14:textId="77777777" w:rsidR="00220EF0" w:rsidRPr="00560609" w:rsidRDefault="00220EF0" w:rsidP="00C9060A">
                            <w:pPr>
                              <w:rPr>
                                <w:rFonts w:ascii="Arial" w:hAnsi="Arial" w:cs="Arial"/>
                                <w:color w:val="000000" w:themeColor="text1"/>
                                <w:sz w:val="18"/>
                                <w:szCs w:val="20"/>
                              </w:rPr>
                            </w:pPr>
                            <w:r>
                              <w:rPr>
                                <w:rFonts w:ascii="Arial" w:hAnsi="Arial" w:cs="Arial"/>
                                <w:color w:val="000000" w:themeColor="text1"/>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5C13C" id="Rectangle 1668977724" o:spid="_x0000_s1031" style="position:absolute;margin-left:44.05pt;margin-top:1.15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CErL6P3QAAAAcBAAAPAAAAZHJzL2Rvd25yZXYueG1sTI7NTsMwEITvSLyDtUjcqNNE&#10;RVGIU6HyI4G4NHDpzYm3cUS8jmI3DW/PcqK32ZnR7FduFzeIGafQe1KwXiUgkFpveuoUfH2+3OUg&#10;QtRk9OAJFfxggG11fVXqwvgz7XGuYyd4hEKhFdgYx0LK0Fp0Oqz8iMTZ0U9ORz6nTppJn3ncDTJN&#10;knvpdE/8weoRdxbb7/rkFBzHJvs47A9J3by9755fjZVPs1Xq9mZ5fAARcYn/ZfjDZ3SomKnxJzJB&#10;DAryfM1NBWkGguMs37Bo2N+kIKtSXvJXvwAAAP//AwBQSwECLQAUAAYACAAAACEAtoM4kv4AAADh&#10;AQAAEwAAAAAAAAAAAAAAAAAAAAAAW0NvbnRlbnRfVHlwZXNdLnhtbFBLAQItABQABgAIAAAAIQA4&#10;/SH/1gAAAJQBAAALAAAAAAAAAAAAAAAAAC8BAABfcmVscy8ucmVsc1BLAQItABQABgAIAAAAIQC/&#10;vjO6hgIAAHAFAAAOAAAAAAAAAAAAAAAAAC4CAABkcnMvZTJvRG9jLnhtbFBLAQItABQABgAIAAAA&#10;IQCErL6P3QAAAAcBAAAPAAAAAAAAAAAAAAAAAOAEAABkcnMvZG93bnJldi54bWxQSwUGAAAAAAQA&#10;BADzAAAA6gUAAAAA&#10;" filled="f" strokecolor="black [3213]" strokeweight="1.5pt">
                <v:textbox>
                  <w:txbxContent>
                    <w:p w14:paraId="56270478"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1E352E0" w14:textId="77777777" w:rsidR="00220EF0" w:rsidRPr="00560609" w:rsidRDefault="00220EF0" w:rsidP="00C9060A">
                      <w:pPr>
                        <w:rPr>
                          <w:rFonts w:ascii="Arial" w:hAnsi="Arial" w:cs="Arial"/>
                          <w:color w:val="000000" w:themeColor="text1"/>
                          <w:sz w:val="18"/>
                          <w:szCs w:val="20"/>
                        </w:rPr>
                      </w:pPr>
                      <w:r>
                        <w:rPr>
                          <w:rFonts w:ascii="Arial" w:hAnsi="Arial" w:cs="Arial"/>
                          <w:color w:val="000000" w:themeColor="text1"/>
                          <w:sz w:val="18"/>
                          <w:szCs w:val="20"/>
                        </w:rPr>
                        <w:t>(n = 176)</w:t>
                      </w:r>
                    </w:p>
                  </w:txbxContent>
                </v:textbox>
              </v:rect>
            </w:pict>
          </mc:Fallback>
        </mc:AlternateContent>
      </w:r>
    </w:p>
    <w:p w14:paraId="4BAC9492" w14:textId="77777777" w:rsidR="00220EF0" w:rsidRPr="00CC7453" w:rsidRDefault="00220EF0" w:rsidP="00C9060A">
      <w:pPr>
        <w:rPr>
          <w:sz w:val="20"/>
          <w:szCs w:val="20"/>
          <w:highlight w:val="yellow"/>
        </w:rPr>
      </w:pPr>
    </w:p>
    <w:p w14:paraId="36CC767D"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7696" behindDoc="0" locked="0" layoutInCell="1" allowOverlap="1" wp14:anchorId="4DCA2325" wp14:editId="5EB32412">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522244" id="Straight Arrow Connector 930445358" o:spid="_x0000_s1026" type="#_x0000_t32" style="position:absolute;margin-left:110.25pt;margin-top:13.3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GwCCyreAAAACQEA&#10;AA8AAABkcnMvZG93bnJldi54bWxMj89Og0AQh+8mvsNmTLzZpUSpRZamIdGDRhOpD7BlR0DZWWS3&#10;QN++Y3rQ2/z58ptvss1sOzHi4FtHCpaLCARS5UxLtYKP3ePNPQgfNBndOUIFR/SwyS8vMp0aN9E7&#10;jmWoBYeQT7WCJoQ+ldJXDVrtF65H4t2nG6wO3A61NIOeONx2Mo6iRFrdEl9odI9Fg9V3ebAK1m/j&#10;tixfvta34SeJi+fp+Lp7KpS6vpq3DyACzuEPhl99VoecnfbuQMaLTkEcR3eMcpGsQDBwHuwVrJYR&#10;yDyT/z/ITwAAAP//AwBQSwECLQAUAAYACAAAACEAtoM4kv4AAADhAQAAEwAAAAAAAAAAAAAAAAAA&#10;AAAAW0NvbnRlbnRfVHlwZXNdLnhtbFBLAQItABQABgAIAAAAIQA4/SH/1gAAAJQBAAALAAAAAAAA&#10;AAAAAAAAAC8BAABfcmVscy8ucmVsc1BLAQItABQABgAIAAAAIQBQXSfkyAEAAP0DAAAOAAAAAAAA&#10;AAAAAAAAAC4CAABkcnMvZTJvRG9jLnhtbFBLAQItABQABgAIAAAAIQBsAgsq3gAAAAkBAAAPAAAA&#10;AAAAAAAAAAAAACIEAABkcnMvZG93bnJldi54bWxQSwUGAAAAAAQABADzAAAALQUAAAAA&#10;" strokecolor="black [3213]" strokeweight="1pt">
                <v:stroke endarrow="block" joinstyle="miter"/>
              </v:shape>
            </w:pict>
          </mc:Fallback>
        </mc:AlternateContent>
      </w:r>
    </w:p>
    <w:p w14:paraId="5CEA5DE5" w14:textId="77777777" w:rsidR="00220EF0" w:rsidRPr="00CC7453" w:rsidRDefault="00220EF0" w:rsidP="00C9060A">
      <w:pPr>
        <w:rPr>
          <w:sz w:val="20"/>
          <w:szCs w:val="20"/>
          <w:highlight w:val="yellow"/>
        </w:rPr>
      </w:pPr>
    </w:p>
    <w:p w14:paraId="2620F4C8"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63360" behindDoc="0" locked="0" layoutInCell="1" allowOverlap="1" wp14:anchorId="197BBA62" wp14:editId="3AA9EE09">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F94641"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3B08DC64" w14:textId="77777777" w:rsidR="00220EF0" w:rsidRPr="00560609" w:rsidRDefault="00220EF0"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BBA62" id="Rectangle 758070166" o:spid="_x0000_s1032"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e/Ivs90AAAAHAQAADwAAAGRycy9kb3ducmV2LnhtbEyOzU7DMBCE70i8g7VI3KgD&#10;oZCGbCpUfiQQl4ZeenPibRwR21HspuHtWU5wm9GMZr5iPdteTDSGzjuE60UCglzjdedahN3ny1UG&#10;IkTltOq9I4RvCrAuz88KlWt/cluaqtgKHnEhVwgmxiGXMjSGrAoLP5Dj7OBHqyLbsZV6VCcet728&#10;SZI7aVXn+MGogTaGmq/qaBEOQ51+7Lf7pKrf3jfPr9rIp8kgXl7Mjw8gIs3xrwy/+IwOJTPV/uh0&#10;ED1ClqXcRLhfguA4zZYsaoRVcguyLOR//vIHAAD//wMAUEsBAi0AFAAGAAgAAAAhALaDOJL+AAAA&#10;4QEAABMAAAAAAAAAAAAAAAAAAAAAAFtDb250ZW50X1R5cGVzXS54bWxQSwECLQAUAAYACAAAACEA&#10;OP0h/9YAAACUAQAACwAAAAAAAAAAAAAAAAAvAQAAX3JlbHMvLnJlbHNQSwECLQAUAAYACAAAACEA&#10;hB8a94cCAABwBQAADgAAAAAAAAAAAAAAAAAuAgAAZHJzL2Uyb0RvYy54bWxQSwECLQAUAAYACAAA&#10;ACEAe/Ivs90AAAAHAQAADwAAAAAAAAAAAAAAAADhBAAAZHJzL2Rvd25yZXYueG1sUEsFBgAAAAAE&#10;AAQA8wAAAOsFAAAAAA==&#10;" filled="f" strokecolor="black [3213]" strokeweight="1.5pt">
                <v:textbox>
                  <w:txbxContent>
                    <w:p w14:paraId="09F94641"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3B08DC64" w14:textId="77777777" w:rsidR="00220EF0" w:rsidRPr="00560609" w:rsidRDefault="00220EF0"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74624" behindDoc="0" locked="0" layoutInCell="1" allowOverlap="1" wp14:anchorId="241D9E19" wp14:editId="1F46DBDB">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FC1CCDF" w14:textId="77777777" w:rsidR="00220EF0" w:rsidRDefault="00220EF0"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68DD47BF" w14:textId="77777777" w:rsidR="00220EF0" w:rsidRPr="001502CF" w:rsidRDefault="00220EF0" w:rsidP="00C9060A">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D9E19" id="Flowchart: Alternate Process 953307007" o:spid="_x0000_s1033" type="#_x0000_t176" style="position:absolute;margin-left:-91.4pt;margin-top:22.2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OswIAAPsFAAAOAAAAZHJzL2Uyb0RvYy54bWysVE1v2zAMvQ/YfxB0Xx2n+WiDOkWQosOA&#10;rg3WDT0rslQbkCVNYhJnv36UFDtZ127AMB8MkRQfySeSV9dto8hWOF8bXdD8bECJ0NyUtX4u6Lev&#10;tx8uKPHAdMmU0aKge+Hp9fz9u6udnYmhqYwqhSMIov1sZwtaAdhZlnleiYb5M2OFRqM0rmGAonvO&#10;Ssd2iN6obDgYTLKdcaV1hgvvUXuTjHQe8aUUHB6k9AKIKijmBvHv4n8d/tn8is2eHbNVzQ9psH/I&#10;omG1xqA91A0DRjau/g2qqbkz3kg446bJjJQ1F7EGrCYfvKjmsWJWxFqQHG97mvz/g+X320e7ckjD&#10;zvqZx2OoopWuIc4gW/kEWcYvFofpkjZyt++5Ey0Qjsrh9GJ6fj6mhKNtOBleXEZyswQWQK3z8FGY&#10;hoRDQaUyu2XFHCwUCKcZiFV6xhiKbe88YFbo3/kFDG9UXd7WSkUhNIlYKke2DJ+XcS40jKO72jSf&#10;TZn0k5h/fGhUYzsk9ahTY4jYbgEpBvwliNJ/iwttHtoowByzQyl4ZkdW4wn2SgQ8pb8ISeoyEBcT&#10;7jM4rWWUTBUrRVKP38w5AgZkieT02PmfsFPOh/vBVcR56Z3Tm7+RWHLuPWJko6F3bmpt3GvRFXRs&#10;yXS/IylRE1iCdt0iNwWdBl6DZm3K/cqljsQp9pbf1thEd8zDijkcWFTiEoIH/IW+Kqg5nCipjPvx&#10;mj7cxzlCKyU7XAAF9d83zAlK1CeNE3aZj0ZhY0RhNJ4OUXCnlvWpRW+apcEmzGN28Rjug+qO0pnm&#10;CXfVIkRFE9McYxeUg+uEJaTFhNuOi8UiXsMtYRnc6UfLA3jgOczD1/aJOXuYJMAZvDfdsmCzF7OT&#10;7gZPbRYbMLKOg3Xk9fACuGFiFx+2YVhhp3K8ddzZ858AAAD//wMAUEsDBBQABgAIAAAAIQAIa+kx&#10;4gAAAAoBAAAPAAAAZHJzL2Rvd25yZXYueG1sTI9BS8NAEIXvgv9hGcFLaTepSawxm1IEQenJqIi3&#10;aXZMotndkN22sb/e8aSn4TGP975XrCfTiwONvnNWQbyIQJCtne5so+Dl+X6+AuEDWo29s6Tgmzys&#10;y/OzAnPtjvaJDlVoBIdYn6OCNoQhl9LXLRn0CzeQ5d+HGw0GlmMj9YhHDje9XEZRJg12lhtaHOiu&#10;pfqr2hsFrj9FFabx68Pp7XEzm10Nn9ubd6UuL6bNLYhAU/gzwy8+o0PJTDu3t9qLnnXGU4KCeZwm&#10;CQh2pNd8dwqWqyQDWRby/4TyBwAA//8DAFBLAQItABQABgAIAAAAIQC2gziS/gAAAOEBAAATAAAA&#10;AAAAAAAAAAAAAAAAAABbQ29udGVudF9UeXBlc10ueG1sUEsBAi0AFAAGAAgAAAAhADj9If/WAAAA&#10;lAEAAAsAAAAAAAAAAAAAAAAALwEAAF9yZWxzLy5yZWxzUEsBAi0AFAAGAAgAAAAhAP9RNY6zAgAA&#10;+wUAAA4AAAAAAAAAAAAAAAAALgIAAGRycy9lMm9Eb2MueG1sUEsBAi0AFAAGAAgAAAAhAAhr6THi&#10;AAAACgEAAA8AAAAAAAAAAAAAAAAADQUAAGRycy9kb3ducmV2LnhtbFBLBQYAAAAABAAEAPMAAAAc&#10;BgAAAAA=&#10;" fillcolor="#d86dcb [1944]" strokecolor="black [3213]" strokeweight="1.5pt">
                <v:textbox>
                  <w:txbxContent>
                    <w:p w14:paraId="1FC1CCDF" w14:textId="77777777" w:rsidR="00220EF0" w:rsidRDefault="00220EF0"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68DD47BF" w14:textId="77777777" w:rsidR="00220EF0" w:rsidRPr="001502CF" w:rsidRDefault="00220EF0" w:rsidP="00C9060A">
                      <w:pPr>
                        <w:rPr>
                          <w:rFonts w:ascii="Arial" w:hAnsi="Arial" w:cs="Arial"/>
                          <w:b/>
                          <w:color w:val="000000" w:themeColor="text1"/>
                          <w:sz w:val="18"/>
                          <w:szCs w:val="18"/>
                        </w:rPr>
                      </w:pPr>
                    </w:p>
                  </w:txbxContent>
                </v:textbox>
              </v:shape>
            </w:pict>
          </mc:Fallback>
        </mc:AlternateContent>
      </w:r>
      <w:r w:rsidRPr="00CC7453">
        <w:rPr>
          <w:noProof/>
          <w:sz w:val="20"/>
          <w:szCs w:val="20"/>
          <w:highlight w:val="yellow"/>
        </w:rPr>
        <mc:AlternateContent>
          <mc:Choice Requires="wps">
            <w:drawing>
              <wp:anchor distT="0" distB="0" distL="114300" distR="114300" simplePos="0" relativeHeight="251664384" behindDoc="0" locked="0" layoutInCell="1" allowOverlap="1" wp14:anchorId="7C6D31ED" wp14:editId="04215B58">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A7F8AA"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10FB7BEF" w14:textId="77777777" w:rsidR="00220EF0" w:rsidRPr="00560609" w:rsidRDefault="00220EF0" w:rsidP="00C9060A">
                            <w:pPr>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D31ED" id="Rectangle 663639145" o:spid="_x0000_s1034" style="position:absolute;margin-left:240.1pt;margin-top:11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izYhwIAAHAFAAAOAAAAZHJzL2Uyb0RvYy54bWysVE1v2zAMvQ/YfxB0Xx0HSZsFdYogRYcB&#10;RVu0HXpWZCkWIIuapMTOfv0o+SNBV+wwzAdZEslH8onk9U1ba3IQziswBc0vJpQIw6FUZlfQH693&#10;XxaU+MBMyTQYUdCj8PRm9fnTdWOXYgoV6FI4giDGLxtb0CoEu8wyzytRM38BVhgUSnA1C3h0u6x0&#10;rEH0WmfTyeQya8CV1gEX3uPtbSekq4QvpeDhUUovAtEFxdhCWl1at3HNVtdsuXPMVor3YbB/iKJm&#10;yqDTEeqWBUb2Tv0BVSvuwIMMFxzqDKRUXKQcMJt88i6bl4pZkXJBcrwdafL/D5Y/HF7sk0MaGuuX&#10;Hrcxi1a6Ov4xPtImso4jWaINhONlvlhcTafIKUfZfHo5y+eRzexkbZ0P3wTUJG4K6vAxEkfscO9D&#10;pzqoRGcG7pTW6UG0iRcetCrjXTrEihAb7ciB4VuGNu+9nWmh72iZnVJJu3DUIkJo8ywkUSUGP02B&#10;pCo7YTLOhQl5J6pYKTpX8wl+g7MhipRoAozIEoMcsXuAQbMDGbC7tHv9aCpSkY7Gk78F1hmPFskz&#10;mDAa18qA+whAY1a9505/IKmjJrIU2m2L3BR0ETXjzRbK45MjDrqm8ZbfKXzIe+bDE3PYJfj22Pnh&#10;ERepoSko9DtKKnC/PrqP+li8KKWkwa4rqP+5Z05Qor8bLOuv+WwW2zQdZvOrWF/uXLI9l5h9vQEs&#10;hhxnjOVpG/WDHrbSQf2GA2IdvaKIGY6+C8qDGw6b0E0DHDFcrNdJDVvTsnBvXiyP4JHnWKiv7Rtz&#10;tq/mgH3wAEOHsuW7ou50o6WB9T6AVKniT7z2L4BtnUqpH0Fxbpyfk9ZpUK5+AwAA//8DAFBLAwQU&#10;AAYACAAAACEA7lrsGeAAAAAKAQAADwAAAGRycy9kb3ducmV2LnhtbEyPwU7DMBBE70j9B2sr9UZt&#10;QkRKiFOhUpBAXBq49ObE2zgitqPYTcPfs5zguNqnmTfFdrY9m3AMnXcSbtYCGLrG6861Ej4/nq83&#10;wEJUTqveO5TwjQG25eKqULn2F3fAqYotoxAXciXBxDjknIfGoFVh7Qd09Dv50apI59hyPaoLhdue&#10;J0Lccas6Rw1GDbgz2HxVZyvhNNS378fDUVT169tu/6INf5qMlKvl/PgALOIc/2D41Sd1KMmp9men&#10;A+slpBuRECohSWgTAVmWpcBqIkV6D7ws+P8J5Q8AAAD//wMAUEsBAi0AFAAGAAgAAAAhALaDOJL+&#10;AAAA4QEAABMAAAAAAAAAAAAAAAAAAAAAAFtDb250ZW50X1R5cGVzXS54bWxQSwECLQAUAAYACAAA&#10;ACEAOP0h/9YAAACUAQAACwAAAAAAAAAAAAAAAAAvAQAAX3JlbHMvLnJlbHNQSwECLQAUAAYACAAA&#10;ACEAxF4s2IcCAABwBQAADgAAAAAAAAAAAAAAAAAuAgAAZHJzL2Uyb0RvYy54bWxQSwECLQAUAAYA&#10;CAAAACEA7lrsGeAAAAAKAQAADwAAAAAAAAAAAAAAAADhBAAAZHJzL2Rvd25yZXYueG1sUEsFBgAA&#10;AAAEAAQA8wAAAO4FAAAAAA==&#10;" filled="f" strokecolor="black [3213]" strokeweight="1.5pt">
                <v:textbox>
                  <w:txbxContent>
                    <w:p w14:paraId="52A7F8AA"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10FB7BEF" w14:textId="77777777" w:rsidR="00220EF0" w:rsidRPr="00560609" w:rsidRDefault="00220EF0" w:rsidP="00C9060A">
                      <w:pPr>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70528" behindDoc="0" locked="0" layoutInCell="1" allowOverlap="1" wp14:anchorId="0EB9F765" wp14:editId="0F54888E">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B9A433" id="Straight Arrow Connector 598454288"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xFb/7eAAAAAJ&#10;AQAADwAAAGRycy9kb3ducmV2LnhtbEyPwU7CQBCG7yS+w2ZIvMEWhEJrt4Q00YMGEwsPsHSHttqd&#10;rd2lLW/vGg96nJkv/3x/sht1w3rsbG1IwGIeAEMqjKqpFHA6Ps22wKyTpGRjCAXc0MIuvZskMlZm&#10;oHfsc1cyH0I2lgIq59qYc1tUqKWdmxbJ3y6m09L5sSu56uTgw3XDl0EQci1r8h8q2WJWYfGZX7WA&#10;6K3f5/nrR7RyX+Eyexluh+NzJsT9dNw/AnM4uj8YfvS9OqTe6WyupCxrBDxsN5FHBayDNTAPrDZh&#10;COz8u+Bpwv83SL8BAAD//wMAUEsBAi0AFAAGAAgAAAAhALaDOJL+AAAA4QEAABMAAAAAAAAAAAAA&#10;AAAAAAAAAFtDb250ZW50X1R5cGVzXS54bWxQSwECLQAUAAYACAAAACEAOP0h/9YAAACUAQAACwAA&#10;AAAAAAAAAAAAAAAvAQAAX3JlbHMvLnJlbHNQSwECLQAUAAYACAAAACEAA0VuzcoBAAD9AwAADgAA&#10;AAAAAAAAAAAAAAAuAgAAZHJzL2Uyb0RvYy54bWxQSwECLQAUAAYACAAAACEAxFb/7eAAAAAJAQAA&#10;DwAAAAAAAAAAAAAAAAAkBAAAZHJzL2Rvd25yZXYueG1sUEsFBgAAAAAEAAQA8wAAADEFAAAAAA==&#10;" strokecolor="black [3213]" strokeweight="1pt">
                <v:stroke endarrow="block" joinstyle="miter"/>
              </v:shape>
            </w:pict>
          </mc:Fallback>
        </mc:AlternateContent>
      </w:r>
    </w:p>
    <w:p w14:paraId="595B6749" w14:textId="77777777" w:rsidR="00220EF0" w:rsidRPr="00CC7453" w:rsidRDefault="00220EF0" w:rsidP="00C9060A">
      <w:pPr>
        <w:rPr>
          <w:sz w:val="20"/>
          <w:szCs w:val="20"/>
          <w:highlight w:val="yellow"/>
        </w:rPr>
      </w:pPr>
    </w:p>
    <w:p w14:paraId="22963210" w14:textId="77777777" w:rsidR="00220EF0" w:rsidRPr="00CC7453" w:rsidRDefault="00220EF0" w:rsidP="00C9060A">
      <w:pPr>
        <w:rPr>
          <w:sz w:val="20"/>
          <w:szCs w:val="20"/>
          <w:highlight w:val="yellow"/>
        </w:rPr>
      </w:pPr>
    </w:p>
    <w:p w14:paraId="770B61C8"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8720" behindDoc="0" locked="0" layoutInCell="1" allowOverlap="1" wp14:anchorId="39075F2B" wp14:editId="6ADAB535">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6CC206" id="Straight Arrow Connector 1952356132"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GvsX2zdAAAACAEA&#10;AA8AAABkcnMvZG93bnJldi54bWxMj0FPg0AUhO8m/ofNM/FmF1dtCuXRNCR60NhE6g/Ywiug7Ftk&#10;t0D/vWs86HEyk5lv0s1sOjHS4FrLCLeLCARxaauWa4T3/ePNCoTzmivdWSaEMznYZJcXqU4qO/Eb&#10;jYWvRShhl2iExvs+kdKVDRntFrYnDt7RDkb7IIdaVoOeQrnppIqipTS65bDQ6J7yhsrP4mQQ4t24&#10;LYqXj/jefy1V/jydX/dPOeL11bxdg/A0+78w/OAHdMgC08GeuHKiQ1BKhS8eYRWDCP6vPiA83CmQ&#10;WSr/H8i+AQAA//8DAFBLAQItABQABgAIAAAAIQC2gziS/gAAAOEBAAATAAAAAAAAAAAAAAAAAAAA&#10;AABbQ29udGVudF9UeXBlc10ueG1sUEsBAi0AFAAGAAgAAAAhADj9If/WAAAAlAEAAAsAAAAAAAAA&#10;AAAAAAAALwEAAF9yZWxzLy5yZWxzUEsBAi0AFAAGAAgAAAAhAFBdJ+TIAQAA/QMAAA4AAAAAAAAA&#10;AAAAAAAALgIAAGRycy9lMm9Eb2MueG1sUEsBAi0AFAAGAAgAAAAhAGvsX2zdAAAACAEAAA8AAAAA&#10;AAAAAAAAAAAAIgQAAGRycy9kb3ducmV2LnhtbFBLBQYAAAAABAAEAPMAAAAsBQAAAAA=&#10;" strokecolor="black [3213]" strokeweight="1pt">
                <v:stroke endarrow="block" joinstyle="miter"/>
              </v:shape>
            </w:pict>
          </mc:Fallback>
        </mc:AlternateContent>
      </w:r>
    </w:p>
    <w:p w14:paraId="0AB32AEC" w14:textId="77777777" w:rsidR="00220EF0" w:rsidRPr="00CC7453" w:rsidRDefault="00220EF0" w:rsidP="00C9060A">
      <w:pPr>
        <w:rPr>
          <w:sz w:val="20"/>
          <w:szCs w:val="20"/>
          <w:highlight w:val="yellow"/>
        </w:rPr>
      </w:pPr>
    </w:p>
    <w:p w14:paraId="16825D8E"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66432" behindDoc="0" locked="0" layoutInCell="1" allowOverlap="1" wp14:anchorId="6366A21F" wp14:editId="73666071">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C9292A"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413D29CB" w14:textId="77777777" w:rsidR="00220EF0" w:rsidRPr="00560609" w:rsidRDefault="00220EF0"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6A21F" id="Rectangle 877149364" o:spid="_x0000_s1035" style="position:absolute;margin-left:240.45pt;margin-top:8.45pt;width:148.6pt;height:3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zDhwIAAHAFAAAOAAAAZHJzL2Uyb0RvYy54bWysVE1v2zAMvQ/YfxB0Xx0H6ZoGdYqgRYcB&#10;RVesHXpWZKk2IIuapMTOfv1I+SNBV+wwzAdZEslH8onk1XXXGLZXPtRgC56fzThTVkJZ29eC/3i+&#10;+7TkLERhS2HAqoIfVODX648frlq3UnOowJTKMwSxYdW6glcxulWWBVmpRoQzcMqiUINvRMSjf81K&#10;L1pEb0w2n80+Zy340nmQKgS8ve2FfJ3wtVYyftM6qMhMwTG2mFaf1i2t2fpKrF69cFUthzDEP0TR&#10;iNqi0wnqVkTBdr7+A6qppYcAOp5JaDLQupYq5YDZ5LM32TxVwqmUC5IT3ERT+H+w8mH/5B490tC6&#10;sAq4pSw67Rv6Y3ysS2QdJrJUF5nEy3y5vJjPkVOJssXF+WK5JDazo7XzIX5R0DDaFNzjYySOxP4+&#10;xF51VCFnFu5qY9KDGEsXAUxd0l06UEWoG+PZXuBbxi4fvJ1ooW+yzI6ppF08GEUQxn5XmtUlBj9P&#10;gaQqO2IKKZWNeS+qRKl6V+cz/EZnYxQp0QRIyBqDnLAHgFGzBxmx+7QHfTJVqUgn49nfAuuNJ4vk&#10;GWycjJvagn8PwGBWg+defySpp4ZYit22Q24KfkmadLOF8vDomYe+aYKTdzU+5L0I8VF47BJ8e+z8&#10;+A0XbaAtOAw7zirwv967J30sXpRy1mLXFTz83AmvODNfLZb1Zb5YUJumw+L8gurLn0q2pxK7a24A&#10;iyHHGeNk2pJ+NONWe2hecEBsyCuKhJXou+Ay+vFwE/tpgCNGqs0mqWFrOhHv7ZOTBE48U6E+dy/C&#10;u6GaI/bBA4wdKlZvirrXJUsLm10EXaeKP/I6vAC2dSqlYQTR3Dg9J63joFz/BgAA//8DAFBLAwQU&#10;AAYACAAAACEA0IXOBOAAAAAJAQAADwAAAGRycy9kb3ducmV2LnhtbEyPTU/DMAyG70j8h8hI3Fha&#10;QFtXmk5ofEhMXFa47JY2XlPROFWTdeXfY05wsqz30evHxWZ2vZhwDJ0nBekiAYHUeNNRq+Dz4+Um&#10;AxGiJqN7T6jgGwNsysuLQufGn2mPUxVbwSUUcq3AxjjkUobGotNh4Qckzo5+dDryOrbSjPrM5a6X&#10;t0mylE53xBesHnBrsfmqTk7Bcajv3g/7Q1LVb7vt86ux8mmySl1fzY8PICLO8Q+GX31Wh5Kdan8i&#10;E0Sv4D5L1oxysOTJwGqVpSBqBes0A1kW8v8H5Q8AAAD//wMAUEsBAi0AFAAGAAgAAAAhALaDOJL+&#10;AAAA4QEAABMAAAAAAAAAAAAAAAAAAAAAAFtDb250ZW50X1R5cGVzXS54bWxQSwECLQAUAAYACAAA&#10;ACEAOP0h/9YAAACUAQAACwAAAAAAAAAAAAAAAAAvAQAAX3JlbHMvLnJlbHNQSwECLQAUAAYACAAA&#10;ACEAdGEcw4cCAABwBQAADgAAAAAAAAAAAAAAAAAuAgAAZHJzL2Uyb0RvYy54bWxQSwECLQAUAAYA&#10;CAAAACEA0IXOBOAAAAAJAQAADwAAAAAAAAAAAAAAAADhBAAAZHJzL2Rvd25yZXYueG1sUEsFBgAA&#10;AAAEAAQA8wAAAO4FAAAAAA==&#10;" filled="f" strokecolor="black [3213]" strokeweight="1.5pt">
                <v:textbox>
                  <w:txbxContent>
                    <w:p w14:paraId="75C9292A"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413D29CB" w14:textId="77777777" w:rsidR="00220EF0" w:rsidRPr="00560609" w:rsidRDefault="00220EF0"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71552" behindDoc="0" locked="0" layoutInCell="1" allowOverlap="1" wp14:anchorId="398EBF72" wp14:editId="34533D93">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84A5CF" id="Straight Arrow Connector 694072453"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QdGQ6OAAAAAJ&#10;AQAADwAAAGRycy9kb3ducmV2LnhtbEyPwW6DMBBE75HyD9ZW6i0xTREJBBNFSO2hVSOV9AMcvAFa&#10;vCbYAfL3ddVDe5yd0eybdDfplg3Y28aQgIdlAAypNKqhSsDH8WmxAWadJCVbQyjghhZ22XyWykSZ&#10;kd5xKFzFfAnZRAqonesSzm1Zo5Z2aTok751Nr6Xzsq+46uXoy3XLV0EQcS0b8h9q2WFeY/lVXLWA&#10;+DDsi+L1Mw7dJVrlL+Pt7ficC3F/N+23wBxO7i8MP/geHTLPdDJXUpa1Ah7jwG9xAsIoBOYD4Xqz&#10;Bnb6PfAs5f8XZN8AAAD//wMAUEsBAi0AFAAGAAgAAAAhALaDOJL+AAAA4QEAABMAAAAAAAAAAAAA&#10;AAAAAAAAAFtDb250ZW50X1R5cGVzXS54bWxQSwECLQAUAAYACAAAACEAOP0h/9YAAACUAQAACwAA&#10;AAAAAAAAAAAAAAAvAQAAX3JlbHMvLnJlbHNQSwECLQAUAAYACAAAACEAA0VuzcoBAAD9AwAADgAA&#10;AAAAAAAAAAAAAAAuAgAAZHJzL2Uyb0RvYy54bWxQSwECLQAUAAYACAAAACEAQdGQ6OAAAAAJAQAA&#10;DwAAAAAAAAAAAAAAAAAkBAAAZHJzL2Rvd25yZXYueG1sUEsFBgAAAAAEAAQA8wAAADEFAAAAAA==&#10;" strokecolor="black [3213]" strokeweight="1pt">
                <v:stroke endarrow="block" joinstyle="miter"/>
              </v:shape>
            </w:pict>
          </mc:Fallback>
        </mc:AlternateContent>
      </w:r>
      <w:r w:rsidRPr="00CC7453">
        <w:rPr>
          <w:noProof/>
          <w:sz w:val="20"/>
          <w:szCs w:val="20"/>
          <w:highlight w:val="yellow"/>
        </w:rPr>
        <mc:AlternateContent>
          <mc:Choice Requires="wps">
            <w:drawing>
              <wp:anchor distT="0" distB="0" distL="114300" distR="114300" simplePos="0" relativeHeight="251665408" behindDoc="0" locked="0" layoutInCell="1" allowOverlap="1" wp14:anchorId="786DFCFA" wp14:editId="2E8EF516">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3BA6FE"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A824FA4" w14:textId="77777777" w:rsidR="00220EF0" w:rsidRPr="00560609" w:rsidRDefault="00220EF0"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DFCFA" id="Rectangle 146801596"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9rPlrN0AAAAHAQAADwAAAGRycy9kb3ducmV2LnhtbEyOy07DMBBF90j8gzVI7KjT&#10;VoEoxKlQeUhFbBrYdOfE0zgiHkexm4a/Z7qC5X3o3lNsZteLCcfQeVKwXCQgkBpvOmoVfH2+3mUg&#10;QtRkdO8JFfxggE15fVXo3Pgz7XGqYit4hEKuFdgYh1zK0Fh0Oiz8gMTZ0Y9OR5ZjK82ozzzuerlK&#10;knvpdEf8YPWAW4vNd3VyCo5Dvf447A9JVe/ety9vxsrnySp1ezM/PYKIOMe/MlzwGR1KZqr9iUwQ&#10;vYIsS7mpYLUEwfE6Sx9A1OynCciykP/5y18AAAD//wMAUEsBAi0AFAAGAAgAAAAhALaDOJL+AAAA&#10;4QEAABMAAAAAAAAAAAAAAAAAAAAAAFtDb250ZW50X1R5cGVzXS54bWxQSwECLQAUAAYACAAAACEA&#10;OP0h/9YAAACUAQAACwAAAAAAAAAAAAAAAAAvAQAAX3JlbHMvLnJlbHNQSwECLQAUAAYACAAAACEA&#10;LpuTKocCAABxBQAADgAAAAAAAAAAAAAAAAAuAgAAZHJzL2Uyb0RvYy54bWxQSwECLQAUAAYACAAA&#10;ACEA9rPlrN0AAAAHAQAADwAAAAAAAAAAAAAAAADhBAAAZHJzL2Rvd25yZXYueG1sUEsFBgAAAAAE&#10;AAQA8wAAAOsFAAAAAA==&#10;" filled="f" strokecolor="black [3213]" strokeweight="1.5pt">
                <v:textbox>
                  <w:txbxContent>
                    <w:p w14:paraId="5B3BA6FE" w14:textId="77777777" w:rsidR="00220EF0" w:rsidRDefault="00220EF0"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A824FA4" w14:textId="77777777" w:rsidR="00220EF0" w:rsidRPr="00560609" w:rsidRDefault="00220EF0"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224BBE72" w14:textId="77777777" w:rsidR="00220EF0" w:rsidRPr="00CC7453" w:rsidRDefault="00220EF0" w:rsidP="00C9060A">
      <w:pPr>
        <w:rPr>
          <w:sz w:val="20"/>
          <w:szCs w:val="20"/>
          <w:highlight w:val="yellow"/>
        </w:rPr>
      </w:pPr>
    </w:p>
    <w:p w14:paraId="4ED5D52F" w14:textId="77777777" w:rsidR="00220EF0" w:rsidRPr="00CC7453" w:rsidRDefault="00220EF0" w:rsidP="00C9060A">
      <w:pPr>
        <w:rPr>
          <w:sz w:val="20"/>
          <w:szCs w:val="20"/>
          <w:highlight w:val="yellow"/>
        </w:rPr>
      </w:pPr>
    </w:p>
    <w:p w14:paraId="7C6047A2"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9744" behindDoc="0" locked="0" layoutInCell="1" allowOverlap="1" wp14:anchorId="3D5D26FB" wp14:editId="39AD4ACB">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CDF9C3" id="Straight Arrow Connector 19218700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Iaw3UtwAAAAJAQAA&#10;DwAAAGRycy9kb3ducmV2LnhtbEyPQU7DMBBF90jcwRokdtTBqgINcaoqEixAIJFyADcekkA8DrGb&#10;pLdnEAtYfv2nP2/y7eJ6MeEYOk8arlcJCKTa244aDW/7+6tbECEasqb3hBpOGGBbnJ/lJrN+plec&#10;qtgIHqGQGQ1tjEMmZahbdCas/IDE3bsfnYkcx0ba0cw87nqpkiSVznTEF1ozYNli/VkdnYbNy7Sr&#10;qqePzTp+pap8nE/P+4dS68uLZXcHIuIS/2D40Wd1KNjp4I9kg+g1KJWkjGpY34Dg/jcfGFRKgSxy&#10;+f+D4hsAAP//AwBQSwECLQAUAAYACAAAACEAtoM4kv4AAADhAQAAEwAAAAAAAAAAAAAAAAAAAAAA&#10;W0NvbnRlbnRfVHlwZXNdLnhtbFBLAQItABQABgAIAAAAIQA4/SH/1gAAAJQBAAALAAAAAAAAAAAA&#10;AAAAAC8BAABfcmVscy8ucmVsc1BLAQItABQABgAIAAAAIQAYDXNixwEAAP0DAAAOAAAAAAAAAAAA&#10;AAAAAC4CAABkcnMvZTJvRG9jLnhtbFBLAQItABQABgAIAAAAIQAhrDdS3AAAAAkBAAAPAAAAAAAA&#10;AAAAAAAAACEEAABkcnMvZG93bnJldi54bWxQSwUGAAAAAAQABADzAAAAKgUAAAAA&#10;" strokecolor="black [3213]" strokeweight="1pt">
                <v:stroke endarrow="block" joinstyle="miter"/>
              </v:shape>
            </w:pict>
          </mc:Fallback>
        </mc:AlternateContent>
      </w:r>
    </w:p>
    <w:p w14:paraId="14A910B5" w14:textId="77777777" w:rsidR="00220EF0" w:rsidRPr="00CC7453" w:rsidRDefault="00220EF0" w:rsidP="00C9060A">
      <w:pPr>
        <w:rPr>
          <w:sz w:val="20"/>
          <w:szCs w:val="20"/>
          <w:highlight w:val="yellow"/>
        </w:rPr>
      </w:pPr>
    </w:p>
    <w:p w14:paraId="34F2B729" w14:textId="77777777" w:rsidR="00220EF0" w:rsidRPr="00CC7453" w:rsidRDefault="00220EF0" w:rsidP="00C9060A">
      <w:pPr>
        <w:rPr>
          <w:sz w:val="20"/>
          <w:szCs w:val="20"/>
          <w:highlight w:val="yellow"/>
        </w:rPr>
      </w:pPr>
    </w:p>
    <w:p w14:paraId="5E697DB4" w14:textId="77777777" w:rsidR="00220EF0" w:rsidRPr="00CC7453" w:rsidRDefault="00220EF0" w:rsidP="00C9060A">
      <w:pPr>
        <w:rPr>
          <w:sz w:val="20"/>
          <w:szCs w:val="20"/>
          <w:highlight w:val="yellow"/>
        </w:rPr>
      </w:pPr>
    </w:p>
    <w:p w14:paraId="10084C1E"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67456" behindDoc="0" locked="0" layoutInCell="1" allowOverlap="1" wp14:anchorId="481B1EE5" wp14:editId="537D062A">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80E64F" w14:textId="77777777" w:rsidR="00220EF0" w:rsidRDefault="00220EF0"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3E105BD6" w14:textId="77777777" w:rsidR="00220EF0" w:rsidRDefault="00220EF0" w:rsidP="00C9060A">
                            <w:pPr>
                              <w:rPr>
                                <w:rFonts w:ascii="Arial" w:hAnsi="Arial" w:cs="Arial"/>
                                <w:color w:val="000000" w:themeColor="text1"/>
                                <w:sz w:val="18"/>
                                <w:szCs w:val="20"/>
                              </w:rPr>
                            </w:pPr>
                            <w:r>
                              <w:rPr>
                                <w:rFonts w:ascii="Arial" w:hAnsi="Arial" w:cs="Arial"/>
                                <w:color w:val="000000" w:themeColor="text1"/>
                                <w:sz w:val="18"/>
                                <w:szCs w:val="20"/>
                              </w:rPr>
                              <w:t>(n = 124)</w:t>
                            </w:r>
                          </w:p>
                          <w:p w14:paraId="149FF364" w14:textId="77777777" w:rsidR="00220EF0" w:rsidRDefault="00220EF0"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57490437" w14:textId="77777777" w:rsidR="00220EF0" w:rsidRPr="00560609" w:rsidRDefault="00220EF0"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B1EE5" id="Rectangle 367046537" o:spid="_x0000_s1037" style="position:absolute;margin-left:42.7pt;margin-top:8.6pt;width:148.6pt;height:7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HAhwIAAHEFAAAOAAAAZHJzL2Uyb0RvYy54bWysVEtv2zAMvg/YfxB0Xx1nTdcGdYqgRYcB&#10;RVusHXpWZKk2IIsapcTOfv0o+ZGgK3YYloMjieRH8uPj8qprDNsp9DXYgucnM86UlVDW9rXgP55v&#10;P51z5oOwpTBgVcH3yvOr1ccPl61bqjlUYEqFjECsX7au4FUIbpllXlaqEf4EnLIk1ICNCHTF16xE&#10;0RJ6Y7L5bHaWtYClQ5DKe3q96YV8lfC1VjI8aO1VYKbgFFtIX0zfTfxmq0uxfEXhqloOYYh/iKIR&#10;tSWnE9SNCIJtsf4DqqklggcdTiQ0GWhdS5VyoGzy2ZtsnirhVMqFyPFuosn/P1h5v3tyj0g0tM4v&#10;PR1jFp3GJv5TfKxLZO0nslQXmKTH/Pz8y3xOnEqSXXxenJ0tIpvZwdqhD18VNCweCo5UjMSR2N35&#10;0KuOKtGZhdvamFQQY+ODB1OX8S1dYkeoa4NsJ6iWocsHb0da5DtaZodU0insjYoQxn5XmtUlBT9P&#10;gaQuO2AKKZUNeS+qRKl6V4sZ/UZnYxQp0QQYkTUFOWEPAKNmDzJi92kP+tFUpSadjGd/C6w3niyS&#10;Z7BhMm5qC/gegKGsBs+9/khST01kKXSbjrihuibV+LSBcv+IDKGfGu/kbU2VvBM+PAqkMaHi0+iH&#10;B/poA23BYThxVgH+eu896lP3kpSzlsau4P7nVqDizHyz1NcX+elpnNN0OV18iQ2Gx5LNscRum2ug&#10;bshpyTiZjlE/mPGoEZoX2hDr6JVEwkryXXAZcLxch34d0I6Rar1OajSbToQ7++RkBI9Ex0597l4E&#10;uqGdAw3CPYwjKpZvurrXjZYW1tsAuk4tf+B1KAHNdeqlYQfFxXF8T1qHTbn6DQAA//8DAFBLAwQU&#10;AAYACAAAACEA0VcH398AAAAJAQAADwAAAGRycy9kb3ducmV2LnhtbEyPzU7DMBCE70i8g7VI3KhD&#10;2oYoxKlQ+ZFAXBq49ObE2zgiXkexm5a3ZznBcWdGs9+Um7MbxIxT6D0puF0kIJBab3rqFHx+PN/k&#10;IELUZPTgCRV8Y4BNdXlR6sL4E+1wrmMnuIRCoRXYGMdCytBadDos/IjE3sFPTkc+p06aSZ+43A0y&#10;TZJMOt0Tf7B6xK3F9qs+OgWHsVm+73f7pG5e37ZPL8bKx9kqdX11frgHEfEc/8Lwi8/oUDFT449k&#10;ghgU5OsVJ1m/S0Gwv8zTDETDQrZag6xK+X9B9QMAAP//AwBQSwECLQAUAAYACAAAACEAtoM4kv4A&#10;AADhAQAAEwAAAAAAAAAAAAAAAAAAAAAAW0NvbnRlbnRfVHlwZXNdLnhtbFBLAQItABQABgAIAAAA&#10;IQA4/SH/1gAAAJQBAAALAAAAAAAAAAAAAAAAAC8BAABfcmVscy8ucmVsc1BLAQItABQABgAIAAAA&#10;IQDJVFHAhwIAAHEFAAAOAAAAAAAAAAAAAAAAAC4CAABkcnMvZTJvRG9jLnhtbFBLAQItABQABgAI&#10;AAAAIQDRVwff3wAAAAkBAAAPAAAAAAAAAAAAAAAAAOEEAABkcnMvZG93bnJldi54bWxQSwUGAAAA&#10;AAQABADzAAAA7QUAAAAA&#10;" filled="f" strokecolor="black [3213]" strokeweight="1.5pt">
                <v:textbox>
                  <w:txbxContent>
                    <w:p w14:paraId="7A80E64F" w14:textId="77777777" w:rsidR="00220EF0" w:rsidRDefault="00220EF0"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3E105BD6" w14:textId="77777777" w:rsidR="00220EF0" w:rsidRDefault="00220EF0" w:rsidP="00C9060A">
                      <w:pPr>
                        <w:rPr>
                          <w:rFonts w:ascii="Arial" w:hAnsi="Arial" w:cs="Arial"/>
                          <w:color w:val="000000" w:themeColor="text1"/>
                          <w:sz w:val="18"/>
                          <w:szCs w:val="20"/>
                        </w:rPr>
                      </w:pPr>
                      <w:r>
                        <w:rPr>
                          <w:rFonts w:ascii="Arial" w:hAnsi="Arial" w:cs="Arial"/>
                          <w:color w:val="000000" w:themeColor="text1"/>
                          <w:sz w:val="18"/>
                          <w:szCs w:val="20"/>
                        </w:rPr>
                        <w:t>(n = 124)</w:t>
                      </w:r>
                    </w:p>
                    <w:p w14:paraId="149FF364" w14:textId="77777777" w:rsidR="00220EF0" w:rsidRDefault="00220EF0"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57490437" w14:textId="77777777" w:rsidR="00220EF0" w:rsidRPr="00560609" w:rsidRDefault="00220EF0"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295CD9B1" w14:textId="77777777" w:rsidR="00220EF0" w:rsidRPr="00CC7453" w:rsidRDefault="00220EF0"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5648" behindDoc="0" locked="0" layoutInCell="1" allowOverlap="1" wp14:anchorId="7E626454" wp14:editId="1FAFDA03">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142750D" w14:textId="77777777" w:rsidR="00220EF0" w:rsidRPr="001502CF" w:rsidRDefault="00220EF0"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26454" id="Flowchart: Alternate Process 109439728" o:spid="_x0000_s1038"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E+V7Irh&#10;AAAACQEAAA8AAABkcnMvZG93bnJldi54bWxMj01Lw0AURfeC/2F4gpvSzqSSNomZlCIIiitjRdxN&#10;M88kOh8hM21jf73PlS4v93DfeeVmsoYdcQy9dxKShQCGrvG6d62E3cv9PAMWonJaGe9QwjcG2FSX&#10;F6UqtD+5ZzzWsWU04kKhJHQxDgXnoenQqrDwAzrqPvxoVaQ4tlyP6kTj1vClECtuVe/oQqcGvOuw&#10;+aoPVoI3Z1GrNHl9OL89bmezm+HzKX+X8vpq2t4CizjFPxh+9UkdKnLa+4PTgRnKWUqkhHmyXAEj&#10;IM1zYHsqxDoDXpX8/wfVDwAAAP//AwBQSwECLQAUAAYACAAAACEAtoM4kv4AAADhAQAAEwAAAAAA&#10;AAAAAAAAAAAAAAAAW0NvbnRlbnRfVHlwZXNdLnhtbFBLAQItABQABgAIAAAAIQA4/SH/1gAAAJQB&#10;AAALAAAAAAAAAAAAAAAAAC8BAABfcmVscy8ucmVsc1BLAQItABQABgAIAAAAIQBkw35VsgIAAPsF&#10;AAAOAAAAAAAAAAAAAAAAAC4CAABkcnMvZTJvRG9jLnhtbFBLAQItABQABgAIAAAAIQBPleyK4QAA&#10;AAkBAAAPAAAAAAAAAAAAAAAAAAwFAABkcnMvZG93bnJldi54bWxQSwUGAAAAAAQABADzAAAAGgYA&#10;AAAA&#10;" fillcolor="#d86dcb [1944]" strokecolor="black [3213]" strokeweight="1.5pt">
                <v:textbox>
                  <w:txbxContent>
                    <w:p w14:paraId="0142750D" w14:textId="77777777" w:rsidR="00220EF0" w:rsidRPr="001502CF" w:rsidRDefault="00220EF0"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6A181704" w14:textId="77777777" w:rsidR="00220EF0" w:rsidRPr="00CC7453" w:rsidRDefault="00220EF0" w:rsidP="00C9060A">
      <w:pPr>
        <w:rPr>
          <w:sz w:val="20"/>
          <w:szCs w:val="20"/>
          <w:highlight w:val="yellow"/>
        </w:rPr>
      </w:pPr>
    </w:p>
    <w:p w14:paraId="3937EBBD" w14:textId="77777777" w:rsidR="00220EF0" w:rsidRPr="00CC7453" w:rsidRDefault="00220EF0" w:rsidP="00C9060A">
      <w:pPr>
        <w:rPr>
          <w:sz w:val="20"/>
          <w:szCs w:val="20"/>
          <w:highlight w:val="yellow"/>
        </w:rPr>
      </w:pPr>
    </w:p>
    <w:p w14:paraId="315B9218" w14:textId="77777777" w:rsidR="00220EF0" w:rsidRPr="00382579" w:rsidRDefault="00220EF0" w:rsidP="00C9060A">
      <w:pPr>
        <w:rPr>
          <w:highlight w:val="yellow"/>
        </w:rPr>
      </w:pPr>
    </w:p>
    <w:p w14:paraId="210073CB" w14:textId="77777777" w:rsidR="00220EF0" w:rsidRPr="00382579" w:rsidRDefault="00220EF0" w:rsidP="00C9060A"/>
    <w:p w14:paraId="2966FAC1" w14:textId="77777777" w:rsidR="00220EF0" w:rsidRPr="00382579" w:rsidRDefault="00220EF0" w:rsidP="00A83C0D">
      <w:pPr>
        <w:pStyle w:val="ListParagraph"/>
        <w:ind w:left="360"/>
        <w:jc w:val="both"/>
        <w:rPr>
          <w:i/>
          <w:iCs/>
        </w:rPr>
      </w:pPr>
      <w:r w:rsidRPr="00382579">
        <w:rPr>
          <w:rFonts w:hint="eastAsia"/>
          <w:b/>
          <w:bCs/>
        </w:rPr>
        <w:t xml:space="preserve">Figure 1: </w:t>
      </w:r>
      <w:r w:rsidRPr="00382579">
        <w:rPr>
          <w:b/>
          <w:bCs/>
        </w:rPr>
        <w:t>Prisma flowchart of the</w:t>
      </w:r>
      <w:r w:rsidRPr="00382579">
        <w:rPr>
          <w:rFonts w:hint="eastAsia"/>
          <w:b/>
          <w:bCs/>
        </w:rPr>
        <w:t xml:space="preserve"> </w:t>
      </w:r>
      <w:r w:rsidRPr="00382579">
        <w:rPr>
          <w:b/>
          <w:bCs/>
        </w:rPr>
        <w:t>article search and</w:t>
      </w:r>
      <w:r w:rsidRPr="00382579">
        <w:rPr>
          <w:rFonts w:hint="eastAsia"/>
          <w:b/>
          <w:bCs/>
        </w:rPr>
        <w:t xml:space="preserve"> </w:t>
      </w:r>
      <w:r w:rsidRPr="00382579">
        <w:rPr>
          <w:b/>
          <w:bCs/>
        </w:rPr>
        <w:t>selection process for</w:t>
      </w:r>
      <w:r w:rsidRPr="00382579">
        <w:rPr>
          <w:rFonts w:hint="eastAsia"/>
          <w:b/>
          <w:bCs/>
        </w:rPr>
        <w:t xml:space="preserve"> </w:t>
      </w:r>
      <w:r w:rsidRPr="00382579">
        <w:rPr>
          <w:b/>
          <w:bCs/>
        </w:rPr>
        <w:t>systematic review</w:t>
      </w:r>
      <w:r w:rsidRPr="00382579">
        <w:br/>
      </w:r>
      <w:r w:rsidRPr="00382579">
        <w:rPr>
          <w:i/>
          <w:iCs/>
        </w:rPr>
        <w:t xml:space="preserve">Source: </w:t>
      </w:r>
      <w:r w:rsidRPr="00382579">
        <w:rPr>
          <w:rFonts w:hint="eastAsia"/>
          <w:i/>
          <w:iCs/>
        </w:rPr>
        <w:t>Figure by author, a</w:t>
      </w:r>
      <w:r w:rsidRPr="00382579">
        <w:rPr>
          <w:i/>
          <w:iCs/>
        </w:rPr>
        <w:t xml:space="preserve">dapted from Page </w:t>
      </w:r>
      <w:r w:rsidRPr="001C79A6">
        <w:rPr>
          <w:i/>
          <w:iCs/>
        </w:rPr>
        <w:t>et al</w:t>
      </w:r>
      <w:r w:rsidRPr="00382579">
        <w:rPr>
          <w:i/>
          <w:iCs/>
        </w:rPr>
        <w:t xml:space="preserve">. (2021). </w:t>
      </w:r>
      <w:r w:rsidRPr="00382579">
        <w:rPr>
          <w:i/>
          <w:iCs/>
        </w:rPr>
        <w:br/>
        <w:t>Licensed under CC BY 4.0</w:t>
      </w:r>
    </w:p>
    <w:p w14:paraId="6EAE86F1" w14:textId="77777777" w:rsidR="00220EF0" w:rsidRPr="00382579" w:rsidRDefault="00220EF0" w:rsidP="00AF6699">
      <w:pPr>
        <w:pStyle w:val="ListParagraph"/>
        <w:ind w:left="360" w:firstLine="491"/>
        <w:jc w:val="both"/>
      </w:pPr>
    </w:p>
    <w:p w14:paraId="387BBAAC" w14:textId="77777777" w:rsidR="00220EF0" w:rsidRDefault="00220EF0" w:rsidP="00DF105F">
      <w:pPr>
        <w:spacing w:line="480" w:lineRule="auto"/>
        <w:jc w:val="both"/>
      </w:pPr>
      <w:r w:rsidRPr="00382579">
        <w:tab/>
        <w:t>The following section presents the descriptive results of the systematic literature review, providing an overview of the temporal distribution, publication outlets, methodological approaches and topical focus of empirical NFIA research (RQ1).</w:t>
      </w:r>
    </w:p>
    <w:p w14:paraId="7DB51A58" w14:textId="77777777" w:rsidR="00220EF0" w:rsidRPr="00382579" w:rsidRDefault="00220EF0" w:rsidP="00DF105F">
      <w:pPr>
        <w:spacing w:line="480" w:lineRule="auto"/>
        <w:jc w:val="both"/>
        <w:rPr>
          <w:i/>
          <w:iCs/>
        </w:rPr>
      </w:pPr>
    </w:p>
    <w:p w14:paraId="27C09536" w14:textId="77777777" w:rsidR="00220EF0" w:rsidRPr="00382579" w:rsidRDefault="00220EF0" w:rsidP="008C19D6">
      <w:pPr>
        <w:jc w:val="both"/>
        <w:rPr>
          <w:i/>
          <w:iCs/>
        </w:rPr>
      </w:pPr>
      <w:r w:rsidRPr="008B0133">
        <w:rPr>
          <w:i/>
          <w:iCs/>
        </w:rPr>
        <w:t>Descriptive Results</w:t>
      </w:r>
    </w:p>
    <w:p w14:paraId="2228FA2E" w14:textId="77777777" w:rsidR="00220EF0" w:rsidRPr="00382579" w:rsidRDefault="00220EF0" w:rsidP="00A844A0">
      <w:pPr>
        <w:jc w:val="both"/>
        <w:rPr>
          <w:i/>
          <w:iCs/>
        </w:rPr>
      </w:pPr>
      <w:r w:rsidRPr="00382579">
        <w:rPr>
          <w:noProof/>
        </w:rPr>
        <w:drawing>
          <wp:inline distT="0" distB="0" distL="0" distR="0" wp14:anchorId="384B635B" wp14:editId="3F2F71BA">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9128E14" w14:textId="77777777" w:rsidR="00220EF0" w:rsidRPr="00382579" w:rsidRDefault="00220EF0" w:rsidP="00B07C64">
      <w:pPr>
        <w:pStyle w:val="ListParagraph"/>
        <w:ind w:left="0"/>
        <w:jc w:val="both"/>
        <w:rPr>
          <w:i/>
          <w:iCs/>
        </w:rPr>
      </w:pPr>
      <w:r w:rsidRPr="00382579">
        <w:rPr>
          <w:rFonts w:hint="eastAsia"/>
          <w:b/>
          <w:bCs/>
        </w:rPr>
        <w:t xml:space="preserve">Figure </w:t>
      </w:r>
      <w:r w:rsidRPr="00382579">
        <w:rPr>
          <w:b/>
          <w:bCs/>
        </w:rPr>
        <w:t>2</w:t>
      </w:r>
      <w:r w:rsidRPr="00382579">
        <w:rPr>
          <w:rFonts w:hint="eastAsia"/>
          <w:b/>
          <w:bCs/>
        </w:rPr>
        <w:t xml:space="preserve">: </w:t>
      </w:r>
      <w:r w:rsidRPr="00382579">
        <w:rPr>
          <w:b/>
          <w:bCs/>
        </w:rPr>
        <w:t>annual publication counts by major NFIA research subject domains in top accounting journals (1990 – 2025)</w:t>
      </w:r>
      <w:r w:rsidRPr="00382579">
        <w:br/>
      </w:r>
      <w:r w:rsidRPr="00382579">
        <w:rPr>
          <w:i/>
          <w:iCs/>
        </w:rPr>
        <w:t>Source: Author’s analysis</w:t>
      </w:r>
    </w:p>
    <w:p w14:paraId="77E16729" w14:textId="77777777" w:rsidR="00220EF0" w:rsidRPr="00382579" w:rsidRDefault="00220EF0" w:rsidP="00A844A0">
      <w:pPr>
        <w:jc w:val="both"/>
        <w:rPr>
          <w:i/>
          <w:iCs/>
        </w:rPr>
      </w:pPr>
    </w:p>
    <w:p w14:paraId="1D3F7E31" w14:textId="77777777" w:rsidR="00220EF0" w:rsidRPr="00057D6F" w:rsidRDefault="00220EF0" w:rsidP="00DF105F">
      <w:pPr>
        <w:spacing w:line="480" w:lineRule="auto"/>
        <w:ind w:firstLine="420"/>
        <w:jc w:val="both"/>
      </w:pPr>
      <w:r w:rsidRPr="00057D6F">
        <w:t>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w:t>
      </w:r>
      <w:r>
        <w:t xml:space="preserve"> </w:t>
      </w:r>
      <w:r w:rsidRPr="00057D6F">
        <w:t xml:space="preserve">Second, CSR, ESG, and sustainability assurance research experienced exponential growth starting in 2011, becoming the literature's dominant stream. </w:t>
      </w:r>
      <w:r w:rsidRPr="009D10C0">
        <w:t>This expansion 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w:t>
      </w:r>
      <w:r>
        <w:t xml:space="preserve"> </w:t>
      </w:r>
      <w:r w:rsidRPr="00057D6F">
        <w:t>Notably, sustainability-related assurance remains at historically high levels, while emerging domains like carbon and GHG auditing persist as significant but smaller niche streams.</w:t>
      </w:r>
    </w:p>
    <w:p w14:paraId="27D8DFAA" w14:textId="77777777" w:rsidR="00220EF0" w:rsidRPr="00382579" w:rsidRDefault="00220EF0" w:rsidP="007C385A">
      <w:pPr>
        <w:ind w:firstLine="420"/>
        <w:jc w:val="both"/>
      </w:pPr>
    </w:p>
    <w:tbl>
      <w:tblPr>
        <w:tblW w:w="9680" w:type="dxa"/>
        <w:tblLook w:val="04A0" w:firstRow="1" w:lastRow="0" w:firstColumn="1" w:lastColumn="0" w:noHBand="0" w:noVBand="1"/>
      </w:tblPr>
      <w:tblGrid>
        <w:gridCol w:w="2051"/>
        <w:gridCol w:w="864"/>
        <w:gridCol w:w="1102"/>
        <w:gridCol w:w="779"/>
        <w:gridCol w:w="636"/>
        <w:gridCol w:w="636"/>
        <w:gridCol w:w="1286"/>
        <w:gridCol w:w="1338"/>
        <w:gridCol w:w="988"/>
      </w:tblGrid>
      <w:tr w:rsidR="00220EF0" w:rsidRPr="00382579" w14:paraId="6CE24722" w14:textId="77777777" w:rsidTr="004F60A2">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460949A2" w14:textId="77777777" w:rsidR="00220EF0" w:rsidRPr="00382579" w:rsidRDefault="00220EF0">
            <w:pPr>
              <w:rPr>
                <w:rFonts w:ascii="Calibri" w:hAnsi="Calibri" w:cs="Calibri"/>
                <w:b/>
                <w:bCs/>
                <w:color w:val="000000"/>
              </w:rPr>
            </w:pPr>
            <w:r w:rsidRPr="00382579">
              <w:rPr>
                <w:rFonts w:ascii="Calibri" w:hAnsi="Calibri" w:cs="Calibri"/>
                <w:b/>
                <w:bCs/>
                <w:color w:val="000000"/>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6D5AB3A0" w14:textId="77777777" w:rsidR="00220EF0" w:rsidRPr="00382579" w:rsidRDefault="00220EF0">
            <w:pPr>
              <w:rPr>
                <w:rFonts w:ascii="Calibri" w:hAnsi="Calibri" w:cs="Calibri"/>
                <w:b/>
                <w:bCs/>
                <w:color w:val="000000"/>
              </w:rPr>
            </w:pPr>
            <w:r w:rsidRPr="00382579">
              <w:rPr>
                <w:rFonts w:ascii="Calibri" w:hAnsi="Calibri" w:cs="Calibri"/>
                <w:b/>
                <w:bCs/>
                <w:color w:val="000000"/>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4BA9F0EB" w14:textId="77777777" w:rsidR="00220EF0" w:rsidRPr="00382579" w:rsidRDefault="00220EF0">
            <w:pPr>
              <w:rPr>
                <w:rFonts w:ascii="Calibri" w:hAnsi="Calibri" w:cs="Calibri"/>
                <w:b/>
                <w:bCs/>
                <w:color w:val="000000"/>
              </w:rPr>
            </w:pPr>
            <w:r w:rsidRPr="00382579">
              <w:rPr>
                <w:rFonts w:ascii="Calibri" w:hAnsi="Calibri" w:cs="Calibri"/>
                <w:b/>
                <w:bCs/>
                <w:color w:val="000000"/>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518C4182" w14:textId="77777777" w:rsidR="00220EF0" w:rsidRPr="00382579" w:rsidRDefault="00220EF0">
            <w:pPr>
              <w:rPr>
                <w:rFonts w:ascii="Calibri" w:hAnsi="Calibri" w:cs="Calibri"/>
                <w:b/>
                <w:bCs/>
                <w:color w:val="000000"/>
              </w:rPr>
            </w:pPr>
            <w:r w:rsidRPr="00382579">
              <w:rPr>
                <w:rFonts w:ascii="Calibri" w:hAnsi="Calibri" w:cs="Calibri"/>
                <w:b/>
                <w:bCs/>
                <w:color w:val="000000"/>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0CBA05C6" w14:textId="77777777" w:rsidR="00220EF0" w:rsidRPr="00382579" w:rsidRDefault="00220EF0">
            <w:pPr>
              <w:rPr>
                <w:rFonts w:ascii="Calibri" w:hAnsi="Calibri" w:cs="Calibri"/>
                <w:b/>
                <w:bCs/>
                <w:color w:val="000000"/>
              </w:rPr>
            </w:pPr>
            <w:r w:rsidRPr="00382579">
              <w:rPr>
                <w:rFonts w:ascii="Calibri" w:hAnsi="Calibri" w:cs="Calibri"/>
                <w:b/>
                <w:bCs/>
                <w:color w:val="000000"/>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577C45D5" w14:textId="77777777" w:rsidR="00220EF0" w:rsidRPr="00382579" w:rsidRDefault="00220EF0">
            <w:pPr>
              <w:rPr>
                <w:rFonts w:ascii="Calibri" w:hAnsi="Calibri" w:cs="Calibri"/>
                <w:b/>
                <w:bCs/>
                <w:color w:val="000000"/>
              </w:rPr>
            </w:pPr>
            <w:r w:rsidRPr="00382579">
              <w:rPr>
                <w:rFonts w:ascii="Calibri" w:hAnsi="Calibri" w:cs="Calibri"/>
                <w:b/>
                <w:bCs/>
                <w:color w:val="000000"/>
              </w:rPr>
              <w:t>US</w:t>
            </w:r>
          </w:p>
        </w:tc>
        <w:tc>
          <w:tcPr>
            <w:tcW w:w="1286" w:type="dxa"/>
            <w:tcBorders>
              <w:top w:val="single" w:sz="8" w:space="0" w:color="auto"/>
              <w:left w:val="nil"/>
              <w:bottom w:val="single" w:sz="4" w:space="0" w:color="9BC2E6"/>
              <w:right w:val="nil"/>
            </w:tcBorders>
            <w:shd w:val="clear" w:color="DDEBF7" w:fill="BFBFBF"/>
            <w:vAlign w:val="bottom"/>
            <w:hideMark/>
          </w:tcPr>
          <w:p w14:paraId="558FF277" w14:textId="77777777" w:rsidR="00220EF0" w:rsidRPr="00382579" w:rsidRDefault="00220EF0">
            <w:pPr>
              <w:rPr>
                <w:rFonts w:ascii="Calibri" w:hAnsi="Calibri" w:cs="Calibri"/>
                <w:b/>
                <w:bCs/>
                <w:color w:val="000000"/>
              </w:rPr>
            </w:pPr>
            <w:r w:rsidRPr="00382579">
              <w:rPr>
                <w:rFonts w:ascii="Calibri" w:hAnsi="Calibri" w:cs="Calibri"/>
                <w:b/>
                <w:bCs/>
                <w:color w:val="000000"/>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0E55A343" w14:textId="77777777" w:rsidR="00220EF0" w:rsidRPr="00382579" w:rsidRDefault="00220EF0">
            <w:pPr>
              <w:rPr>
                <w:rFonts w:ascii="Calibri" w:hAnsi="Calibri" w:cs="Calibri"/>
                <w:b/>
                <w:bCs/>
                <w:color w:val="000000"/>
              </w:rPr>
            </w:pPr>
            <w:r w:rsidRPr="00382579">
              <w:rPr>
                <w:rFonts w:ascii="Calibri" w:hAnsi="Calibri" w:cs="Calibri"/>
                <w:b/>
                <w:bCs/>
                <w:color w:val="000000"/>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066507A0" w14:textId="77777777" w:rsidR="00220EF0" w:rsidRPr="00382579" w:rsidRDefault="00220EF0">
            <w:pPr>
              <w:rPr>
                <w:rFonts w:ascii="Calibri" w:hAnsi="Calibri" w:cs="Calibri"/>
                <w:b/>
                <w:bCs/>
                <w:color w:val="000000"/>
              </w:rPr>
            </w:pPr>
            <w:r w:rsidRPr="00382579">
              <w:rPr>
                <w:rFonts w:ascii="Calibri" w:hAnsi="Calibri" w:cs="Calibri"/>
                <w:b/>
                <w:bCs/>
                <w:color w:val="000000"/>
              </w:rPr>
              <w:t>Total</w:t>
            </w:r>
          </w:p>
        </w:tc>
      </w:tr>
      <w:tr w:rsidR="00220EF0" w:rsidRPr="00382579" w14:paraId="293DAF26" w14:textId="77777777" w:rsidTr="004F60A2">
        <w:trPr>
          <w:trHeight w:val="300"/>
        </w:trPr>
        <w:tc>
          <w:tcPr>
            <w:tcW w:w="2810" w:type="dxa"/>
            <w:tcBorders>
              <w:top w:val="nil"/>
              <w:left w:val="single" w:sz="8" w:space="0" w:color="auto"/>
              <w:bottom w:val="nil"/>
              <w:right w:val="nil"/>
            </w:tcBorders>
            <w:vAlign w:val="center"/>
            <w:hideMark/>
          </w:tcPr>
          <w:p w14:paraId="3FCFE487" w14:textId="77777777" w:rsidR="00220EF0" w:rsidRPr="00382579" w:rsidRDefault="00220EF0">
            <w:pPr>
              <w:rPr>
                <w:rFonts w:ascii="Calibri" w:hAnsi="Calibri" w:cs="Calibri"/>
                <w:color w:val="000000"/>
              </w:rPr>
            </w:pPr>
            <w:r w:rsidRPr="00382579">
              <w:rPr>
                <w:rFonts w:ascii="Calibri" w:hAnsi="Calibri" w:cs="Calibri"/>
                <w:color w:val="000000"/>
              </w:rPr>
              <w:t>Abacus</w:t>
            </w:r>
          </w:p>
        </w:tc>
        <w:tc>
          <w:tcPr>
            <w:tcW w:w="716" w:type="dxa"/>
            <w:tcBorders>
              <w:top w:val="nil"/>
              <w:left w:val="nil"/>
              <w:bottom w:val="nil"/>
              <w:right w:val="nil"/>
            </w:tcBorders>
            <w:shd w:val="clear" w:color="000000" w:fill="F2F2F2"/>
            <w:noWrap/>
            <w:vAlign w:val="center"/>
            <w:hideMark/>
          </w:tcPr>
          <w:p w14:paraId="257EEE94"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1936DF3"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5FEDB002" w14:textId="77777777" w:rsidR="00220EF0" w:rsidRPr="00382579" w:rsidRDefault="00220EF0">
            <w:pPr>
              <w:jc w:val="center"/>
              <w:rPr>
                <w:rFonts w:ascii="Calibri" w:hAnsi="Calibri" w:cs="Calibri"/>
                <w:color w:val="000000"/>
              </w:rPr>
            </w:pPr>
          </w:p>
        </w:tc>
        <w:tc>
          <w:tcPr>
            <w:tcW w:w="636" w:type="dxa"/>
            <w:tcBorders>
              <w:top w:val="nil"/>
              <w:left w:val="nil"/>
              <w:bottom w:val="nil"/>
              <w:right w:val="nil"/>
            </w:tcBorders>
            <w:noWrap/>
            <w:vAlign w:val="center"/>
            <w:hideMark/>
          </w:tcPr>
          <w:p w14:paraId="3C86276D" w14:textId="77777777" w:rsidR="00220EF0" w:rsidRPr="00382579" w:rsidRDefault="00220EF0">
            <w:pPr>
              <w:jc w:val="center"/>
            </w:pPr>
          </w:p>
        </w:tc>
        <w:tc>
          <w:tcPr>
            <w:tcW w:w="636" w:type="dxa"/>
            <w:tcBorders>
              <w:top w:val="nil"/>
              <w:left w:val="nil"/>
              <w:bottom w:val="nil"/>
              <w:right w:val="nil"/>
            </w:tcBorders>
            <w:noWrap/>
            <w:vAlign w:val="center"/>
            <w:hideMark/>
          </w:tcPr>
          <w:p w14:paraId="01A34D41"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70D7631E"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202720F"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2DE67B8"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w:t>
            </w:r>
          </w:p>
        </w:tc>
      </w:tr>
      <w:tr w:rsidR="00220EF0" w:rsidRPr="00382579" w14:paraId="4BEE9D21" w14:textId="77777777" w:rsidTr="004F60A2">
        <w:trPr>
          <w:trHeight w:val="300"/>
        </w:trPr>
        <w:tc>
          <w:tcPr>
            <w:tcW w:w="2810" w:type="dxa"/>
            <w:tcBorders>
              <w:top w:val="nil"/>
              <w:left w:val="single" w:sz="8" w:space="0" w:color="auto"/>
              <w:bottom w:val="nil"/>
              <w:right w:val="nil"/>
            </w:tcBorders>
            <w:vAlign w:val="center"/>
            <w:hideMark/>
          </w:tcPr>
          <w:p w14:paraId="3E750C37" w14:textId="77777777" w:rsidR="00220EF0" w:rsidRPr="00382579" w:rsidRDefault="00220EF0">
            <w:pPr>
              <w:rPr>
                <w:rFonts w:ascii="Calibri" w:hAnsi="Calibri" w:cs="Calibri"/>
                <w:color w:val="000000"/>
              </w:rPr>
            </w:pPr>
            <w:r w:rsidRPr="00382579">
              <w:rPr>
                <w:rFonts w:ascii="Calibri" w:hAnsi="Calibri" w:cs="Calibri"/>
                <w:color w:val="000000"/>
              </w:rPr>
              <w:t>Accounting &amp; Finance</w:t>
            </w:r>
          </w:p>
        </w:tc>
        <w:tc>
          <w:tcPr>
            <w:tcW w:w="716" w:type="dxa"/>
            <w:tcBorders>
              <w:top w:val="nil"/>
              <w:left w:val="nil"/>
              <w:bottom w:val="nil"/>
              <w:right w:val="nil"/>
            </w:tcBorders>
            <w:shd w:val="clear" w:color="000000" w:fill="F2F2F2"/>
            <w:noWrap/>
            <w:vAlign w:val="center"/>
            <w:hideMark/>
          </w:tcPr>
          <w:p w14:paraId="2B62686F"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794D249E"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1F82A761" w14:textId="77777777" w:rsidR="00220EF0" w:rsidRPr="00382579" w:rsidRDefault="00220EF0">
            <w:pPr>
              <w:jc w:val="center"/>
            </w:pPr>
          </w:p>
        </w:tc>
        <w:tc>
          <w:tcPr>
            <w:tcW w:w="636" w:type="dxa"/>
            <w:tcBorders>
              <w:top w:val="nil"/>
              <w:left w:val="nil"/>
              <w:bottom w:val="nil"/>
              <w:right w:val="nil"/>
            </w:tcBorders>
            <w:noWrap/>
            <w:vAlign w:val="center"/>
            <w:hideMark/>
          </w:tcPr>
          <w:p w14:paraId="725BEFF4" w14:textId="77777777" w:rsidR="00220EF0" w:rsidRPr="00382579" w:rsidRDefault="00220EF0">
            <w:pPr>
              <w:jc w:val="center"/>
            </w:pPr>
          </w:p>
        </w:tc>
        <w:tc>
          <w:tcPr>
            <w:tcW w:w="636" w:type="dxa"/>
            <w:tcBorders>
              <w:top w:val="nil"/>
              <w:left w:val="nil"/>
              <w:bottom w:val="nil"/>
              <w:right w:val="nil"/>
            </w:tcBorders>
            <w:noWrap/>
            <w:vAlign w:val="center"/>
            <w:hideMark/>
          </w:tcPr>
          <w:p w14:paraId="4C115AED"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50DA1688"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599F307A"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B13A6B0"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3</w:t>
            </w:r>
          </w:p>
        </w:tc>
      </w:tr>
      <w:tr w:rsidR="00220EF0" w:rsidRPr="00382579" w14:paraId="4F90E239" w14:textId="77777777" w:rsidTr="004F60A2">
        <w:trPr>
          <w:trHeight w:val="585"/>
        </w:trPr>
        <w:tc>
          <w:tcPr>
            <w:tcW w:w="2810" w:type="dxa"/>
            <w:tcBorders>
              <w:top w:val="nil"/>
              <w:left w:val="single" w:sz="8" w:space="0" w:color="auto"/>
              <w:bottom w:val="nil"/>
              <w:right w:val="nil"/>
            </w:tcBorders>
            <w:vAlign w:val="center"/>
            <w:hideMark/>
          </w:tcPr>
          <w:p w14:paraId="1C0EEA1C" w14:textId="77777777" w:rsidR="00220EF0" w:rsidRPr="00382579" w:rsidRDefault="00220EF0">
            <w:pPr>
              <w:rPr>
                <w:rFonts w:ascii="Calibri" w:hAnsi="Calibri" w:cs="Calibri"/>
                <w:color w:val="000000"/>
              </w:rPr>
            </w:pPr>
            <w:r w:rsidRPr="00382579">
              <w:rPr>
                <w:rFonts w:ascii="Calibri" w:hAnsi="Calibri" w:cs="Calibri"/>
                <w:color w:val="000000"/>
              </w:rPr>
              <w:t>Accounting &amp; Business Research</w:t>
            </w:r>
          </w:p>
        </w:tc>
        <w:tc>
          <w:tcPr>
            <w:tcW w:w="716" w:type="dxa"/>
            <w:tcBorders>
              <w:top w:val="nil"/>
              <w:left w:val="nil"/>
              <w:bottom w:val="nil"/>
              <w:right w:val="nil"/>
            </w:tcBorders>
            <w:shd w:val="clear" w:color="000000" w:fill="F2F2F2"/>
            <w:noWrap/>
            <w:vAlign w:val="center"/>
            <w:hideMark/>
          </w:tcPr>
          <w:p w14:paraId="0337F5F7"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4E3A447"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C21FD53" w14:textId="77777777" w:rsidR="00220EF0" w:rsidRPr="00382579" w:rsidRDefault="00220EF0">
            <w:pPr>
              <w:jc w:val="center"/>
              <w:rPr>
                <w:rFonts w:ascii="Calibri" w:hAnsi="Calibri" w:cs="Calibri"/>
                <w:color w:val="000000"/>
              </w:rPr>
            </w:pPr>
          </w:p>
        </w:tc>
        <w:tc>
          <w:tcPr>
            <w:tcW w:w="636" w:type="dxa"/>
            <w:tcBorders>
              <w:top w:val="nil"/>
              <w:left w:val="nil"/>
              <w:bottom w:val="nil"/>
              <w:right w:val="nil"/>
            </w:tcBorders>
            <w:noWrap/>
            <w:vAlign w:val="center"/>
            <w:hideMark/>
          </w:tcPr>
          <w:p w14:paraId="3F005F93" w14:textId="77777777" w:rsidR="00220EF0" w:rsidRPr="00382579" w:rsidRDefault="00220EF0">
            <w:pPr>
              <w:jc w:val="center"/>
            </w:pPr>
          </w:p>
        </w:tc>
        <w:tc>
          <w:tcPr>
            <w:tcW w:w="636" w:type="dxa"/>
            <w:tcBorders>
              <w:top w:val="nil"/>
              <w:left w:val="nil"/>
              <w:bottom w:val="nil"/>
              <w:right w:val="nil"/>
            </w:tcBorders>
            <w:noWrap/>
            <w:vAlign w:val="center"/>
            <w:hideMark/>
          </w:tcPr>
          <w:p w14:paraId="0C5F5F26"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41D1F8FD"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2F49E6FD"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12F5306"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4</w:t>
            </w:r>
          </w:p>
        </w:tc>
      </w:tr>
      <w:tr w:rsidR="00220EF0" w:rsidRPr="00382579" w14:paraId="7B7D8A7E" w14:textId="77777777" w:rsidTr="004F60A2">
        <w:trPr>
          <w:trHeight w:val="300"/>
        </w:trPr>
        <w:tc>
          <w:tcPr>
            <w:tcW w:w="2810" w:type="dxa"/>
            <w:tcBorders>
              <w:top w:val="nil"/>
              <w:left w:val="single" w:sz="8" w:space="0" w:color="auto"/>
              <w:bottom w:val="nil"/>
              <w:right w:val="nil"/>
            </w:tcBorders>
            <w:vAlign w:val="center"/>
            <w:hideMark/>
          </w:tcPr>
          <w:p w14:paraId="044384C5" w14:textId="77777777" w:rsidR="00220EF0" w:rsidRPr="00382579" w:rsidRDefault="00220EF0">
            <w:pPr>
              <w:rPr>
                <w:rFonts w:ascii="Calibri" w:hAnsi="Calibri" w:cs="Calibri"/>
                <w:color w:val="000000"/>
              </w:rPr>
            </w:pPr>
            <w:r w:rsidRPr="00382579">
              <w:rPr>
                <w:rFonts w:ascii="Calibri" w:hAnsi="Calibri" w:cs="Calibri"/>
                <w:color w:val="000000"/>
              </w:rPr>
              <w:t>Accounting Horizons</w:t>
            </w:r>
          </w:p>
        </w:tc>
        <w:tc>
          <w:tcPr>
            <w:tcW w:w="716" w:type="dxa"/>
            <w:tcBorders>
              <w:top w:val="nil"/>
              <w:left w:val="nil"/>
              <w:bottom w:val="nil"/>
              <w:right w:val="nil"/>
            </w:tcBorders>
            <w:shd w:val="clear" w:color="000000" w:fill="F2F2F2"/>
            <w:noWrap/>
            <w:vAlign w:val="center"/>
            <w:hideMark/>
          </w:tcPr>
          <w:p w14:paraId="2D4927CC"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6A8899B8"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157E152B"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20FEC6A0" w14:textId="77777777" w:rsidR="00220EF0" w:rsidRPr="00382579" w:rsidRDefault="00220EF0">
            <w:pPr>
              <w:jc w:val="center"/>
              <w:rPr>
                <w:rFonts w:ascii="Calibri" w:hAnsi="Calibri" w:cs="Calibri"/>
                <w:color w:val="000000"/>
              </w:rPr>
            </w:pPr>
          </w:p>
        </w:tc>
        <w:tc>
          <w:tcPr>
            <w:tcW w:w="636" w:type="dxa"/>
            <w:tcBorders>
              <w:top w:val="nil"/>
              <w:left w:val="nil"/>
              <w:bottom w:val="nil"/>
              <w:right w:val="nil"/>
            </w:tcBorders>
            <w:noWrap/>
            <w:vAlign w:val="center"/>
            <w:hideMark/>
          </w:tcPr>
          <w:p w14:paraId="69169DD9"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23B270BD"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0F9BD383"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80DFBB0"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w:t>
            </w:r>
          </w:p>
        </w:tc>
      </w:tr>
      <w:tr w:rsidR="00220EF0" w:rsidRPr="00382579" w14:paraId="497F7201" w14:textId="77777777" w:rsidTr="004F60A2">
        <w:trPr>
          <w:trHeight w:val="300"/>
        </w:trPr>
        <w:tc>
          <w:tcPr>
            <w:tcW w:w="2810" w:type="dxa"/>
            <w:tcBorders>
              <w:top w:val="nil"/>
              <w:left w:val="single" w:sz="8" w:space="0" w:color="auto"/>
              <w:bottom w:val="nil"/>
              <w:right w:val="nil"/>
            </w:tcBorders>
            <w:vAlign w:val="center"/>
            <w:hideMark/>
          </w:tcPr>
          <w:p w14:paraId="1A36F1C5" w14:textId="77777777" w:rsidR="00220EF0" w:rsidRPr="00382579" w:rsidRDefault="00220EF0">
            <w:pPr>
              <w:rPr>
                <w:rFonts w:ascii="Calibri" w:hAnsi="Calibri" w:cs="Calibri"/>
                <w:color w:val="000000"/>
              </w:rPr>
            </w:pPr>
            <w:r w:rsidRPr="00382579">
              <w:rPr>
                <w:rFonts w:ascii="Calibri" w:hAnsi="Calibri" w:cs="Calibri"/>
                <w:color w:val="000000"/>
              </w:rPr>
              <w:t>Accounting in Europe</w:t>
            </w:r>
          </w:p>
        </w:tc>
        <w:tc>
          <w:tcPr>
            <w:tcW w:w="716" w:type="dxa"/>
            <w:tcBorders>
              <w:top w:val="nil"/>
              <w:left w:val="nil"/>
              <w:bottom w:val="nil"/>
              <w:right w:val="nil"/>
            </w:tcBorders>
            <w:shd w:val="clear" w:color="000000" w:fill="F2F2F2"/>
            <w:noWrap/>
            <w:vAlign w:val="center"/>
            <w:hideMark/>
          </w:tcPr>
          <w:p w14:paraId="48E5DEEB"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5A5BABC"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31F97E36" w14:textId="77777777" w:rsidR="00220EF0" w:rsidRPr="00382579" w:rsidRDefault="00220EF0">
            <w:pPr>
              <w:jc w:val="center"/>
            </w:pPr>
          </w:p>
        </w:tc>
        <w:tc>
          <w:tcPr>
            <w:tcW w:w="636" w:type="dxa"/>
            <w:tcBorders>
              <w:top w:val="nil"/>
              <w:left w:val="nil"/>
              <w:bottom w:val="nil"/>
              <w:right w:val="nil"/>
            </w:tcBorders>
            <w:noWrap/>
            <w:vAlign w:val="center"/>
            <w:hideMark/>
          </w:tcPr>
          <w:p w14:paraId="4B6BB522" w14:textId="77777777" w:rsidR="00220EF0" w:rsidRPr="00382579" w:rsidRDefault="00220EF0">
            <w:pPr>
              <w:jc w:val="center"/>
            </w:pPr>
          </w:p>
        </w:tc>
        <w:tc>
          <w:tcPr>
            <w:tcW w:w="636" w:type="dxa"/>
            <w:tcBorders>
              <w:top w:val="nil"/>
              <w:left w:val="nil"/>
              <w:bottom w:val="nil"/>
              <w:right w:val="nil"/>
            </w:tcBorders>
            <w:noWrap/>
            <w:vAlign w:val="center"/>
            <w:hideMark/>
          </w:tcPr>
          <w:p w14:paraId="7E10B92E"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629D2620"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41CC82C0"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DC0D385"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w:t>
            </w:r>
          </w:p>
        </w:tc>
      </w:tr>
      <w:tr w:rsidR="00220EF0" w:rsidRPr="00382579" w14:paraId="651660AD"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39455E4A" w14:textId="77777777" w:rsidR="00220EF0" w:rsidRPr="00382579" w:rsidRDefault="00220EF0">
            <w:pPr>
              <w:rPr>
                <w:rFonts w:ascii="Calibri" w:hAnsi="Calibri" w:cs="Calibri"/>
                <w:color w:val="000000"/>
              </w:rPr>
            </w:pPr>
            <w:r w:rsidRPr="00382579">
              <w:rPr>
                <w:rFonts w:ascii="Calibri" w:hAnsi="Calibri" w:cs="Calibri"/>
                <w:color w:val="000000"/>
              </w:rPr>
              <w:lastRenderedPageBreak/>
              <w:t>Accounting, Auditing &amp; Accountability Journal</w:t>
            </w:r>
          </w:p>
        </w:tc>
        <w:tc>
          <w:tcPr>
            <w:tcW w:w="716" w:type="dxa"/>
            <w:tcBorders>
              <w:top w:val="nil"/>
              <w:left w:val="nil"/>
              <w:bottom w:val="nil"/>
              <w:right w:val="nil"/>
            </w:tcBorders>
            <w:shd w:val="clear" w:color="000000" w:fill="F2F2F2"/>
            <w:noWrap/>
            <w:vAlign w:val="center"/>
            <w:hideMark/>
          </w:tcPr>
          <w:p w14:paraId="353F1320" w14:textId="77777777" w:rsidR="00220EF0" w:rsidRPr="00382579" w:rsidRDefault="00220EF0">
            <w:pPr>
              <w:jc w:val="center"/>
              <w:rPr>
                <w:rFonts w:ascii="Calibri" w:hAnsi="Calibri" w:cs="Calibri"/>
                <w:color w:val="000000"/>
              </w:rPr>
            </w:pPr>
            <w:r w:rsidRPr="00382579">
              <w:rPr>
                <w:rFonts w:ascii="Calibri" w:hAnsi="Calibri" w:cs="Calibri"/>
                <w:color w:val="000000"/>
              </w:rPr>
              <w:t>3</w:t>
            </w:r>
          </w:p>
        </w:tc>
        <w:tc>
          <w:tcPr>
            <w:tcW w:w="896" w:type="dxa"/>
            <w:tcBorders>
              <w:top w:val="nil"/>
              <w:left w:val="nil"/>
              <w:bottom w:val="nil"/>
              <w:right w:val="nil"/>
            </w:tcBorders>
            <w:shd w:val="clear" w:color="000000" w:fill="F2F2F2"/>
            <w:noWrap/>
            <w:vAlign w:val="center"/>
            <w:hideMark/>
          </w:tcPr>
          <w:p w14:paraId="4FCD8F16" w14:textId="77777777" w:rsidR="00220EF0" w:rsidRPr="00382579" w:rsidRDefault="00220EF0">
            <w:pPr>
              <w:jc w:val="center"/>
              <w:rPr>
                <w:rFonts w:ascii="Calibri" w:hAnsi="Calibri" w:cs="Calibri"/>
                <w:color w:val="000000"/>
              </w:rPr>
            </w:pPr>
            <w:r w:rsidRPr="00382579">
              <w:rPr>
                <w:rFonts w:ascii="Calibri" w:hAnsi="Calibri" w:cs="Calibri"/>
                <w:color w:val="000000"/>
              </w:rPr>
              <w:t>4</w:t>
            </w:r>
          </w:p>
        </w:tc>
        <w:tc>
          <w:tcPr>
            <w:tcW w:w="596" w:type="dxa"/>
            <w:tcBorders>
              <w:top w:val="nil"/>
              <w:left w:val="nil"/>
              <w:bottom w:val="nil"/>
              <w:right w:val="nil"/>
            </w:tcBorders>
            <w:shd w:val="clear" w:color="000000" w:fill="F2F2F2"/>
            <w:noWrap/>
            <w:vAlign w:val="center"/>
            <w:hideMark/>
          </w:tcPr>
          <w:p w14:paraId="1BF71E61"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72552B7A"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4871E905"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55054ED7" w14:textId="77777777" w:rsidR="00220EF0" w:rsidRPr="00382579" w:rsidRDefault="00220EF0">
            <w:pPr>
              <w:jc w:val="center"/>
              <w:rPr>
                <w:rFonts w:ascii="Calibri" w:hAnsi="Calibri" w:cs="Calibri"/>
                <w:color w:val="000000"/>
              </w:rPr>
            </w:pPr>
            <w:r w:rsidRPr="00382579">
              <w:rPr>
                <w:rFonts w:ascii="Calibri" w:hAnsi="Calibri" w:cs="Calibri"/>
                <w:color w:val="000000"/>
              </w:rPr>
              <w:t>4</w:t>
            </w:r>
          </w:p>
        </w:tc>
        <w:tc>
          <w:tcPr>
            <w:tcW w:w="1116" w:type="dxa"/>
            <w:tcBorders>
              <w:top w:val="nil"/>
              <w:left w:val="nil"/>
              <w:bottom w:val="nil"/>
              <w:right w:val="nil"/>
            </w:tcBorders>
            <w:shd w:val="clear" w:color="000000" w:fill="F2F2F2"/>
            <w:noWrap/>
            <w:vAlign w:val="center"/>
            <w:hideMark/>
          </w:tcPr>
          <w:p w14:paraId="47AE68C5"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shd w:val="clear" w:color="000000" w:fill="F2F2F2"/>
            <w:noWrap/>
            <w:vAlign w:val="center"/>
            <w:hideMark/>
          </w:tcPr>
          <w:p w14:paraId="08F61F2B"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13</w:t>
            </w:r>
          </w:p>
        </w:tc>
      </w:tr>
      <w:tr w:rsidR="00220EF0" w:rsidRPr="00382579" w14:paraId="246DE878" w14:textId="77777777" w:rsidTr="004F60A2">
        <w:trPr>
          <w:trHeight w:val="585"/>
        </w:trPr>
        <w:tc>
          <w:tcPr>
            <w:tcW w:w="2810" w:type="dxa"/>
            <w:tcBorders>
              <w:top w:val="nil"/>
              <w:left w:val="single" w:sz="8" w:space="0" w:color="auto"/>
              <w:bottom w:val="nil"/>
              <w:right w:val="nil"/>
            </w:tcBorders>
            <w:vAlign w:val="center"/>
            <w:hideMark/>
          </w:tcPr>
          <w:p w14:paraId="2687C58F" w14:textId="77777777" w:rsidR="00220EF0" w:rsidRPr="00382579" w:rsidRDefault="00220EF0">
            <w:pPr>
              <w:rPr>
                <w:rFonts w:ascii="Calibri" w:hAnsi="Calibri" w:cs="Calibri"/>
                <w:color w:val="000000"/>
              </w:rPr>
            </w:pPr>
            <w:r w:rsidRPr="00382579">
              <w:rPr>
                <w:rFonts w:ascii="Calibri" w:hAnsi="Calibri" w:cs="Calibri"/>
                <w:color w:val="000000"/>
              </w:rPr>
              <w:t>Accounting, Organizations and Society</w:t>
            </w:r>
          </w:p>
        </w:tc>
        <w:tc>
          <w:tcPr>
            <w:tcW w:w="716" w:type="dxa"/>
            <w:tcBorders>
              <w:top w:val="nil"/>
              <w:left w:val="nil"/>
              <w:bottom w:val="nil"/>
              <w:right w:val="nil"/>
            </w:tcBorders>
            <w:shd w:val="clear" w:color="000000" w:fill="F2F2F2"/>
            <w:noWrap/>
            <w:vAlign w:val="center"/>
            <w:hideMark/>
          </w:tcPr>
          <w:p w14:paraId="41B2CA54"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0308C805"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02EE1095" w14:textId="77777777" w:rsidR="00220EF0" w:rsidRPr="00382579" w:rsidRDefault="00220EF0">
            <w:pPr>
              <w:jc w:val="center"/>
            </w:pPr>
          </w:p>
        </w:tc>
        <w:tc>
          <w:tcPr>
            <w:tcW w:w="636" w:type="dxa"/>
            <w:tcBorders>
              <w:top w:val="nil"/>
              <w:left w:val="nil"/>
              <w:bottom w:val="nil"/>
              <w:right w:val="nil"/>
            </w:tcBorders>
            <w:noWrap/>
            <w:vAlign w:val="center"/>
            <w:hideMark/>
          </w:tcPr>
          <w:p w14:paraId="01FED06B" w14:textId="77777777" w:rsidR="00220EF0" w:rsidRPr="00382579" w:rsidRDefault="00220EF0">
            <w:pPr>
              <w:jc w:val="center"/>
            </w:pPr>
          </w:p>
        </w:tc>
        <w:tc>
          <w:tcPr>
            <w:tcW w:w="636" w:type="dxa"/>
            <w:tcBorders>
              <w:top w:val="nil"/>
              <w:left w:val="nil"/>
              <w:bottom w:val="nil"/>
              <w:right w:val="nil"/>
            </w:tcBorders>
            <w:noWrap/>
            <w:vAlign w:val="center"/>
            <w:hideMark/>
          </w:tcPr>
          <w:p w14:paraId="278E4A65"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18C8D961"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6C4822FC"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672FD58"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5</w:t>
            </w:r>
          </w:p>
        </w:tc>
      </w:tr>
      <w:tr w:rsidR="00220EF0" w:rsidRPr="00382579" w14:paraId="75D6A6DF" w14:textId="77777777" w:rsidTr="004F60A2">
        <w:trPr>
          <w:trHeight w:val="585"/>
        </w:trPr>
        <w:tc>
          <w:tcPr>
            <w:tcW w:w="2810" w:type="dxa"/>
            <w:tcBorders>
              <w:top w:val="nil"/>
              <w:left w:val="single" w:sz="8" w:space="0" w:color="auto"/>
              <w:bottom w:val="nil"/>
              <w:right w:val="nil"/>
            </w:tcBorders>
            <w:vAlign w:val="center"/>
            <w:hideMark/>
          </w:tcPr>
          <w:p w14:paraId="277C12B8" w14:textId="77777777" w:rsidR="00220EF0" w:rsidRPr="00382579" w:rsidRDefault="00220EF0">
            <w:pPr>
              <w:rPr>
                <w:rFonts w:ascii="Calibri" w:hAnsi="Calibri" w:cs="Calibri"/>
                <w:color w:val="000000"/>
              </w:rPr>
            </w:pPr>
            <w:r w:rsidRPr="00382579">
              <w:rPr>
                <w:rFonts w:ascii="Calibri" w:hAnsi="Calibri" w:cs="Calibri"/>
                <w:color w:val="000000"/>
              </w:rPr>
              <w:t>Auditing: A Journal of Practice &amp; Theory</w:t>
            </w:r>
          </w:p>
        </w:tc>
        <w:tc>
          <w:tcPr>
            <w:tcW w:w="716" w:type="dxa"/>
            <w:tcBorders>
              <w:top w:val="nil"/>
              <w:left w:val="nil"/>
              <w:bottom w:val="nil"/>
              <w:right w:val="nil"/>
            </w:tcBorders>
            <w:shd w:val="clear" w:color="000000" w:fill="F2F2F2"/>
            <w:noWrap/>
            <w:vAlign w:val="center"/>
            <w:hideMark/>
          </w:tcPr>
          <w:p w14:paraId="5DE6EF7D" w14:textId="77777777" w:rsidR="00220EF0" w:rsidRPr="00382579" w:rsidRDefault="00220EF0">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7F7E75A8"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3174B9C6"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6607B1A0" w14:textId="77777777" w:rsidR="00220EF0" w:rsidRPr="00382579" w:rsidRDefault="00220EF0">
            <w:pPr>
              <w:jc w:val="center"/>
              <w:rPr>
                <w:rFonts w:ascii="Calibri" w:hAnsi="Calibri" w:cs="Calibri"/>
                <w:color w:val="000000"/>
              </w:rPr>
            </w:pPr>
          </w:p>
        </w:tc>
        <w:tc>
          <w:tcPr>
            <w:tcW w:w="636" w:type="dxa"/>
            <w:tcBorders>
              <w:top w:val="nil"/>
              <w:left w:val="nil"/>
              <w:bottom w:val="nil"/>
              <w:right w:val="nil"/>
            </w:tcBorders>
            <w:noWrap/>
            <w:vAlign w:val="center"/>
            <w:hideMark/>
          </w:tcPr>
          <w:p w14:paraId="50363904" w14:textId="77777777" w:rsidR="00220EF0" w:rsidRPr="00382579" w:rsidRDefault="00220EF0">
            <w:pPr>
              <w:jc w:val="center"/>
              <w:rPr>
                <w:rFonts w:ascii="Calibri" w:hAnsi="Calibri" w:cs="Calibri"/>
                <w:color w:val="000000"/>
              </w:rPr>
            </w:pPr>
            <w:r w:rsidRPr="00382579">
              <w:rPr>
                <w:rFonts w:ascii="Calibri" w:hAnsi="Calibri" w:cs="Calibri"/>
                <w:color w:val="000000"/>
              </w:rPr>
              <w:t>3</w:t>
            </w:r>
          </w:p>
        </w:tc>
        <w:tc>
          <w:tcPr>
            <w:tcW w:w="1286" w:type="dxa"/>
            <w:tcBorders>
              <w:top w:val="nil"/>
              <w:left w:val="nil"/>
              <w:bottom w:val="nil"/>
              <w:right w:val="nil"/>
            </w:tcBorders>
            <w:shd w:val="clear" w:color="000000" w:fill="F2F2F2"/>
            <w:noWrap/>
            <w:vAlign w:val="center"/>
            <w:hideMark/>
          </w:tcPr>
          <w:p w14:paraId="4B362BE3"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83E90B5"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3426984"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9</w:t>
            </w:r>
          </w:p>
        </w:tc>
      </w:tr>
      <w:tr w:rsidR="00220EF0" w:rsidRPr="00382579" w14:paraId="7A83687B" w14:textId="77777777" w:rsidTr="004F60A2">
        <w:trPr>
          <w:trHeight w:val="585"/>
        </w:trPr>
        <w:tc>
          <w:tcPr>
            <w:tcW w:w="2810" w:type="dxa"/>
            <w:tcBorders>
              <w:top w:val="nil"/>
              <w:left w:val="single" w:sz="8" w:space="0" w:color="auto"/>
              <w:bottom w:val="nil"/>
              <w:right w:val="nil"/>
            </w:tcBorders>
            <w:vAlign w:val="center"/>
            <w:hideMark/>
          </w:tcPr>
          <w:p w14:paraId="46CCA283" w14:textId="77777777" w:rsidR="00220EF0" w:rsidRPr="00382579" w:rsidRDefault="00220EF0">
            <w:pPr>
              <w:rPr>
                <w:rFonts w:ascii="Calibri" w:hAnsi="Calibri" w:cs="Calibri"/>
                <w:color w:val="000000"/>
              </w:rPr>
            </w:pPr>
            <w:r w:rsidRPr="00382579">
              <w:rPr>
                <w:rFonts w:ascii="Calibri" w:hAnsi="Calibri" w:cs="Calibri"/>
                <w:color w:val="000000"/>
              </w:rPr>
              <w:t>Behavioral Research in Accounting</w:t>
            </w:r>
          </w:p>
        </w:tc>
        <w:tc>
          <w:tcPr>
            <w:tcW w:w="716" w:type="dxa"/>
            <w:tcBorders>
              <w:top w:val="nil"/>
              <w:left w:val="nil"/>
              <w:bottom w:val="nil"/>
              <w:right w:val="nil"/>
            </w:tcBorders>
            <w:shd w:val="clear" w:color="000000" w:fill="F2F2F2"/>
            <w:noWrap/>
            <w:vAlign w:val="center"/>
            <w:hideMark/>
          </w:tcPr>
          <w:p w14:paraId="33834BD7"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F013F30"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DE1E43C" w14:textId="77777777" w:rsidR="00220EF0" w:rsidRPr="00382579" w:rsidRDefault="00220EF0">
            <w:pPr>
              <w:jc w:val="center"/>
              <w:rPr>
                <w:rFonts w:ascii="Calibri" w:hAnsi="Calibri" w:cs="Calibri"/>
                <w:color w:val="000000"/>
              </w:rPr>
            </w:pPr>
          </w:p>
        </w:tc>
        <w:tc>
          <w:tcPr>
            <w:tcW w:w="636" w:type="dxa"/>
            <w:tcBorders>
              <w:top w:val="nil"/>
              <w:left w:val="nil"/>
              <w:bottom w:val="nil"/>
              <w:right w:val="nil"/>
            </w:tcBorders>
            <w:noWrap/>
            <w:vAlign w:val="center"/>
            <w:hideMark/>
          </w:tcPr>
          <w:p w14:paraId="5DFDBCCB" w14:textId="77777777" w:rsidR="00220EF0" w:rsidRPr="00382579" w:rsidRDefault="00220EF0">
            <w:pPr>
              <w:jc w:val="center"/>
            </w:pPr>
          </w:p>
        </w:tc>
        <w:tc>
          <w:tcPr>
            <w:tcW w:w="636" w:type="dxa"/>
            <w:tcBorders>
              <w:top w:val="nil"/>
              <w:left w:val="nil"/>
              <w:bottom w:val="nil"/>
              <w:right w:val="nil"/>
            </w:tcBorders>
            <w:noWrap/>
            <w:vAlign w:val="center"/>
            <w:hideMark/>
          </w:tcPr>
          <w:p w14:paraId="6A40A045"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4C515FD1"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8D5AC37"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83CAB45"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w:t>
            </w:r>
          </w:p>
        </w:tc>
      </w:tr>
      <w:tr w:rsidR="00220EF0" w:rsidRPr="00382579" w14:paraId="5228F262" w14:textId="77777777" w:rsidTr="004F60A2">
        <w:trPr>
          <w:trHeight w:val="585"/>
        </w:trPr>
        <w:tc>
          <w:tcPr>
            <w:tcW w:w="2810" w:type="dxa"/>
            <w:tcBorders>
              <w:top w:val="nil"/>
              <w:left w:val="single" w:sz="8" w:space="0" w:color="auto"/>
              <w:bottom w:val="nil"/>
              <w:right w:val="nil"/>
            </w:tcBorders>
            <w:vAlign w:val="center"/>
            <w:hideMark/>
          </w:tcPr>
          <w:p w14:paraId="1E4C1E89" w14:textId="77777777" w:rsidR="00220EF0" w:rsidRPr="00382579" w:rsidRDefault="00220EF0">
            <w:pPr>
              <w:rPr>
                <w:rFonts w:ascii="Calibri" w:hAnsi="Calibri" w:cs="Calibri"/>
                <w:color w:val="000000"/>
              </w:rPr>
            </w:pPr>
            <w:r w:rsidRPr="00382579">
              <w:rPr>
                <w:rFonts w:ascii="Calibri" w:hAnsi="Calibri" w:cs="Calibri"/>
                <w:color w:val="000000"/>
              </w:rPr>
              <w:t>Contemporary Accounting Research</w:t>
            </w:r>
          </w:p>
        </w:tc>
        <w:tc>
          <w:tcPr>
            <w:tcW w:w="716" w:type="dxa"/>
            <w:tcBorders>
              <w:top w:val="nil"/>
              <w:left w:val="nil"/>
              <w:bottom w:val="nil"/>
              <w:right w:val="nil"/>
            </w:tcBorders>
            <w:shd w:val="clear" w:color="000000" w:fill="F2F2F2"/>
            <w:noWrap/>
            <w:vAlign w:val="center"/>
            <w:hideMark/>
          </w:tcPr>
          <w:p w14:paraId="693C3E51" w14:textId="77777777" w:rsidR="00220EF0" w:rsidRPr="00382579" w:rsidRDefault="00220EF0">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472F8D61"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064FA7EB" w14:textId="77777777" w:rsidR="00220EF0" w:rsidRPr="00382579" w:rsidRDefault="00220EF0">
            <w:pPr>
              <w:jc w:val="center"/>
            </w:pPr>
          </w:p>
        </w:tc>
        <w:tc>
          <w:tcPr>
            <w:tcW w:w="636" w:type="dxa"/>
            <w:tcBorders>
              <w:top w:val="nil"/>
              <w:left w:val="nil"/>
              <w:bottom w:val="nil"/>
              <w:right w:val="nil"/>
            </w:tcBorders>
            <w:noWrap/>
            <w:vAlign w:val="center"/>
            <w:hideMark/>
          </w:tcPr>
          <w:p w14:paraId="38E9A881" w14:textId="77777777" w:rsidR="00220EF0" w:rsidRPr="00382579" w:rsidRDefault="00220EF0">
            <w:pPr>
              <w:jc w:val="center"/>
            </w:pPr>
          </w:p>
        </w:tc>
        <w:tc>
          <w:tcPr>
            <w:tcW w:w="636" w:type="dxa"/>
            <w:tcBorders>
              <w:top w:val="nil"/>
              <w:left w:val="nil"/>
              <w:bottom w:val="nil"/>
              <w:right w:val="nil"/>
            </w:tcBorders>
            <w:noWrap/>
            <w:vAlign w:val="center"/>
            <w:hideMark/>
          </w:tcPr>
          <w:p w14:paraId="76F2374C"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45406807"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52E3B37A"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4692E7C"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5</w:t>
            </w:r>
          </w:p>
        </w:tc>
      </w:tr>
      <w:tr w:rsidR="00220EF0" w:rsidRPr="00382579" w14:paraId="5C84D1C8" w14:textId="77777777" w:rsidTr="004F60A2">
        <w:trPr>
          <w:trHeight w:val="585"/>
        </w:trPr>
        <w:tc>
          <w:tcPr>
            <w:tcW w:w="2810" w:type="dxa"/>
            <w:tcBorders>
              <w:top w:val="nil"/>
              <w:left w:val="single" w:sz="8" w:space="0" w:color="auto"/>
              <w:bottom w:val="nil"/>
              <w:right w:val="nil"/>
            </w:tcBorders>
            <w:vAlign w:val="center"/>
            <w:hideMark/>
          </w:tcPr>
          <w:p w14:paraId="07E7814E" w14:textId="77777777" w:rsidR="00220EF0" w:rsidRPr="00382579" w:rsidRDefault="00220EF0">
            <w:pPr>
              <w:rPr>
                <w:rFonts w:ascii="Calibri" w:hAnsi="Calibri" w:cs="Calibri"/>
                <w:color w:val="000000"/>
              </w:rPr>
            </w:pPr>
            <w:r w:rsidRPr="00382579">
              <w:rPr>
                <w:rFonts w:ascii="Calibri" w:hAnsi="Calibri" w:cs="Calibri"/>
                <w:color w:val="000000"/>
              </w:rPr>
              <w:t>Critical Perspectives on Accounting</w:t>
            </w:r>
          </w:p>
        </w:tc>
        <w:tc>
          <w:tcPr>
            <w:tcW w:w="716" w:type="dxa"/>
            <w:tcBorders>
              <w:top w:val="nil"/>
              <w:left w:val="nil"/>
              <w:bottom w:val="nil"/>
              <w:right w:val="nil"/>
            </w:tcBorders>
            <w:shd w:val="clear" w:color="000000" w:fill="F2F2F2"/>
            <w:noWrap/>
            <w:vAlign w:val="center"/>
            <w:hideMark/>
          </w:tcPr>
          <w:p w14:paraId="57584FCC"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71FA235E"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242BBA52" w14:textId="77777777" w:rsidR="00220EF0" w:rsidRPr="00382579" w:rsidRDefault="00220EF0">
            <w:pPr>
              <w:jc w:val="center"/>
              <w:rPr>
                <w:rFonts w:ascii="Calibri" w:hAnsi="Calibri" w:cs="Calibri"/>
                <w:color w:val="000000"/>
              </w:rPr>
            </w:pPr>
          </w:p>
        </w:tc>
        <w:tc>
          <w:tcPr>
            <w:tcW w:w="636" w:type="dxa"/>
            <w:tcBorders>
              <w:top w:val="nil"/>
              <w:left w:val="nil"/>
              <w:bottom w:val="nil"/>
              <w:right w:val="nil"/>
            </w:tcBorders>
            <w:noWrap/>
            <w:vAlign w:val="center"/>
            <w:hideMark/>
          </w:tcPr>
          <w:p w14:paraId="3C97A84B" w14:textId="77777777" w:rsidR="00220EF0" w:rsidRPr="00382579" w:rsidRDefault="00220EF0">
            <w:pPr>
              <w:jc w:val="center"/>
            </w:pPr>
          </w:p>
        </w:tc>
        <w:tc>
          <w:tcPr>
            <w:tcW w:w="636" w:type="dxa"/>
            <w:tcBorders>
              <w:top w:val="nil"/>
              <w:left w:val="nil"/>
              <w:bottom w:val="nil"/>
              <w:right w:val="nil"/>
            </w:tcBorders>
            <w:noWrap/>
            <w:vAlign w:val="center"/>
            <w:hideMark/>
          </w:tcPr>
          <w:p w14:paraId="21200A2F"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653364BE"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7FACCBA6"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230D9E76"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5</w:t>
            </w:r>
          </w:p>
        </w:tc>
      </w:tr>
      <w:tr w:rsidR="00220EF0" w:rsidRPr="00382579" w14:paraId="46EF3AC8" w14:textId="77777777" w:rsidTr="004F60A2">
        <w:trPr>
          <w:trHeight w:val="300"/>
        </w:trPr>
        <w:tc>
          <w:tcPr>
            <w:tcW w:w="2810" w:type="dxa"/>
            <w:tcBorders>
              <w:top w:val="nil"/>
              <w:left w:val="single" w:sz="8" w:space="0" w:color="auto"/>
              <w:bottom w:val="nil"/>
              <w:right w:val="nil"/>
            </w:tcBorders>
            <w:vAlign w:val="center"/>
            <w:hideMark/>
          </w:tcPr>
          <w:p w14:paraId="6E70D958" w14:textId="77777777" w:rsidR="00220EF0" w:rsidRPr="00382579" w:rsidRDefault="00220EF0">
            <w:pPr>
              <w:rPr>
                <w:rFonts w:ascii="Calibri" w:hAnsi="Calibri" w:cs="Calibri"/>
                <w:color w:val="000000"/>
              </w:rPr>
            </w:pPr>
            <w:r w:rsidRPr="00382579">
              <w:rPr>
                <w:rFonts w:ascii="Calibri" w:hAnsi="Calibri" w:cs="Calibri"/>
                <w:color w:val="000000"/>
              </w:rPr>
              <w:t>European Accounting Review</w:t>
            </w:r>
          </w:p>
        </w:tc>
        <w:tc>
          <w:tcPr>
            <w:tcW w:w="716" w:type="dxa"/>
            <w:tcBorders>
              <w:top w:val="nil"/>
              <w:left w:val="nil"/>
              <w:bottom w:val="nil"/>
              <w:right w:val="nil"/>
            </w:tcBorders>
            <w:shd w:val="clear" w:color="000000" w:fill="F2F2F2"/>
            <w:noWrap/>
            <w:vAlign w:val="center"/>
            <w:hideMark/>
          </w:tcPr>
          <w:p w14:paraId="7A4EF030"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1615EF1"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4F8426FB" w14:textId="77777777" w:rsidR="00220EF0" w:rsidRPr="00382579" w:rsidRDefault="00220EF0">
            <w:pPr>
              <w:jc w:val="center"/>
            </w:pPr>
          </w:p>
        </w:tc>
        <w:tc>
          <w:tcPr>
            <w:tcW w:w="636" w:type="dxa"/>
            <w:tcBorders>
              <w:top w:val="nil"/>
              <w:left w:val="nil"/>
              <w:bottom w:val="nil"/>
              <w:right w:val="nil"/>
            </w:tcBorders>
            <w:noWrap/>
            <w:vAlign w:val="center"/>
            <w:hideMark/>
          </w:tcPr>
          <w:p w14:paraId="1BD84673"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53136665" w14:textId="77777777" w:rsidR="00220EF0" w:rsidRPr="00382579" w:rsidRDefault="00220EF0">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A4C0882"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41EF3892"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15A0E9C"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3</w:t>
            </w:r>
          </w:p>
        </w:tc>
      </w:tr>
      <w:tr w:rsidR="00220EF0" w:rsidRPr="00382579" w14:paraId="6E05705E"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62AEE8C4" w14:textId="77777777" w:rsidR="00220EF0" w:rsidRPr="00382579" w:rsidRDefault="00220EF0">
            <w:pPr>
              <w:rPr>
                <w:rFonts w:ascii="Calibri" w:hAnsi="Calibri" w:cs="Calibri"/>
                <w:color w:val="000000"/>
              </w:rPr>
            </w:pPr>
            <w:r w:rsidRPr="00382579">
              <w:rPr>
                <w:rFonts w:ascii="Calibri" w:hAnsi="Calibri" w:cs="Calibri"/>
                <w:color w:val="000000"/>
              </w:rPr>
              <w:t>Financial Accountability &amp; Management</w:t>
            </w:r>
          </w:p>
        </w:tc>
        <w:tc>
          <w:tcPr>
            <w:tcW w:w="716" w:type="dxa"/>
            <w:tcBorders>
              <w:top w:val="nil"/>
              <w:left w:val="nil"/>
              <w:bottom w:val="nil"/>
              <w:right w:val="nil"/>
            </w:tcBorders>
            <w:shd w:val="clear" w:color="000000" w:fill="F2F2F2"/>
            <w:noWrap/>
            <w:vAlign w:val="center"/>
            <w:hideMark/>
          </w:tcPr>
          <w:p w14:paraId="6B24866F"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shd w:val="clear" w:color="000000" w:fill="F2F2F2"/>
            <w:noWrap/>
            <w:vAlign w:val="center"/>
            <w:hideMark/>
          </w:tcPr>
          <w:p w14:paraId="73464B5B" w14:textId="77777777" w:rsidR="00220EF0" w:rsidRPr="00382579" w:rsidRDefault="00220EF0">
            <w:pPr>
              <w:jc w:val="center"/>
              <w:rPr>
                <w:rFonts w:ascii="Calibri" w:hAnsi="Calibri" w:cs="Calibri"/>
                <w:color w:val="000000"/>
              </w:rPr>
            </w:pPr>
            <w:r w:rsidRPr="00382579">
              <w:rPr>
                <w:rFonts w:ascii="Calibri" w:hAnsi="Calibri" w:cs="Calibri"/>
                <w:color w:val="000000"/>
              </w:rPr>
              <w:t>5</w:t>
            </w:r>
          </w:p>
        </w:tc>
        <w:tc>
          <w:tcPr>
            <w:tcW w:w="596" w:type="dxa"/>
            <w:tcBorders>
              <w:top w:val="nil"/>
              <w:left w:val="nil"/>
              <w:bottom w:val="nil"/>
              <w:right w:val="nil"/>
            </w:tcBorders>
            <w:shd w:val="clear" w:color="000000" w:fill="F2F2F2"/>
            <w:noWrap/>
            <w:vAlign w:val="center"/>
            <w:hideMark/>
          </w:tcPr>
          <w:p w14:paraId="6AC5C5C9"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4041A73B"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31B95BF9"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2F0A3B9F" w14:textId="77777777" w:rsidR="00220EF0" w:rsidRPr="00382579" w:rsidRDefault="00220EF0">
            <w:pPr>
              <w:jc w:val="center"/>
              <w:rPr>
                <w:rFonts w:ascii="Calibri" w:hAnsi="Calibri" w:cs="Calibri"/>
                <w:color w:val="000000"/>
              </w:rPr>
            </w:pPr>
            <w:r w:rsidRPr="00382579">
              <w:rPr>
                <w:rFonts w:ascii="Calibri" w:hAnsi="Calibri" w:cs="Calibri"/>
                <w:color w:val="000000"/>
              </w:rPr>
              <w:t>6</w:t>
            </w:r>
          </w:p>
        </w:tc>
        <w:tc>
          <w:tcPr>
            <w:tcW w:w="1116" w:type="dxa"/>
            <w:tcBorders>
              <w:top w:val="nil"/>
              <w:left w:val="nil"/>
              <w:bottom w:val="nil"/>
              <w:right w:val="nil"/>
            </w:tcBorders>
            <w:shd w:val="clear" w:color="000000" w:fill="F2F2F2"/>
            <w:noWrap/>
            <w:vAlign w:val="center"/>
            <w:hideMark/>
          </w:tcPr>
          <w:p w14:paraId="369E0646"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67637827"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15</w:t>
            </w:r>
          </w:p>
        </w:tc>
      </w:tr>
      <w:tr w:rsidR="00220EF0" w:rsidRPr="00382579" w14:paraId="6ED3DAB4" w14:textId="77777777" w:rsidTr="004F60A2">
        <w:trPr>
          <w:trHeight w:val="585"/>
        </w:trPr>
        <w:tc>
          <w:tcPr>
            <w:tcW w:w="2810" w:type="dxa"/>
            <w:tcBorders>
              <w:top w:val="nil"/>
              <w:left w:val="single" w:sz="8" w:space="0" w:color="auto"/>
              <w:bottom w:val="nil"/>
              <w:right w:val="nil"/>
            </w:tcBorders>
            <w:vAlign w:val="center"/>
            <w:hideMark/>
          </w:tcPr>
          <w:p w14:paraId="61B4BE2F" w14:textId="77777777" w:rsidR="00220EF0" w:rsidRPr="00382579" w:rsidRDefault="00220EF0">
            <w:pPr>
              <w:rPr>
                <w:rFonts w:ascii="Calibri" w:hAnsi="Calibri" w:cs="Calibri"/>
                <w:color w:val="000000"/>
              </w:rPr>
            </w:pPr>
            <w:r w:rsidRPr="00382579">
              <w:rPr>
                <w:rFonts w:ascii="Calibri" w:hAnsi="Calibri" w:cs="Calibri"/>
                <w:color w:val="000000"/>
              </w:rPr>
              <w:t>Financial Accountability and Management</w:t>
            </w:r>
          </w:p>
        </w:tc>
        <w:tc>
          <w:tcPr>
            <w:tcW w:w="716" w:type="dxa"/>
            <w:tcBorders>
              <w:top w:val="nil"/>
              <w:left w:val="nil"/>
              <w:bottom w:val="nil"/>
              <w:right w:val="nil"/>
            </w:tcBorders>
            <w:shd w:val="clear" w:color="000000" w:fill="F2F2F2"/>
            <w:noWrap/>
            <w:vAlign w:val="center"/>
            <w:hideMark/>
          </w:tcPr>
          <w:p w14:paraId="6DF0EA9C"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E656532"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22E81931" w14:textId="77777777" w:rsidR="00220EF0" w:rsidRPr="00382579" w:rsidRDefault="00220EF0">
            <w:pPr>
              <w:jc w:val="center"/>
            </w:pPr>
          </w:p>
        </w:tc>
        <w:tc>
          <w:tcPr>
            <w:tcW w:w="636" w:type="dxa"/>
            <w:tcBorders>
              <w:top w:val="nil"/>
              <w:left w:val="nil"/>
              <w:bottom w:val="nil"/>
              <w:right w:val="nil"/>
            </w:tcBorders>
            <w:noWrap/>
            <w:vAlign w:val="center"/>
            <w:hideMark/>
          </w:tcPr>
          <w:p w14:paraId="3D1B211A"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54D1B40B" w14:textId="77777777" w:rsidR="00220EF0" w:rsidRPr="00382579" w:rsidRDefault="00220EF0">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0BF4DC6C"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4BB8C738"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ABF7ABA"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w:t>
            </w:r>
          </w:p>
        </w:tc>
      </w:tr>
      <w:tr w:rsidR="00220EF0" w:rsidRPr="00382579" w14:paraId="5B92265E" w14:textId="77777777" w:rsidTr="004F60A2">
        <w:trPr>
          <w:trHeight w:val="585"/>
        </w:trPr>
        <w:tc>
          <w:tcPr>
            <w:tcW w:w="2810" w:type="dxa"/>
            <w:tcBorders>
              <w:top w:val="nil"/>
              <w:left w:val="single" w:sz="8" w:space="0" w:color="auto"/>
              <w:bottom w:val="nil"/>
              <w:right w:val="nil"/>
            </w:tcBorders>
            <w:vAlign w:val="center"/>
            <w:hideMark/>
          </w:tcPr>
          <w:p w14:paraId="507A20E1" w14:textId="77777777" w:rsidR="00220EF0" w:rsidRPr="00382579" w:rsidRDefault="00220EF0">
            <w:pPr>
              <w:rPr>
                <w:rFonts w:ascii="Calibri" w:hAnsi="Calibri" w:cs="Calibri"/>
                <w:color w:val="000000"/>
              </w:rPr>
            </w:pPr>
            <w:r w:rsidRPr="00382579">
              <w:rPr>
                <w:rFonts w:ascii="Calibri" w:hAnsi="Calibri" w:cs="Calibri"/>
                <w:color w:val="000000"/>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784C2A62"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1D02D8DB"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114608BA" w14:textId="77777777" w:rsidR="00220EF0" w:rsidRPr="00382579" w:rsidRDefault="00220EF0">
            <w:pPr>
              <w:jc w:val="center"/>
            </w:pPr>
          </w:p>
        </w:tc>
        <w:tc>
          <w:tcPr>
            <w:tcW w:w="636" w:type="dxa"/>
            <w:tcBorders>
              <w:top w:val="nil"/>
              <w:left w:val="nil"/>
              <w:bottom w:val="nil"/>
              <w:right w:val="nil"/>
            </w:tcBorders>
            <w:noWrap/>
            <w:vAlign w:val="center"/>
            <w:hideMark/>
          </w:tcPr>
          <w:p w14:paraId="46C97FC4" w14:textId="77777777" w:rsidR="00220EF0" w:rsidRPr="00382579" w:rsidRDefault="00220EF0">
            <w:pPr>
              <w:jc w:val="center"/>
            </w:pPr>
          </w:p>
        </w:tc>
        <w:tc>
          <w:tcPr>
            <w:tcW w:w="636" w:type="dxa"/>
            <w:tcBorders>
              <w:top w:val="nil"/>
              <w:left w:val="nil"/>
              <w:bottom w:val="nil"/>
              <w:right w:val="nil"/>
            </w:tcBorders>
            <w:noWrap/>
            <w:vAlign w:val="center"/>
            <w:hideMark/>
          </w:tcPr>
          <w:p w14:paraId="3B3764E2"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57261468"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AE9BF9B"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46897BE"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2</w:t>
            </w:r>
          </w:p>
        </w:tc>
      </w:tr>
      <w:tr w:rsidR="00220EF0" w:rsidRPr="00382579" w14:paraId="23DDDB8D"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0D6D5E5" w14:textId="77777777" w:rsidR="00220EF0" w:rsidRPr="00382579" w:rsidRDefault="00220EF0">
            <w:pPr>
              <w:rPr>
                <w:rFonts w:ascii="Calibri" w:hAnsi="Calibri" w:cs="Calibri"/>
                <w:color w:val="000000"/>
              </w:rPr>
            </w:pPr>
            <w:r w:rsidRPr="00382579">
              <w:rPr>
                <w:rFonts w:ascii="Calibri" w:hAnsi="Calibri" w:cs="Calibri"/>
                <w:color w:val="000000"/>
              </w:rPr>
              <w:lastRenderedPageBreak/>
              <w:t>International Journal of Auditing</w:t>
            </w:r>
          </w:p>
        </w:tc>
        <w:tc>
          <w:tcPr>
            <w:tcW w:w="716" w:type="dxa"/>
            <w:tcBorders>
              <w:top w:val="nil"/>
              <w:left w:val="nil"/>
              <w:bottom w:val="nil"/>
              <w:right w:val="nil"/>
            </w:tcBorders>
            <w:shd w:val="clear" w:color="000000" w:fill="F2F2F2"/>
            <w:noWrap/>
            <w:vAlign w:val="center"/>
            <w:hideMark/>
          </w:tcPr>
          <w:p w14:paraId="1CD85B54"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shd w:val="clear" w:color="000000" w:fill="F2F2F2"/>
            <w:noWrap/>
            <w:vAlign w:val="center"/>
            <w:hideMark/>
          </w:tcPr>
          <w:p w14:paraId="333474A4"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shd w:val="clear" w:color="000000" w:fill="F2F2F2"/>
            <w:noWrap/>
            <w:vAlign w:val="center"/>
            <w:hideMark/>
          </w:tcPr>
          <w:p w14:paraId="7E6B8A38" w14:textId="77777777" w:rsidR="00220EF0" w:rsidRPr="00382579" w:rsidRDefault="00220EF0">
            <w:pPr>
              <w:jc w:val="center"/>
              <w:rPr>
                <w:rFonts w:ascii="Calibri" w:hAnsi="Calibri" w:cs="Calibri"/>
                <w:color w:val="000000"/>
              </w:rPr>
            </w:pPr>
            <w:r w:rsidRPr="00382579">
              <w:rPr>
                <w:rFonts w:ascii="Calibri" w:hAnsi="Calibri" w:cs="Calibri"/>
                <w:color w:val="000000"/>
              </w:rPr>
              <w:t>3</w:t>
            </w:r>
          </w:p>
        </w:tc>
        <w:tc>
          <w:tcPr>
            <w:tcW w:w="636" w:type="dxa"/>
            <w:tcBorders>
              <w:top w:val="nil"/>
              <w:left w:val="nil"/>
              <w:bottom w:val="nil"/>
              <w:right w:val="nil"/>
            </w:tcBorders>
            <w:shd w:val="clear" w:color="000000" w:fill="F2F2F2"/>
            <w:noWrap/>
            <w:vAlign w:val="center"/>
            <w:hideMark/>
          </w:tcPr>
          <w:p w14:paraId="7EA293F4"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3E130388"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7A7B570A" w14:textId="77777777" w:rsidR="00220EF0" w:rsidRPr="00382579" w:rsidRDefault="00220EF0">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shd w:val="clear" w:color="000000" w:fill="F2F2F2"/>
            <w:noWrap/>
            <w:vAlign w:val="center"/>
            <w:hideMark/>
          </w:tcPr>
          <w:p w14:paraId="68C70448"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35FC1C7E"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11</w:t>
            </w:r>
          </w:p>
        </w:tc>
      </w:tr>
      <w:tr w:rsidR="00220EF0" w:rsidRPr="00382579" w14:paraId="56C83CCA" w14:textId="77777777" w:rsidTr="004F60A2">
        <w:trPr>
          <w:trHeight w:val="585"/>
        </w:trPr>
        <w:tc>
          <w:tcPr>
            <w:tcW w:w="2810" w:type="dxa"/>
            <w:tcBorders>
              <w:top w:val="nil"/>
              <w:left w:val="single" w:sz="8" w:space="0" w:color="auto"/>
              <w:bottom w:val="nil"/>
              <w:right w:val="nil"/>
            </w:tcBorders>
            <w:vAlign w:val="center"/>
            <w:hideMark/>
          </w:tcPr>
          <w:p w14:paraId="113C7888" w14:textId="77777777" w:rsidR="00220EF0" w:rsidRPr="00382579" w:rsidRDefault="00220EF0">
            <w:pPr>
              <w:rPr>
                <w:rFonts w:ascii="Calibri" w:hAnsi="Calibri" w:cs="Calibri"/>
                <w:color w:val="000000"/>
              </w:rPr>
            </w:pPr>
            <w:r w:rsidRPr="00382579">
              <w:rPr>
                <w:rFonts w:ascii="Calibri" w:hAnsi="Calibri" w:cs="Calibri"/>
                <w:color w:val="000000"/>
              </w:rPr>
              <w:t>Journal of Accounting and Public Policy</w:t>
            </w:r>
          </w:p>
        </w:tc>
        <w:tc>
          <w:tcPr>
            <w:tcW w:w="716" w:type="dxa"/>
            <w:tcBorders>
              <w:top w:val="nil"/>
              <w:left w:val="nil"/>
              <w:bottom w:val="nil"/>
              <w:right w:val="nil"/>
            </w:tcBorders>
            <w:shd w:val="clear" w:color="000000" w:fill="F2F2F2"/>
            <w:noWrap/>
            <w:vAlign w:val="center"/>
            <w:hideMark/>
          </w:tcPr>
          <w:p w14:paraId="57E8B7BF"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15DDF906"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7FA71E76"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4948996A" w14:textId="77777777" w:rsidR="00220EF0" w:rsidRPr="00382579" w:rsidRDefault="00220EF0">
            <w:pPr>
              <w:jc w:val="center"/>
              <w:rPr>
                <w:rFonts w:ascii="Calibri" w:hAnsi="Calibri" w:cs="Calibri"/>
                <w:color w:val="000000"/>
              </w:rPr>
            </w:pPr>
          </w:p>
        </w:tc>
        <w:tc>
          <w:tcPr>
            <w:tcW w:w="636" w:type="dxa"/>
            <w:tcBorders>
              <w:top w:val="nil"/>
              <w:left w:val="nil"/>
              <w:bottom w:val="nil"/>
              <w:right w:val="nil"/>
            </w:tcBorders>
            <w:noWrap/>
            <w:vAlign w:val="center"/>
            <w:hideMark/>
          </w:tcPr>
          <w:p w14:paraId="01325DCA"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0444BF8A"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5C74CA9A"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78D6780"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2</w:t>
            </w:r>
          </w:p>
        </w:tc>
      </w:tr>
      <w:tr w:rsidR="00220EF0" w:rsidRPr="00382579" w14:paraId="2B6FCE4D" w14:textId="77777777" w:rsidTr="004F60A2">
        <w:trPr>
          <w:trHeight w:val="585"/>
        </w:trPr>
        <w:tc>
          <w:tcPr>
            <w:tcW w:w="2810" w:type="dxa"/>
            <w:tcBorders>
              <w:top w:val="nil"/>
              <w:left w:val="single" w:sz="8" w:space="0" w:color="auto"/>
              <w:bottom w:val="nil"/>
              <w:right w:val="nil"/>
            </w:tcBorders>
            <w:vAlign w:val="center"/>
            <w:hideMark/>
          </w:tcPr>
          <w:p w14:paraId="5AD1006D" w14:textId="77777777" w:rsidR="00220EF0" w:rsidRPr="00382579" w:rsidRDefault="00220EF0">
            <w:pPr>
              <w:rPr>
                <w:rFonts w:ascii="Calibri" w:hAnsi="Calibri" w:cs="Calibri"/>
                <w:color w:val="000000"/>
              </w:rPr>
            </w:pPr>
            <w:r w:rsidRPr="00382579">
              <w:rPr>
                <w:rFonts w:ascii="Calibri" w:hAnsi="Calibri" w:cs="Calibri"/>
                <w:color w:val="000000"/>
              </w:rPr>
              <w:t>Journal of Applied Accounting Research</w:t>
            </w:r>
          </w:p>
        </w:tc>
        <w:tc>
          <w:tcPr>
            <w:tcW w:w="716" w:type="dxa"/>
            <w:tcBorders>
              <w:top w:val="nil"/>
              <w:left w:val="nil"/>
              <w:bottom w:val="nil"/>
              <w:right w:val="nil"/>
            </w:tcBorders>
            <w:shd w:val="clear" w:color="000000" w:fill="F2F2F2"/>
            <w:noWrap/>
            <w:vAlign w:val="center"/>
            <w:hideMark/>
          </w:tcPr>
          <w:p w14:paraId="1F0A36C8"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65E460AF"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055E051A" w14:textId="77777777" w:rsidR="00220EF0" w:rsidRPr="00382579" w:rsidRDefault="00220EF0">
            <w:pPr>
              <w:jc w:val="center"/>
            </w:pPr>
          </w:p>
        </w:tc>
        <w:tc>
          <w:tcPr>
            <w:tcW w:w="636" w:type="dxa"/>
            <w:tcBorders>
              <w:top w:val="nil"/>
              <w:left w:val="nil"/>
              <w:bottom w:val="nil"/>
              <w:right w:val="nil"/>
            </w:tcBorders>
            <w:noWrap/>
            <w:vAlign w:val="center"/>
            <w:hideMark/>
          </w:tcPr>
          <w:p w14:paraId="02F65CAA" w14:textId="77777777" w:rsidR="00220EF0" w:rsidRPr="00382579" w:rsidRDefault="00220EF0">
            <w:pPr>
              <w:jc w:val="center"/>
            </w:pPr>
          </w:p>
        </w:tc>
        <w:tc>
          <w:tcPr>
            <w:tcW w:w="636" w:type="dxa"/>
            <w:tcBorders>
              <w:top w:val="nil"/>
              <w:left w:val="nil"/>
              <w:bottom w:val="nil"/>
              <w:right w:val="nil"/>
            </w:tcBorders>
            <w:noWrap/>
            <w:vAlign w:val="center"/>
            <w:hideMark/>
          </w:tcPr>
          <w:p w14:paraId="404D8B4C"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79E5BC86"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7D7E5052"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71DC4C80"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4</w:t>
            </w:r>
          </w:p>
        </w:tc>
      </w:tr>
      <w:tr w:rsidR="00220EF0" w:rsidRPr="00382579" w14:paraId="65622147" w14:textId="77777777" w:rsidTr="004F60A2">
        <w:trPr>
          <w:trHeight w:val="300"/>
        </w:trPr>
        <w:tc>
          <w:tcPr>
            <w:tcW w:w="2810" w:type="dxa"/>
            <w:tcBorders>
              <w:top w:val="nil"/>
              <w:left w:val="single" w:sz="8" w:space="0" w:color="auto"/>
              <w:bottom w:val="nil"/>
              <w:right w:val="nil"/>
            </w:tcBorders>
            <w:shd w:val="clear" w:color="000000" w:fill="F2F2F2"/>
            <w:vAlign w:val="center"/>
            <w:hideMark/>
          </w:tcPr>
          <w:p w14:paraId="7B4A26ED" w14:textId="77777777" w:rsidR="00220EF0" w:rsidRPr="00382579" w:rsidRDefault="00220EF0">
            <w:pPr>
              <w:rPr>
                <w:rFonts w:ascii="Calibri" w:hAnsi="Calibri" w:cs="Calibri"/>
                <w:color w:val="000000"/>
              </w:rPr>
            </w:pPr>
            <w:r w:rsidRPr="00382579">
              <w:rPr>
                <w:rFonts w:ascii="Calibri" w:hAnsi="Calibri" w:cs="Calibri"/>
                <w:color w:val="000000"/>
              </w:rPr>
              <w:t>Journal of Business Ethics</w:t>
            </w:r>
          </w:p>
        </w:tc>
        <w:tc>
          <w:tcPr>
            <w:tcW w:w="716" w:type="dxa"/>
            <w:tcBorders>
              <w:top w:val="nil"/>
              <w:left w:val="nil"/>
              <w:bottom w:val="nil"/>
              <w:right w:val="nil"/>
            </w:tcBorders>
            <w:shd w:val="clear" w:color="000000" w:fill="F2F2F2"/>
            <w:noWrap/>
            <w:vAlign w:val="center"/>
            <w:hideMark/>
          </w:tcPr>
          <w:p w14:paraId="66C452D3" w14:textId="77777777" w:rsidR="00220EF0" w:rsidRPr="00382579" w:rsidRDefault="00220EF0">
            <w:pPr>
              <w:jc w:val="center"/>
              <w:rPr>
                <w:rFonts w:ascii="Calibri" w:hAnsi="Calibri" w:cs="Calibri"/>
                <w:color w:val="000000"/>
              </w:rPr>
            </w:pPr>
            <w:r w:rsidRPr="00382579">
              <w:rPr>
                <w:rFonts w:ascii="Calibri" w:hAnsi="Calibri" w:cs="Calibri"/>
                <w:color w:val="000000"/>
              </w:rPr>
              <w:t>7</w:t>
            </w:r>
          </w:p>
        </w:tc>
        <w:tc>
          <w:tcPr>
            <w:tcW w:w="896" w:type="dxa"/>
            <w:tcBorders>
              <w:top w:val="nil"/>
              <w:left w:val="nil"/>
              <w:bottom w:val="nil"/>
              <w:right w:val="nil"/>
            </w:tcBorders>
            <w:shd w:val="clear" w:color="000000" w:fill="F2F2F2"/>
            <w:noWrap/>
            <w:vAlign w:val="center"/>
            <w:hideMark/>
          </w:tcPr>
          <w:p w14:paraId="14AA44E4"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596" w:type="dxa"/>
            <w:tcBorders>
              <w:top w:val="nil"/>
              <w:left w:val="nil"/>
              <w:bottom w:val="nil"/>
              <w:right w:val="nil"/>
            </w:tcBorders>
            <w:shd w:val="clear" w:color="000000" w:fill="F2F2F2"/>
            <w:noWrap/>
            <w:vAlign w:val="center"/>
            <w:hideMark/>
          </w:tcPr>
          <w:p w14:paraId="6321A94E"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1D69044F"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60D6FE8C"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32F03560"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shd w:val="clear" w:color="000000" w:fill="F2F2F2"/>
            <w:noWrap/>
            <w:vAlign w:val="center"/>
            <w:hideMark/>
          </w:tcPr>
          <w:p w14:paraId="443C68A9"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988" w:type="dxa"/>
            <w:tcBorders>
              <w:top w:val="nil"/>
              <w:left w:val="nil"/>
              <w:bottom w:val="nil"/>
              <w:right w:val="single" w:sz="8" w:space="0" w:color="auto"/>
            </w:tcBorders>
            <w:shd w:val="clear" w:color="000000" w:fill="F2F2F2"/>
            <w:noWrap/>
            <w:vAlign w:val="center"/>
            <w:hideMark/>
          </w:tcPr>
          <w:p w14:paraId="5C87EB7E"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12</w:t>
            </w:r>
          </w:p>
        </w:tc>
      </w:tr>
      <w:tr w:rsidR="00220EF0" w:rsidRPr="00382579" w14:paraId="62F3526B" w14:textId="77777777" w:rsidTr="004F60A2">
        <w:trPr>
          <w:trHeight w:val="585"/>
        </w:trPr>
        <w:tc>
          <w:tcPr>
            <w:tcW w:w="2810" w:type="dxa"/>
            <w:tcBorders>
              <w:top w:val="nil"/>
              <w:left w:val="single" w:sz="8" w:space="0" w:color="auto"/>
              <w:bottom w:val="nil"/>
              <w:right w:val="nil"/>
            </w:tcBorders>
            <w:vAlign w:val="center"/>
            <w:hideMark/>
          </w:tcPr>
          <w:p w14:paraId="00A39F34" w14:textId="77777777" w:rsidR="00220EF0" w:rsidRPr="00382579" w:rsidRDefault="00220EF0">
            <w:pPr>
              <w:rPr>
                <w:rFonts w:ascii="Calibri" w:hAnsi="Calibri" w:cs="Calibri"/>
                <w:color w:val="000000"/>
              </w:rPr>
            </w:pPr>
            <w:r w:rsidRPr="00382579">
              <w:rPr>
                <w:rFonts w:ascii="Calibri" w:hAnsi="Calibri" w:cs="Calibri"/>
                <w:color w:val="000000"/>
              </w:rPr>
              <w:t>Journal of Contemporary Accounting &amp; Economics</w:t>
            </w:r>
          </w:p>
        </w:tc>
        <w:tc>
          <w:tcPr>
            <w:tcW w:w="716" w:type="dxa"/>
            <w:tcBorders>
              <w:top w:val="nil"/>
              <w:left w:val="nil"/>
              <w:bottom w:val="nil"/>
              <w:right w:val="nil"/>
            </w:tcBorders>
            <w:shd w:val="clear" w:color="000000" w:fill="F2F2F2"/>
            <w:noWrap/>
            <w:vAlign w:val="center"/>
            <w:hideMark/>
          </w:tcPr>
          <w:p w14:paraId="201F2B6A"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66D14AB6"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62C1F38" w14:textId="77777777" w:rsidR="00220EF0" w:rsidRPr="00382579" w:rsidRDefault="00220EF0">
            <w:pPr>
              <w:jc w:val="center"/>
              <w:rPr>
                <w:rFonts w:ascii="Calibri" w:hAnsi="Calibri" w:cs="Calibri"/>
                <w:color w:val="000000"/>
              </w:rPr>
            </w:pPr>
          </w:p>
        </w:tc>
        <w:tc>
          <w:tcPr>
            <w:tcW w:w="636" w:type="dxa"/>
            <w:tcBorders>
              <w:top w:val="nil"/>
              <w:left w:val="nil"/>
              <w:bottom w:val="nil"/>
              <w:right w:val="nil"/>
            </w:tcBorders>
            <w:noWrap/>
            <w:vAlign w:val="center"/>
            <w:hideMark/>
          </w:tcPr>
          <w:p w14:paraId="65B66322" w14:textId="77777777" w:rsidR="00220EF0" w:rsidRPr="00382579" w:rsidRDefault="00220EF0">
            <w:pPr>
              <w:jc w:val="center"/>
            </w:pPr>
          </w:p>
        </w:tc>
        <w:tc>
          <w:tcPr>
            <w:tcW w:w="636" w:type="dxa"/>
            <w:tcBorders>
              <w:top w:val="nil"/>
              <w:left w:val="nil"/>
              <w:bottom w:val="nil"/>
              <w:right w:val="nil"/>
            </w:tcBorders>
            <w:noWrap/>
            <w:vAlign w:val="center"/>
            <w:hideMark/>
          </w:tcPr>
          <w:p w14:paraId="21060D9C"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0044CFA0"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ADDD835"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BBC541A"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w:t>
            </w:r>
          </w:p>
        </w:tc>
      </w:tr>
      <w:tr w:rsidR="00220EF0" w:rsidRPr="00382579" w14:paraId="2A956674" w14:textId="77777777" w:rsidTr="004F60A2">
        <w:trPr>
          <w:trHeight w:val="585"/>
        </w:trPr>
        <w:tc>
          <w:tcPr>
            <w:tcW w:w="2810" w:type="dxa"/>
            <w:tcBorders>
              <w:top w:val="nil"/>
              <w:left w:val="single" w:sz="8" w:space="0" w:color="auto"/>
              <w:bottom w:val="nil"/>
              <w:right w:val="nil"/>
            </w:tcBorders>
            <w:vAlign w:val="center"/>
            <w:hideMark/>
          </w:tcPr>
          <w:p w14:paraId="2BADBF12" w14:textId="77777777" w:rsidR="00220EF0" w:rsidRPr="00382579" w:rsidRDefault="00220EF0">
            <w:pPr>
              <w:rPr>
                <w:rFonts w:ascii="Calibri" w:hAnsi="Calibri" w:cs="Calibri"/>
                <w:color w:val="000000"/>
              </w:rPr>
            </w:pPr>
            <w:r w:rsidRPr="00382579">
              <w:rPr>
                <w:rFonts w:ascii="Calibri" w:hAnsi="Calibri" w:cs="Calibri"/>
                <w:color w:val="000000"/>
              </w:rPr>
              <w:t>Journal of International Accounting Research</w:t>
            </w:r>
          </w:p>
        </w:tc>
        <w:tc>
          <w:tcPr>
            <w:tcW w:w="716" w:type="dxa"/>
            <w:tcBorders>
              <w:top w:val="nil"/>
              <w:left w:val="nil"/>
              <w:bottom w:val="nil"/>
              <w:right w:val="nil"/>
            </w:tcBorders>
            <w:shd w:val="clear" w:color="000000" w:fill="F2F2F2"/>
            <w:noWrap/>
            <w:vAlign w:val="center"/>
            <w:hideMark/>
          </w:tcPr>
          <w:p w14:paraId="4387D41B"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CE0DCFC"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698A8CD5" w14:textId="77777777" w:rsidR="00220EF0" w:rsidRPr="00382579" w:rsidRDefault="00220EF0">
            <w:pPr>
              <w:jc w:val="center"/>
            </w:pPr>
          </w:p>
        </w:tc>
        <w:tc>
          <w:tcPr>
            <w:tcW w:w="636" w:type="dxa"/>
            <w:tcBorders>
              <w:top w:val="nil"/>
              <w:left w:val="nil"/>
              <w:bottom w:val="nil"/>
              <w:right w:val="nil"/>
            </w:tcBorders>
            <w:noWrap/>
            <w:vAlign w:val="center"/>
            <w:hideMark/>
          </w:tcPr>
          <w:p w14:paraId="0349A6B1" w14:textId="77777777" w:rsidR="00220EF0" w:rsidRPr="00382579" w:rsidRDefault="00220EF0">
            <w:pPr>
              <w:jc w:val="center"/>
            </w:pPr>
          </w:p>
        </w:tc>
        <w:tc>
          <w:tcPr>
            <w:tcW w:w="636" w:type="dxa"/>
            <w:tcBorders>
              <w:top w:val="nil"/>
              <w:left w:val="nil"/>
              <w:bottom w:val="nil"/>
              <w:right w:val="nil"/>
            </w:tcBorders>
            <w:noWrap/>
            <w:vAlign w:val="center"/>
            <w:hideMark/>
          </w:tcPr>
          <w:p w14:paraId="3B8C8993"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1986ABDE"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5E7C177F"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99E57A6"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w:t>
            </w:r>
          </w:p>
        </w:tc>
      </w:tr>
      <w:tr w:rsidR="00220EF0" w:rsidRPr="00382579" w14:paraId="62491052" w14:textId="77777777" w:rsidTr="004F60A2">
        <w:trPr>
          <w:trHeight w:val="300"/>
        </w:trPr>
        <w:tc>
          <w:tcPr>
            <w:tcW w:w="2810" w:type="dxa"/>
            <w:tcBorders>
              <w:top w:val="nil"/>
              <w:left w:val="single" w:sz="8" w:space="0" w:color="auto"/>
              <w:bottom w:val="nil"/>
              <w:right w:val="nil"/>
            </w:tcBorders>
            <w:vAlign w:val="center"/>
            <w:hideMark/>
          </w:tcPr>
          <w:p w14:paraId="4088403D" w14:textId="77777777" w:rsidR="00220EF0" w:rsidRPr="00382579" w:rsidRDefault="00220EF0">
            <w:pPr>
              <w:rPr>
                <w:rFonts w:ascii="Calibri" w:hAnsi="Calibri" w:cs="Calibri"/>
                <w:color w:val="000000"/>
              </w:rPr>
            </w:pPr>
            <w:r w:rsidRPr="00382579">
              <w:rPr>
                <w:rFonts w:ascii="Calibri" w:hAnsi="Calibri" w:cs="Calibri"/>
                <w:color w:val="000000"/>
              </w:rPr>
              <w:t>Managerial Auditing Journal</w:t>
            </w:r>
          </w:p>
        </w:tc>
        <w:tc>
          <w:tcPr>
            <w:tcW w:w="716" w:type="dxa"/>
            <w:tcBorders>
              <w:top w:val="nil"/>
              <w:left w:val="nil"/>
              <w:bottom w:val="nil"/>
              <w:right w:val="nil"/>
            </w:tcBorders>
            <w:shd w:val="clear" w:color="000000" w:fill="F2F2F2"/>
            <w:noWrap/>
            <w:vAlign w:val="center"/>
            <w:hideMark/>
          </w:tcPr>
          <w:p w14:paraId="461544AB"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8F82C2A" w14:textId="77777777" w:rsidR="00220EF0" w:rsidRPr="00382579" w:rsidRDefault="00220EF0">
            <w:pPr>
              <w:jc w:val="center"/>
              <w:rPr>
                <w:rFonts w:ascii="Calibri" w:hAnsi="Calibri" w:cs="Calibri"/>
                <w:color w:val="000000"/>
              </w:rPr>
            </w:pPr>
            <w:r w:rsidRPr="00382579">
              <w:rPr>
                <w:rFonts w:ascii="Calibri" w:hAnsi="Calibri" w:cs="Calibri"/>
                <w:color w:val="000000"/>
              </w:rPr>
              <w:t>3</w:t>
            </w:r>
          </w:p>
        </w:tc>
        <w:tc>
          <w:tcPr>
            <w:tcW w:w="596" w:type="dxa"/>
            <w:tcBorders>
              <w:top w:val="nil"/>
              <w:left w:val="nil"/>
              <w:bottom w:val="nil"/>
              <w:right w:val="nil"/>
            </w:tcBorders>
            <w:noWrap/>
            <w:vAlign w:val="center"/>
            <w:hideMark/>
          </w:tcPr>
          <w:p w14:paraId="23C30B25"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0C8F53A6"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188CC89" w14:textId="77777777" w:rsidR="00220EF0" w:rsidRPr="00382579" w:rsidRDefault="00220EF0">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81B9DAE" w14:textId="77777777" w:rsidR="00220EF0" w:rsidRPr="00382579" w:rsidRDefault="00220EF0">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467CE411"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046416F"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9</w:t>
            </w:r>
          </w:p>
        </w:tc>
      </w:tr>
      <w:tr w:rsidR="00220EF0" w:rsidRPr="00382579" w14:paraId="66592E6E" w14:textId="77777777" w:rsidTr="004F60A2">
        <w:trPr>
          <w:trHeight w:val="585"/>
        </w:trPr>
        <w:tc>
          <w:tcPr>
            <w:tcW w:w="2810" w:type="dxa"/>
            <w:tcBorders>
              <w:top w:val="nil"/>
              <w:left w:val="single" w:sz="8" w:space="0" w:color="auto"/>
              <w:bottom w:val="nil"/>
              <w:right w:val="nil"/>
            </w:tcBorders>
            <w:vAlign w:val="center"/>
            <w:hideMark/>
          </w:tcPr>
          <w:p w14:paraId="28040131" w14:textId="77777777" w:rsidR="00220EF0" w:rsidRPr="00382579" w:rsidRDefault="00220EF0">
            <w:pPr>
              <w:rPr>
                <w:rFonts w:ascii="Calibri" w:hAnsi="Calibri" w:cs="Calibri"/>
                <w:color w:val="000000"/>
              </w:rPr>
            </w:pPr>
            <w:r w:rsidRPr="00382579">
              <w:rPr>
                <w:rFonts w:ascii="Calibri" w:hAnsi="Calibri" w:cs="Calibri"/>
                <w:color w:val="000000"/>
              </w:rPr>
              <w:t>Meditari Accountancy Research</w:t>
            </w:r>
          </w:p>
        </w:tc>
        <w:tc>
          <w:tcPr>
            <w:tcW w:w="716" w:type="dxa"/>
            <w:tcBorders>
              <w:top w:val="nil"/>
              <w:left w:val="nil"/>
              <w:bottom w:val="nil"/>
              <w:right w:val="nil"/>
            </w:tcBorders>
            <w:shd w:val="clear" w:color="000000" w:fill="F2F2F2"/>
            <w:noWrap/>
            <w:vAlign w:val="center"/>
            <w:hideMark/>
          </w:tcPr>
          <w:p w14:paraId="3CAE81C1"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DB4917F"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33E7A72" w14:textId="77777777" w:rsidR="00220EF0" w:rsidRPr="00382579" w:rsidRDefault="00220EF0">
            <w:pPr>
              <w:jc w:val="center"/>
              <w:rPr>
                <w:rFonts w:ascii="Calibri" w:hAnsi="Calibri" w:cs="Calibri"/>
                <w:color w:val="000000"/>
              </w:rPr>
            </w:pPr>
          </w:p>
        </w:tc>
        <w:tc>
          <w:tcPr>
            <w:tcW w:w="636" w:type="dxa"/>
            <w:tcBorders>
              <w:top w:val="nil"/>
              <w:left w:val="nil"/>
              <w:bottom w:val="nil"/>
              <w:right w:val="nil"/>
            </w:tcBorders>
            <w:noWrap/>
            <w:vAlign w:val="center"/>
            <w:hideMark/>
          </w:tcPr>
          <w:p w14:paraId="6EEC41ED" w14:textId="77777777" w:rsidR="00220EF0" w:rsidRPr="00382579" w:rsidRDefault="00220EF0">
            <w:pPr>
              <w:jc w:val="center"/>
            </w:pPr>
          </w:p>
        </w:tc>
        <w:tc>
          <w:tcPr>
            <w:tcW w:w="636" w:type="dxa"/>
            <w:tcBorders>
              <w:top w:val="nil"/>
              <w:left w:val="nil"/>
              <w:bottom w:val="nil"/>
              <w:right w:val="nil"/>
            </w:tcBorders>
            <w:noWrap/>
            <w:vAlign w:val="center"/>
            <w:hideMark/>
          </w:tcPr>
          <w:p w14:paraId="78AA0B1E"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2E797F00" w14:textId="77777777" w:rsidR="00220EF0" w:rsidRPr="00382579" w:rsidRDefault="00220EF0">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0609FBA5"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noWrap/>
            <w:vAlign w:val="center"/>
            <w:hideMark/>
          </w:tcPr>
          <w:p w14:paraId="480797D9"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6</w:t>
            </w:r>
          </w:p>
        </w:tc>
      </w:tr>
      <w:tr w:rsidR="00220EF0" w:rsidRPr="00382579" w14:paraId="43040F76" w14:textId="77777777" w:rsidTr="004F60A2">
        <w:trPr>
          <w:trHeight w:val="585"/>
        </w:trPr>
        <w:tc>
          <w:tcPr>
            <w:tcW w:w="2810" w:type="dxa"/>
            <w:tcBorders>
              <w:top w:val="nil"/>
              <w:left w:val="single" w:sz="8" w:space="0" w:color="auto"/>
              <w:bottom w:val="nil"/>
              <w:right w:val="nil"/>
            </w:tcBorders>
            <w:vAlign w:val="center"/>
            <w:hideMark/>
          </w:tcPr>
          <w:p w14:paraId="0657208F" w14:textId="77777777" w:rsidR="00220EF0" w:rsidRPr="00382579" w:rsidRDefault="00220EF0">
            <w:pPr>
              <w:rPr>
                <w:rFonts w:ascii="Calibri" w:hAnsi="Calibri" w:cs="Calibri"/>
                <w:color w:val="000000"/>
              </w:rPr>
            </w:pPr>
            <w:r w:rsidRPr="00382579">
              <w:rPr>
                <w:rFonts w:ascii="Calibri" w:hAnsi="Calibri" w:cs="Calibri"/>
                <w:color w:val="000000"/>
              </w:rPr>
              <w:t>Qualitative Research in Accounting &amp; Management</w:t>
            </w:r>
          </w:p>
        </w:tc>
        <w:tc>
          <w:tcPr>
            <w:tcW w:w="716" w:type="dxa"/>
            <w:tcBorders>
              <w:top w:val="nil"/>
              <w:left w:val="nil"/>
              <w:bottom w:val="nil"/>
              <w:right w:val="nil"/>
            </w:tcBorders>
            <w:shd w:val="clear" w:color="000000" w:fill="F2F2F2"/>
            <w:noWrap/>
            <w:vAlign w:val="center"/>
            <w:hideMark/>
          </w:tcPr>
          <w:p w14:paraId="5788C552"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506BD8C"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5EA266C5" w14:textId="77777777" w:rsidR="00220EF0" w:rsidRPr="00382579" w:rsidRDefault="00220EF0">
            <w:pPr>
              <w:jc w:val="center"/>
            </w:pPr>
          </w:p>
        </w:tc>
        <w:tc>
          <w:tcPr>
            <w:tcW w:w="636" w:type="dxa"/>
            <w:tcBorders>
              <w:top w:val="nil"/>
              <w:left w:val="nil"/>
              <w:bottom w:val="nil"/>
              <w:right w:val="nil"/>
            </w:tcBorders>
            <w:noWrap/>
            <w:vAlign w:val="center"/>
            <w:hideMark/>
          </w:tcPr>
          <w:p w14:paraId="174D7547" w14:textId="77777777" w:rsidR="00220EF0" w:rsidRPr="00382579" w:rsidRDefault="00220EF0">
            <w:pPr>
              <w:jc w:val="center"/>
            </w:pPr>
          </w:p>
        </w:tc>
        <w:tc>
          <w:tcPr>
            <w:tcW w:w="636" w:type="dxa"/>
            <w:tcBorders>
              <w:top w:val="nil"/>
              <w:left w:val="nil"/>
              <w:bottom w:val="nil"/>
              <w:right w:val="nil"/>
            </w:tcBorders>
            <w:noWrap/>
            <w:vAlign w:val="center"/>
            <w:hideMark/>
          </w:tcPr>
          <w:p w14:paraId="1198D2E1" w14:textId="77777777" w:rsidR="00220EF0" w:rsidRPr="00382579" w:rsidRDefault="00220EF0">
            <w:pPr>
              <w:jc w:val="center"/>
            </w:pPr>
          </w:p>
        </w:tc>
        <w:tc>
          <w:tcPr>
            <w:tcW w:w="1286" w:type="dxa"/>
            <w:tcBorders>
              <w:top w:val="nil"/>
              <w:left w:val="nil"/>
              <w:bottom w:val="nil"/>
              <w:right w:val="nil"/>
            </w:tcBorders>
            <w:shd w:val="clear" w:color="000000" w:fill="F2F2F2"/>
            <w:noWrap/>
            <w:vAlign w:val="center"/>
            <w:hideMark/>
          </w:tcPr>
          <w:p w14:paraId="2EDEAA0D"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2F2E83EC"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687CE5A"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2</w:t>
            </w:r>
          </w:p>
        </w:tc>
      </w:tr>
      <w:tr w:rsidR="00220EF0" w:rsidRPr="00382579" w14:paraId="4624B3A5" w14:textId="77777777" w:rsidTr="004F60A2">
        <w:trPr>
          <w:trHeight w:val="585"/>
        </w:trPr>
        <w:tc>
          <w:tcPr>
            <w:tcW w:w="2810" w:type="dxa"/>
            <w:tcBorders>
              <w:top w:val="nil"/>
              <w:left w:val="single" w:sz="8" w:space="0" w:color="auto"/>
              <w:bottom w:val="nil"/>
              <w:right w:val="nil"/>
            </w:tcBorders>
            <w:vAlign w:val="center"/>
            <w:hideMark/>
          </w:tcPr>
          <w:p w14:paraId="0DD207A0" w14:textId="77777777" w:rsidR="00220EF0" w:rsidRPr="00382579" w:rsidRDefault="00220EF0">
            <w:pPr>
              <w:rPr>
                <w:rFonts w:ascii="Calibri" w:hAnsi="Calibri" w:cs="Calibri"/>
                <w:color w:val="000000"/>
              </w:rPr>
            </w:pPr>
            <w:r w:rsidRPr="00382579">
              <w:rPr>
                <w:rFonts w:ascii="Calibri" w:hAnsi="Calibri" w:cs="Calibri"/>
                <w:color w:val="000000"/>
              </w:rPr>
              <w:t>Review of Accounting Studies</w:t>
            </w:r>
          </w:p>
        </w:tc>
        <w:tc>
          <w:tcPr>
            <w:tcW w:w="716" w:type="dxa"/>
            <w:tcBorders>
              <w:top w:val="nil"/>
              <w:left w:val="nil"/>
              <w:bottom w:val="nil"/>
              <w:right w:val="nil"/>
            </w:tcBorders>
            <w:shd w:val="clear" w:color="000000" w:fill="F2F2F2"/>
            <w:noWrap/>
            <w:vAlign w:val="center"/>
            <w:hideMark/>
          </w:tcPr>
          <w:p w14:paraId="4D7B2BDD"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94E939B"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26815E61" w14:textId="77777777" w:rsidR="00220EF0" w:rsidRPr="00382579" w:rsidRDefault="00220EF0">
            <w:pPr>
              <w:jc w:val="center"/>
            </w:pPr>
          </w:p>
        </w:tc>
        <w:tc>
          <w:tcPr>
            <w:tcW w:w="636" w:type="dxa"/>
            <w:tcBorders>
              <w:top w:val="nil"/>
              <w:left w:val="nil"/>
              <w:bottom w:val="nil"/>
              <w:right w:val="nil"/>
            </w:tcBorders>
            <w:noWrap/>
            <w:vAlign w:val="center"/>
            <w:hideMark/>
          </w:tcPr>
          <w:p w14:paraId="4C0E6423" w14:textId="77777777" w:rsidR="00220EF0" w:rsidRPr="00382579" w:rsidRDefault="00220EF0">
            <w:pPr>
              <w:jc w:val="center"/>
            </w:pPr>
          </w:p>
        </w:tc>
        <w:tc>
          <w:tcPr>
            <w:tcW w:w="636" w:type="dxa"/>
            <w:tcBorders>
              <w:top w:val="nil"/>
              <w:left w:val="nil"/>
              <w:bottom w:val="nil"/>
              <w:right w:val="nil"/>
            </w:tcBorders>
            <w:noWrap/>
            <w:vAlign w:val="center"/>
            <w:hideMark/>
          </w:tcPr>
          <w:p w14:paraId="5F2475B2"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14C4057C"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F131507"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A1A831C"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w:t>
            </w:r>
          </w:p>
        </w:tc>
      </w:tr>
      <w:tr w:rsidR="00220EF0" w:rsidRPr="00382579" w14:paraId="55B80F4D" w14:textId="77777777" w:rsidTr="004F60A2">
        <w:trPr>
          <w:trHeight w:val="300"/>
        </w:trPr>
        <w:tc>
          <w:tcPr>
            <w:tcW w:w="2810" w:type="dxa"/>
            <w:tcBorders>
              <w:top w:val="nil"/>
              <w:left w:val="single" w:sz="8" w:space="0" w:color="auto"/>
              <w:bottom w:val="nil"/>
              <w:right w:val="nil"/>
            </w:tcBorders>
            <w:vAlign w:val="center"/>
            <w:hideMark/>
          </w:tcPr>
          <w:p w14:paraId="090C9F0E" w14:textId="77777777" w:rsidR="00220EF0" w:rsidRPr="00382579" w:rsidRDefault="00220EF0">
            <w:pPr>
              <w:rPr>
                <w:rFonts w:ascii="Calibri" w:hAnsi="Calibri" w:cs="Calibri"/>
                <w:color w:val="000000"/>
              </w:rPr>
            </w:pPr>
            <w:r w:rsidRPr="00382579">
              <w:rPr>
                <w:rFonts w:ascii="Calibri" w:hAnsi="Calibri" w:cs="Calibri"/>
                <w:color w:val="000000"/>
              </w:rPr>
              <w:t>The Accounting Review</w:t>
            </w:r>
          </w:p>
        </w:tc>
        <w:tc>
          <w:tcPr>
            <w:tcW w:w="716" w:type="dxa"/>
            <w:tcBorders>
              <w:top w:val="nil"/>
              <w:left w:val="nil"/>
              <w:bottom w:val="nil"/>
              <w:right w:val="nil"/>
            </w:tcBorders>
            <w:shd w:val="clear" w:color="000000" w:fill="F2F2F2"/>
            <w:noWrap/>
            <w:vAlign w:val="center"/>
            <w:hideMark/>
          </w:tcPr>
          <w:p w14:paraId="443E94F5"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E54FAD" w14:textId="77777777" w:rsidR="00220EF0" w:rsidRPr="00382579" w:rsidRDefault="00220EF0">
            <w:pPr>
              <w:jc w:val="center"/>
              <w:rPr>
                <w:rFonts w:ascii="Calibri" w:hAnsi="Calibri" w:cs="Calibri"/>
                <w:color w:val="000000"/>
              </w:rPr>
            </w:pPr>
          </w:p>
        </w:tc>
        <w:tc>
          <w:tcPr>
            <w:tcW w:w="596" w:type="dxa"/>
            <w:tcBorders>
              <w:top w:val="nil"/>
              <w:left w:val="nil"/>
              <w:bottom w:val="nil"/>
              <w:right w:val="nil"/>
            </w:tcBorders>
            <w:noWrap/>
            <w:vAlign w:val="center"/>
            <w:hideMark/>
          </w:tcPr>
          <w:p w14:paraId="0B2E5D11" w14:textId="77777777" w:rsidR="00220EF0" w:rsidRPr="00382579" w:rsidRDefault="00220EF0">
            <w:pPr>
              <w:jc w:val="center"/>
            </w:pPr>
          </w:p>
        </w:tc>
        <w:tc>
          <w:tcPr>
            <w:tcW w:w="636" w:type="dxa"/>
            <w:tcBorders>
              <w:top w:val="nil"/>
              <w:left w:val="nil"/>
              <w:bottom w:val="nil"/>
              <w:right w:val="nil"/>
            </w:tcBorders>
            <w:noWrap/>
            <w:vAlign w:val="center"/>
            <w:hideMark/>
          </w:tcPr>
          <w:p w14:paraId="0CB51804" w14:textId="77777777" w:rsidR="00220EF0" w:rsidRPr="00382579" w:rsidRDefault="00220EF0">
            <w:pPr>
              <w:jc w:val="center"/>
            </w:pPr>
          </w:p>
        </w:tc>
        <w:tc>
          <w:tcPr>
            <w:tcW w:w="636" w:type="dxa"/>
            <w:tcBorders>
              <w:top w:val="nil"/>
              <w:left w:val="nil"/>
              <w:bottom w:val="nil"/>
              <w:right w:val="nil"/>
            </w:tcBorders>
            <w:noWrap/>
            <w:vAlign w:val="center"/>
            <w:hideMark/>
          </w:tcPr>
          <w:p w14:paraId="1A6705D5"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7D576E94"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E3A186E"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5C806C2"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w:t>
            </w:r>
          </w:p>
        </w:tc>
      </w:tr>
      <w:tr w:rsidR="00220EF0" w:rsidRPr="00382579" w14:paraId="0E37E038" w14:textId="77777777" w:rsidTr="004F60A2">
        <w:trPr>
          <w:trHeight w:val="585"/>
        </w:trPr>
        <w:tc>
          <w:tcPr>
            <w:tcW w:w="2810" w:type="dxa"/>
            <w:tcBorders>
              <w:top w:val="nil"/>
              <w:left w:val="single" w:sz="8" w:space="0" w:color="auto"/>
              <w:bottom w:val="nil"/>
              <w:right w:val="nil"/>
            </w:tcBorders>
            <w:vAlign w:val="center"/>
            <w:hideMark/>
          </w:tcPr>
          <w:p w14:paraId="112FDA1D" w14:textId="77777777" w:rsidR="00220EF0" w:rsidRPr="00382579" w:rsidRDefault="00220EF0">
            <w:pPr>
              <w:rPr>
                <w:rFonts w:ascii="Calibri" w:hAnsi="Calibri" w:cs="Calibri"/>
                <w:color w:val="000000"/>
              </w:rPr>
            </w:pPr>
            <w:r w:rsidRPr="00382579">
              <w:rPr>
                <w:rFonts w:ascii="Calibri" w:hAnsi="Calibri" w:cs="Calibri"/>
                <w:color w:val="000000"/>
              </w:rPr>
              <w:lastRenderedPageBreak/>
              <w:t>The British Accounting Review</w:t>
            </w:r>
          </w:p>
        </w:tc>
        <w:tc>
          <w:tcPr>
            <w:tcW w:w="716" w:type="dxa"/>
            <w:tcBorders>
              <w:top w:val="nil"/>
              <w:left w:val="nil"/>
              <w:bottom w:val="nil"/>
              <w:right w:val="nil"/>
            </w:tcBorders>
            <w:shd w:val="clear" w:color="000000" w:fill="F2F2F2"/>
            <w:noWrap/>
            <w:vAlign w:val="center"/>
            <w:hideMark/>
          </w:tcPr>
          <w:p w14:paraId="73CF358B" w14:textId="77777777" w:rsidR="00220EF0" w:rsidRPr="00382579" w:rsidRDefault="00220EF0">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6F45F95F"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A7CB6A8"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636" w:type="dxa"/>
            <w:tcBorders>
              <w:top w:val="nil"/>
              <w:left w:val="nil"/>
              <w:bottom w:val="nil"/>
              <w:right w:val="nil"/>
            </w:tcBorders>
            <w:noWrap/>
            <w:vAlign w:val="center"/>
            <w:hideMark/>
          </w:tcPr>
          <w:p w14:paraId="4D7842B1"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9A35D37" w14:textId="77777777" w:rsidR="00220EF0" w:rsidRPr="00382579" w:rsidRDefault="00220EF0">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B3BC373"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2EC5DCA8" w14:textId="77777777" w:rsidR="00220EF0" w:rsidRPr="00382579" w:rsidRDefault="00220EF0">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7AEF69D"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5</w:t>
            </w:r>
          </w:p>
        </w:tc>
      </w:tr>
      <w:tr w:rsidR="00220EF0" w:rsidRPr="00382579" w14:paraId="2D2494E9" w14:textId="77777777" w:rsidTr="004F60A2">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10A18F80" w14:textId="77777777" w:rsidR="00220EF0" w:rsidRPr="00382579" w:rsidRDefault="00220EF0">
            <w:pPr>
              <w:rPr>
                <w:rFonts w:ascii="Calibri" w:hAnsi="Calibri" w:cs="Calibri"/>
                <w:b/>
                <w:bCs/>
                <w:color w:val="000000"/>
              </w:rPr>
            </w:pPr>
            <w:r w:rsidRPr="00382579">
              <w:rPr>
                <w:rFonts w:ascii="Calibri" w:hAnsi="Calibri" w:cs="Calibri"/>
                <w:b/>
                <w:bCs/>
                <w:color w:val="000000"/>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210ADC19"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38AA6035"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7B39A2C6"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6D2677BE"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77CCB0ED"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02AC6C83"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2BCB8D2C"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3AF39193"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124</w:t>
            </w:r>
          </w:p>
        </w:tc>
      </w:tr>
    </w:tbl>
    <w:p w14:paraId="6F7186AF" w14:textId="77777777" w:rsidR="00220EF0" w:rsidRPr="00382579" w:rsidRDefault="00220EF0" w:rsidP="0097313B">
      <w:pPr>
        <w:jc w:val="both"/>
        <w:rPr>
          <w:i/>
          <w:iCs/>
        </w:rPr>
      </w:pPr>
      <w:r w:rsidRPr="00382579">
        <w:rPr>
          <w:b/>
          <w:bCs/>
          <w:lang w:val="en-US"/>
        </w:rPr>
        <w:t>Table 3. Distribution of empirical NFIA studies by journal outlet and jurisdiction of study</w:t>
      </w:r>
      <w:r w:rsidRPr="00382579">
        <w:br/>
      </w:r>
      <w:r w:rsidRPr="00382579">
        <w:rPr>
          <w:i/>
          <w:iCs/>
        </w:rPr>
        <w:t>Source: Author’s analysis</w:t>
      </w:r>
    </w:p>
    <w:p w14:paraId="7148D1D2" w14:textId="77777777" w:rsidR="00220EF0" w:rsidRPr="00382579" w:rsidRDefault="00220EF0" w:rsidP="0097313B">
      <w:pPr>
        <w:jc w:val="both"/>
        <w:rPr>
          <w:b/>
          <w:bCs/>
          <w:lang w:val="en-US"/>
        </w:rPr>
      </w:pPr>
    </w:p>
    <w:p w14:paraId="11A65503" w14:textId="77777777" w:rsidR="00220EF0" w:rsidRPr="006E1A9A" w:rsidRDefault="00220EF0" w:rsidP="001D291B">
      <w:pPr>
        <w:widowControl w:val="0"/>
        <w:spacing w:line="480" w:lineRule="auto"/>
        <w:ind w:firstLine="420"/>
        <w:jc w:val="both"/>
      </w:pPr>
      <w:r w:rsidRPr="006E1A9A">
        <w:t>Table 3 summari</w:t>
      </w:r>
      <w:r>
        <w:t>s</w:t>
      </w:r>
      <w:r w:rsidRPr="006E1A9A">
        <w:t xml:space="preserve">es the journal and jurisdictional distribution of NFIA studies, revealing high concentration among a few key outlets. </w:t>
      </w:r>
      <w:r w:rsidRPr="006E1A9A">
        <w:rPr>
          <w:i/>
          <w:iCs/>
        </w:rPr>
        <w:t>Financial Accountability &amp; Management</w:t>
      </w:r>
      <w:r w:rsidRPr="006E1A9A">
        <w:t xml:space="preserve">, </w:t>
      </w:r>
      <w:r w:rsidRPr="006E1A9A">
        <w:rPr>
          <w:i/>
          <w:iCs/>
        </w:rPr>
        <w:t>AAAJ</w:t>
      </w:r>
      <w:r w:rsidRPr="006E1A9A">
        <w:t xml:space="preserve">, </w:t>
      </w:r>
      <w:r w:rsidRPr="006E1A9A">
        <w:rPr>
          <w:i/>
          <w:iCs/>
        </w:rPr>
        <w:t>Journal of Business Ethics</w:t>
      </w:r>
      <w:r w:rsidRPr="006E1A9A">
        <w:t xml:space="preserve">, and </w:t>
      </w:r>
      <w:r w:rsidRPr="006E1A9A">
        <w:rPr>
          <w:i/>
          <w:iCs/>
        </w:rPr>
        <w:t>International Journal of Auditing</w:t>
      </w:r>
      <w:r w:rsidRPr="006E1A9A">
        <w:t xml:space="preserve"> dominate the corpus. This concentration underscores these journals’ established leadership in public-sector accountability and sustainability governance.</w:t>
      </w:r>
    </w:p>
    <w:p w14:paraId="351800F9" w14:textId="77777777" w:rsidR="00220EF0" w:rsidRDefault="00220EF0" w:rsidP="001D291B">
      <w:pPr>
        <w:widowControl w:val="0"/>
        <w:spacing w:line="480" w:lineRule="auto"/>
        <w:ind w:firstLine="420"/>
        <w:jc w:val="both"/>
      </w:pPr>
      <w:r w:rsidRPr="00153742">
        <w:t xml:space="preserve">Geographically, Australia is a dominant empirical setting in this corpus, surpassing the UK; this concentration is consistent with the prominence of performance audit within Australian public-sector accountability research (Guthrie &amp; Parker, 1999; </w:t>
      </w:r>
      <w:r w:rsidRPr="00D611A0">
        <w:t>Parker, Jacobs and Schmitz, 2019</w:t>
      </w:r>
      <w:r w:rsidRPr="00153742">
        <w:t>)</w:t>
      </w:r>
      <w:r>
        <w:t xml:space="preserve"> </w:t>
      </w:r>
      <w:r w:rsidRPr="006E1A9A">
        <w:t>Developed European contexts (e.g., France and Germany) drive a large share of research centered on carbon and public-sector audits. Notably, China has emerged as a distinct cluster, with ten studies focused exclusively on CSR and sustainability assurance.</w:t>
      </w:r>
    </w:p>
    <w:p w14:paraId="74EA22BA" w14:textId="77777777" w:rsidR="00220EF0" w:rsidRPr="006E1A9A" w:rsidRDefault="00220EF0" w:rsidP="001D291B">
      <w:pPr>
        <w:widowControl w:val="0"/>
        <w:spacing w:line="480" w:lineRule="auto"/>
        <w:ind w:firstLine="420"/>
        <w:jc w:val="both"/>
      </w:pPr>
    </w:p>
    <w:tbl>
      <w:tblPr>
        <w:tblW w:w="8960" w:type="dxa"/>
        <w:tblLook w:val="04A0" w:firstRow="1" w:lastRow="0" w:firstColumn="1" w:lastColumn="0" w:noHBand="0" w:noVBand="1"/>
      </w:tblPr>
      <w:tblGrid>
        <w:gridCol w:w="2671"/>
        <w:gridCol w:w="1565"/>
        <w:gridCol w:w="1504"/>
        <w:gridCol w:w="1420"/>
        <w:gridCol w:w="820"/>
        <w:gridCol w:w="980"/>
      </w:tblGrid>
      <w:tr w:rsidR="00220EF0" w:rsidRPr="00382579" w14:paraId="316A2350" w14:textId="77777777" w:rsidTr="003B362A">
        <w:trPr>
          <w:trHeight w:val="585"/>
        </w:trPr>
        <w:tc>
          <w:tcPr>
            <w:tcW w:w="2671" w:type="dxa"/>
            <w:tcBorders>
              <w:top w:val="single" w:sz="8" w:space="0" w:color="auto"/>
              <w:left w:val="single" w:sz="8" w:space="0" w:color="auto"/>
              <w:bottom w:val="single" w:sz="4" w:space="0" w:color="9BC2E6"/>
              <w:right w:val="nil"/>
            </w:tcBorders>
            <w:shd w:val="clear" w:color="DDEBF7" w:fill="BFBFBF"/>
            <w:vAlign w:val="center"/>
            <w:hideMark/>
          </w:tcPr>
          <w:p w14:paraId="55432458" w14:textId="77777777" w:rsidR="00220EF0" w:rsidRPr="00382579" w:rsidRDefault="00220EF0">
            <w:pPr>
              <w:rPr>
                <w:rFonts w:ascii="Calibri" w:hAnsi="Calibri" w:cs="Calibri"/>
                <w:b/>
                <w:bCs/>
                <w:color w:val="000000"/>
              </w:rPr>
            </w:pPr>
            <w:r w:rsidRPr="00382579">
              <w:rPr>
                <w:rFonts w:ascii="Calibri" w:hAnsi="Calibri" w:cs="Calibri"/>
                <w:b/>
                <w:bCs/>
                <w:color w:val="000000"/>
              </w:rPr>
              <w:t>Main Research Method / Subject Domains</w:t>
            </w:r>
          </w:p>
        </w:tc>
        <w:tc>
          <w:tcPr>
            <w:tcW w:w="1565" w:type="dxa"/>
            <w:tcBorders>
              <w:top w:val="single" w:sz="8" w:space="0" w:color="auto"/>
              <w:left w:val="nil"/>
              <w:bottom w:val="single" w:sz="4" w:space="0" w:color="9BC2E6"/>
              <w:right w:val="nil"/>
            </w:tcBorders>
            <w:shd w:val="clear" w:color="DDEBF7" w:fill="BFBFBF"/>
            <w:vAlign w:val="center"/>
            <w:hideMark/>
          </w:tcPr>
          <w:p w14:paraId="0BD617AB"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CSR/ESG/ Sustainability</w:t>
            </w:r>
          </w:p>
        </w:tc>
        <w:tc>
          <w:tcPr>
            <w:tcW w:w="1504" w:type="dxa"/>
            <w:tcBorders>
              <w:top w:val="single" w:sz="8" w:space="0" w:color="auto"/>
              <w:left w:val="nil"/>
              <w:bottom w:val="single" w:sz="4" w:space="0" w:color="9BC2E6"/>
              <w:right w:val="nil"/>
            </w:tcBorders>
            <w:shd w:val="clear" w:color="DDEBF7" w:fill="BFBFBF"/>
            <w:vAlign w:val="center"/>
            <w:hideMark/>
          </w:tcPr>
          <w:p w14:paraId="2F56AA7A"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2AD6DC5E"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0FD0D805"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59FBF16F"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Total</w:t>
            </w:r>
          </w:p>
        </w:tc>
      </w:tr>
      <w:tr w:rsidR="00220EF0" w:rsidRPr="00382579" w14:paraId="43D5A204" w14:textId="77777777" w:rsidTr="003B362A">
        <w:trPr>
          <w:trHeight w:val="300"/>
        </w:trPr>
        <w:tc>
          <w:tcPr>
            <w:tcW w:w="2671" w:type="dxa"/>
            <w:tcBorders>
              <w:top w:val="nil"/>
              <w:left w:val="single" w:sz="8" w:space="0" w:color="auto"/>
              <w:bottom w:val="nil"/>
              <w:right w:val="nil"/>
            </w:tcBorders>
            <w:vAlign w:val="bottom"/>
            <w:hideMark/>
          </w:tcPr>
          <w:p w14:paraId="4FD994CB" w14:textId="77777777" w:rsidR="00220EF0" w:rsidRPr="00382579" w:rsidRDefault="00220EF0">
            <w:pPr>
              <w:rPr>
                <w:rFonts w:ascii="Calibri" w:hAnsi="Calibri" w:cs="Calibri"/>
                <w:color w:val="000000"/>
              </w:rPr>
            </w:pPr>
            <w:r w:rsidRPr="00382579">
              <w:rPr>
                <w:rFonts w:ascii="Calibri" w:hAnsi="Calibri" w:cs="Calibri"/>
                <w:color w:val="000000"/>
              </w:rPr>
              <w:t>Archival / statistical analysis</w:t>
            </w:r>
          </w:p>
        </w:tc>
        <w:tc>
          <w:tcPr>
            <w:tcW w:w="1565" w:type="dxa"/>
            <w:tcBorders>
              <w:top w:val="nil"/>
              <w:left w:val="nil"/>
              <w:bottom w:val="nil"/>
              <w:right w:val="nil"/>
            </w:tcBorders>
            <w:shd w:val="clear" w:color="000000" w:fill="D9D9D9"/>
            <w:noWrap/>
            <w:vAlign w:val="center"/>
            <w:hideMark/>
          </w:tcPr>
          <w:p w14:paraId="692E1CB1" w14:textId="77777777" w:rsidR="00220EF0" w:rsidRPr="00382579" w:rsidRDefault="00220EF0">
            <w:pPr>
              <w:jc w:val="center"/>
              <w:rPr>
                <w:rFonts w:ascii="Calibri" w:hAnsi="Calibri" w:cs="Calibri"/>
                <w:color w:val="000000"/>
              </w:rPr>
            </w:pPr>
            <w:r w:rsidRPr="00382579">
              <w:rPr>
                <w:rFonts w:ascii="Calibri" w:hAnsi="Calibri" w:cs="Calibri"/>
                <w:color w:val="000000"/>
              </w:rPr>
              <w:t>33</w:t>
            </w:r>
          </w:p>
        </w:tc>
        <w:tc>
          <w:tcPr>
            <w:tcW w:w="1504" w:type="dxa"/>
            <w:tcBorders>
              <w:top w:val="nil"/>
              <w:left w:val="nil"/>
              <w:bottom w:val="nil"/>
              <w:right w:val="nil"/>
            </w:tcBorders>
            <w:noWrap/>
            <w:vAlign w:val="center"/>
            <w:hideMark/>
          </w:tcPr>
          <w:p w14:paraId="290F9030" w14:textId="77777777" w:rsidR="00220EF0" w:rsidRPr="00382579" w:rsidRDefault="00220EF0">
            <w:pPr>
              <w:jc w:val="center"/>
              <w:rPr>
                <w:rFonts w:ascii="Calibri" w:hAnsi="Calibri" w:cs="Calibri"/>
                <w:color w:val="000000"/>
              </w:rPr>
            </w:pPr>
            <w:r w:rsidRPr="00382579">
              <w:rPr>
                <w:rFonts w:ascii="Calibri" w:hAnsi="Calibri" w:cs="Calibri"/>
                <w:color w:val="000000"/>
              </w:rPr>
              <w:t>3</w:t>
            </w:r>
          </w:p>
        </w:tc>
        <w:tc>
          <w:tcPr>
            <w:tcW w:w="1420" w:type="dxa"/>
            <w:tcBorders>
              <w:top w:val="nil"/>
              <w:left w:val="nil"/>
              <w:bottom w:val="nil"/>
              <w:right w:val="nil"/>
            </w:tcBorders>
            <w:noWrap/>
            <w:vAlign w:val="center"/>
            <w:hideMark/>
          </w:tcPr>
          <w:p w14:paraId="551B4BC4" w14:textId="77777777" w:rsidR="00220EF0" w:rsidRPr="00382579" w:rsidRDefault="00220EF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13367F3D" w14:textId="77777777" w:rsidR="00220EF0" w:rsidRPr="00382579" w:rsidRDefault="00220EF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2CBC0341"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39</w:t>
            </w:r>
          </w:p>
        </w:tc>
      </w:tr>
      <w:tr w:rsidR="00220EF0" w:rsidRPr="00382579" w14:paraId="03C3FF0F" w14:textId="77777777" w:rsidTr="003B362A">
        <w:trPr>
          <w:trHeight w:val="300"/>
        </w:trPr>
        <w:tc>
          <w:tcPr>
            <w:tcW w:w="2671" w:type="dxa"/>
            <w:tcBorders>
              <w:top w:val="nil"/>
              <w:left w:val="single" w:sz="8" w:space="0" w:color="auto"/>
              <w:bottom w:val="nil"/>
              <w:right w:val="nil"/>
            </w:tcBorders>
            <w:vAlign w:val="bottom"/>
            <w:hideMark/>
          </w:tcPr>
          <w:p w14:paraId="75B53F47" w14:textId="77777777" w:rsidR="00220EF0" w:rsidRPr="00382579" w:rsidRDefault="00220EF0">
            <w:pPr>
              <w:rPr>
                <w:rFonts w:ascii="Calibri" w:hAnsi="Calibri" w:cs="Calibri"/>
                <w:color w:val="000000"/>
              </w:rPr>
            </w:pPr>
            <w:r w:rsidRPr="00382579">
              <w:rPr>
                <w:rFonts w:ascii="Calibri" w:hAnsi="Calibri" w:cs="Calibri"/>
                <w:color w:val="000000"/>
              </w:rPr>
              <w:t>Case study</w:t>
            </w:r>
          </w:p>
        </w:tc>
        <w:tc>
          <w:tcPr>
            <w:tcW w:w="1565" w:type="dxa"/>
            <w:tcBorders>
              <w:top w:val="nil"/>
              <w:left w:val="nil"/>
              <w:bottom w:val="nil"/>
              <w:right w:val="nil"/>
            </w:tcBorders>
            <w:shd w:val="clear" w:color="000000" w:fill="D9D9D9"/>
            <w:noWrap/>
            <w:vAlign w:val="center"/>
            <w:hideMark/>
          </w:tcPr>
          <w:p w14:paraId="4549801A" w14:textId="77777777" w:rsidR="00220EF0" w:rsidRPr="00382579" w:rsidRDefault="00220EF0">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shd w:val="clear" w:color="000000" w:fill="D9D9D9"/>
            <w:noWrap/>
            <w:vAlign w:val="center"/>
            <w:hideMark/>
          </w:tcPr>
          <w:p w14:paraId="2FC44248" w14:textId="77777777" w:rsidR="00220EF0" w:rsidRPr="00382579" w:rsidRDefault="00220EF0">
            <w:pPr>
              <w:jc w:val="center"/>
              <w:rPr>
                <w:rFonts w:ascii="Calibri" w:hAnsi="Calibri" w:cs="Calibri"/>
                <w:color w:val="000000"/>
              </w:rPr>
            </w:pPr>
            <w:r w:rsidRPr="00382579">
              <w:rPr>
                <w:rFonts w:ascii="Calibri" w:hAnsi="Calibri" w:cs="Calibri"/>
                <w:color w:val="000000"/>
              </w:rPr>
              <w:t>11</w:t>
            </w:r>
          </w:p>
        </w:tc>
        <w:tc>
          <w:tcPr>
            <w:tcW w:w="1420" w:type="dxa"/>
            <w:tcBorders>
              <w:top w:val="nil"/>
              <w:left w:val="nil"/>
              <w:bottom w:val="nil"/>
              <w:right w:val="nil"/>
            </w:tcBorders>
            <w:noWrap/>
            <w:vAlign w:val="center"/>
            <w:hideMark/>
          </w:tcPr>
          <w:p w14:paraId="172FA005" w14:textId="77777777" w:rsidR="00220EF0" w:rsidRPr="00382579" w:rsidRDefault="00220EF0">
            <w:pPr>
              <w:jc w:val="center"/>
              <w:rPr>
                <w:rFonts w:ascii="Calibri" w:hAnsi="Calibri" w:cs="Calibri"/>
                <w:color w:val="000000"/>
              </w:rPr>
            </w:pPr>
          </w:p>
        </w:tc>
        <w:tc>
          <w:tcPr>
            <w:tcW w:w="820" w:type="dxa"/>
            <w:tcBorders>
              <w:top w:val="nil"/>
              <w:left w:val="nil"/>
              <w:bottom w:val="nil"/>
              <w:right w:val="nil"/>
            </w:tcBorders>
            <w:noWrap/>
            <w:vAlign w:val="center"/>
            <w:hideMark/>
          </w:tcPr>
          <w:p w14:paraId="191AADD2"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980" w:type="dxa"/>
            <w:tcBorders>
              <w:top w:val="nil"/>
              <w:left w:val="nil"/>
              <w:bottom w:val="nil"/>
              <w:right w:val="single" w:sz="8" w:space="0" w:color="auto"/>
            </w:tcBorders>
            <w:noWrap/>
            <w:vAlign w:val="center"/>
            <w:hideMark/>
          </w:tcPr>
          <w:p w14:paraId="2F8B0823"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20</w:t>
            </w:r>
          </w:p>
        </w:tc>
      </w:tr>
      <w:tr w:rsidR="00220EF0" w:rsidRPr="00382579" w14:paraId="4CF68897" w14:textId="77777777" w:rsidTr="003B362A">
        <w:trPr>
          <w:trHeight w:val="300"/>
        </w:trPr>
        <w:tc>
          <w:tcPr>
            <w:tcW w:w="2671" w:type="dxa"/>
            <w:tcBorders>
              <w:top w:val="nil"/>
              <w:left w:val="single" w:sz="8" w:space="0" w:color="auto"/>
              <w:bottom w:val="nil"/>
              <w:right w:val="nil"/>
            </w:tcBorders>
            <w:vAlign w:val="bottom"/>
            <w:hideMark/>
          </w:tcPr>
          <w:p w14:paraId="111C9BD9" w14:textId="77777777" w:rsidR="00220EF0" w:rsidRPr="00382579" w:rsidRDefault="00220EF0">
            <w:pPr>
              <w:rPr>
                <w:rFonts w:ascii="Calibri" w:hAnsi="Calibri" w:cs="Calibri"/>
                <w:color w:val="000000"/>
              </w:rPr>
            </w:pPr>
            <w:r w:rsidRPr="00382579">
              <w:rPr>
                <w:rFonts w:ascii="Calibri" w:hAnsi="Calibri" w:cs="Calibri"/>
                <w:color w:val="000000"/>
              </w:rPr>
              <w:lastRenderedPageBreak/>
              <w:t>Discourse / content analysis</w:t>
            </w:r>
          </w:p>
        </w:tc>
        <w:tc>
          <w:tcPr>
            <w:tcW w:w="1565" w:type="dxa"/>
            <w:tcBorders>
              <w:top w:val="nil"/>
              <w:left w:val="nil"/>
              <w:bottom w:val="nil"/>
              <w:right w:val="nil"/>
            </w:tcBorders>
            <w:noWrap/>
            <w:vAlign w:val="center"/>
            <w:hideMark/>
          </w:tcPr>
          <w:p w14:paraId="11938C8E" w14:textId="77777777" w:rsidR="00220EF0" w:rsidRPr="00382579" w:rsidRDefault="00220EF0">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6483EA51"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420" w:type="dxa"/>
            <w:tcBorders>
              <w:top w:val="nil"/>
              <w:left w:val="nil"/>
              <w:bottom w:val="nil"/>
              <w:right w:val="nil"/>
            </w:tcBorders>
            <w:noWrap/>
            <w:vAlign w:val="center"/>
            <w:hideMark/>
          </w:tcPr>
          <w:p w14:paraId="33C11140" w14:textId="77777777" w:rsidR="00220EF0" w:rsidRPr="00382579" w:rsidRDefault="00220EF0">
            <w:pPr>
              <w:jc w:val="center"/>
              <w:rPr>
                <w:rFonts w:ascii="Calibri" w:hAnsi="Calibri" w:cs="Calibri"/>
                <w:color w:val="000000"/>
              </w:rPr>
            </w:pPr>
          </w:p>
        </w:tc>
        <w:tc>
          <w:tcPr>
            <w:tcW w:w="820" w:type="dxa"/>
            <w:tcBorders>
              <w:top w:val="nil"/>
              <w:left w:val="nil"/>
              <w:bottom w:val="nil"/>
              <w:right w:val="nil"/>
            </w:tcBorders>
            <w:noWrap/>
            <w:vAlign w:val="center"/>
            <w:hideMark/>
          </w:tcPr>
          <w:p w14:paraId="10BF8657" w14:textId="77777777" w:rsidR="00220EF0" w:rsidRPr="00382579" w:rsidRDefault="00220EF0">
            <w:pPr>
              <w:jc w:val="center"/>
            </w:pPr>
          </w:p>
        </w:tc>
        <w:tc>
          <w:tcPr>
            <w:tcW w:w="980" w:type="dxa"/>
            <w:tcBorders>
              <w:top w:val="nil"/>
              <w:left w:val="nil"/>
              <w:bottom w:val="nil"/>
              <w:right w:val="single" w:sz="8" w:space="0" w:color="auto"/>
            </w:tcBorders>
            <w:noWrap/>
            <w:vAlign w:val="center"/>
            <w:hideMark/>
          </w:tcPr>
          <w:p w14:paraId="1E917307"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6</w:t>
            </w:r>
          </w:p>
        </w:tc>
      </w:tr>
      <w:tr w:rsidR="00220EF0" w:rsidRPr="00382579" w14:paraId="359CFB34" w14:textId="77777777" w:rsidTr="003B362A">
        <w:trPr>
          <w:trHeight w:val="300"/>
        </w:trPr>
        <w:tc>
          <w:tcPr>
            <w:tcW w:w="2671" w:type="dxa"/>
            <w:tcBorders>
              <w:top w:val="nil"/>
              <w:left w:val="single" w:sz="8" w:space="0" w:color="auto"/>
              <w:bottom w:val="nil"/>
              <w:right w:val="nil"/>
            </w:tcBorders>
            <w:vAlign w:val="bottom"/>
            <w:hideMark/>
          </w:tcPr>
          <w:p w14:paraId="28E2F9C6" w14:textId="77777777" w:rsidR="00220EF0" w:rsidRPr="00382579" w:rsidRDefault="00220EF0">
            <w:pPr>
              <w:rPr>
                <w:rFonts w:ascii="Calibri" w:hAnsi="Calibri" w:cs="Calibri"/>
                <w:color w:val="000000"/>
              </w:rPr>
            </w:pPr>
            <w:r w:rsidRPr="00382579">
              <w:rPr>
                <w:rFonts w:ascii="Calibri" w:hAnsi="Calibri" w:cs="Calibri"/>
                <w:color w:val="000000"/>
              </w:rPr>
              <w:t>Document / textual analysis</w:t>
            </w:r>
          </w:p>
        </w:tc>
        <w:tc>
          <w:tcPr>
            <w:tcW w:w="1565" w:type="dxa"/>
            <w:tcBorders>
              <w:top w:val="nil"/>
              <w:left w:val="nil"/>
              <w:bottom w:val="nil"/>
              <w:right w:val="nil"/>
            </w:tcBorders>
            <w:noWrap/>
            <w:vAlign w:val="center"/>
            <w:hideMark/>
          </w:tcPr>
          <w:p w14:paraId="2694F081" w14:textId="77777777" w:rsidR="00220EF0" w:rsidRPr="00382579" w:rsidRDefault="00220EF0">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3ADB5AF5" w14:textId="77777777" w:rsidR="00220EF0" w:rsidRPr="00382579" w:rsidRDefault="00220EF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0C3D3788" w14:textId="77777777" w:rsidR="00220EF0" w:rsidRPr="00382579" w:rsidRDefault="00220EF0">
            <w:pPr>
              <w:jc w:val="center"/>
              <w:rPr>
                <w:rFonts w:ascii="Calibri" w:hAnsi="Calibri" w:cs="Calibri"/>
                <w:color w:val="000000"/>
              </w:rPr>
            </w:pPr>
          </w:p>
        </w:tc>
        <w:tc>
          <w:tcPr>
            <w:tcW w:w="820" w:type="dxa"/>
            <w:tcBorders>
              <w:top w:val="nil"/>
              <w:left w:val="nil"/>
              <w:bottom w:val="nil"/>
              <w:right w:val="nil"/>
            </w:tcBorders>
            <w:noWrap/>
            <w:vAlign w:val="center"/>
            <w:hideMark/>
          </w:tcPr>
          <w:p w14:paraId="23881DAC" w14:textId="77777777" w:rsidR="00220EF0" w:rsidRPr="00382579" w:rsidRDefault="00220EF0">
            <w:pPr>
              <w:jc w:val="center"/>
            </w:pPr>
          </w:p>
        </w:tc>
        <w:tc>
          <w:tcPr>
            <w:tcW w:w="980" w:type="dxa"/>
            <w:tcBorders>
              <w:top w:val="nil"/>
              <w:left w:val="nil"/>
              <w:bottom w:val="nil"/>
              <w:right w:val="single" w:sz="8" w:space="0" w:color="auto"/>
            </w:tcBorders>
            <w:noWrap/>
            <w:vAlign w:val="center"/>
            <w:hideMark/>
          </w:tcPr>
          <w:p w14:paraId="37E70AFA"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11</w:t>
            </w:r>
          </w:p>
        </w:tc>
      </w:tr>
      <w:tr w:rsidR="00220EF0" w:rsidRPr="00382579" w14:paraId="012D4BE5" w14:textId="77777777" w:rsidTr="003B362A">
        <w:trPr>
          <w:trHeight w:val="600"/>
        </w:trPr>
        <w:tc>
          <w:tcPr>
            <w:tcW w:w="2671" w:type="dxa"/>
            <w:tcBorders>
              <w:top w:val="nil"/>
              <w:left w:val="single" w:sz="8" w:space="0" w:color="auto"/>
              <w:bottom w:val="nil"/>
              <w:right w:val="nil"/>
            </w:tcBorders>
            <w:vAlign w:val="bottom"/>
            <w:hideMark/>
          </w:tcPr>
          <w:p w14:paraId="625DC052" w14:textId="77777777" w:rsidR="00220EF0" w:rsidRPr="00382579" w:rsidRDefault="00220EF0">
            <w:pPr>
              <w:rPr>
                <w:rFonts w:ascii="Calibri" w:hAnsi="Calibri" w:cs="Calibri"/>
                <w:color w:val="000000"/>
              </w:rPr>
            </w:pPr>
            <w:r w:rsidRPr="00382579">
              <w:rPr>
                <w:rFonts w:ascii="Calibri" w:hAnsi="Calibri" w:cs="Calibri"/>
                <w:color w:val="000000"/>
              </w:rPr>
              <w:t>Experimental / quasi-experimental</w:t>
            </w:r>
          </w:p>
        </w:tc>
        <w:tc>
          <w:tcPr>
            <w:tcW w:w="1565" w:type="dxa"/>
            <w:tcBorders>
              <w:top w:val="nil"/>
              <w:left w:val="nil"/>
              <w:bottom w:val="nil"/>
              <w:right w:val="nil"/>
            </w:tcBorders>
            <w:shd w:val="clear" w:color="000000" w:fill="D9D9D9"/>
            <w:noWrap/>
            <w:vAlign w:val="center"/>
            <w:hideMark/>
          </w:tcPr>
          <w:p w14:paraId="41A8001A" w14:textId="77777777" w:rsidR="00220EF0" w:rsidRPr="00382579" w:rsidRDefault="00220EF0">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noWrap/>
            <w:vAlign w:val="center"/>
            <w:hideMark/>
          </w:tcPr>
          <w:p w14:paraId="6518B804" w14:textId="77777777" w:rsidR="00220EF0" w:rsidRPr="00382579" w:rsidRDefault="00220EF0">
            <w:pPr>
              <w:jc w:val="center"/>
              <w:rPr>
                <w:rFonts w:ascii="Calibri" w:hAnsi="Calibri" w:cs="Calibri"/>
                <w:color w:val="000000"/>
              </w:rPr>
            </w:pPr>
          </w:p>
        </w:tc>
        <w:tc>
          <w:tcPr>
            <w:tcW w:w="1420" w:type="dxa"/>
            <w:tcBorders>
              <w:top w:val="nil"/>
              <w:left w:val="nil"/>
              <w:bottom w:val="nil"/>
              <w:right w:val="nil"/>
            </w:tcBorders>
            <w:noWrap/>
            <w:vAlign w:val="center"/>
            <w:hideMark/>
          </w:tcPr>
          <w:p w14:paraId="005851BD" w14:textId="77777777" w:rsidR="00220EF0" w:rsidRPr="00382579" w:rsidRDefault="00220EF0">
            <w:pPr>
              <w:jc w:val="center"/>
              <w:rPr>
                <w:rFonts w:ascii="Calibri" w:hAnsi="Calibri" w:cs="Calibri"/>
                <w:color w:val="000000"/>
              </w:rPr>
            </w:pPr>
            <w:r w:rsidRPr="00382579">
              <w:rPr>
                <w:rFonts w:ascii="Calibri" w:hAnsi="Calibri" w:cs="Calibri"/>
                <w:color w:val="000000"/>
              </w:rPr>
              <w:t>2</w:t>
            </w:r>
          </w:p>
        </w:tc>
        <w:tc>
          <w:tcPr>
            <w:tcW w:w="820" w:type="dxa"/>
            <w:tcBorders>
              <w:top w:val="nil"/>
              <w:left w:val="nil"/>
              <w:bottom w:val="nil"/>
              <w:right w:val="nil"/>
            </w:tcBorders>
            <w:noWrap/>
            <w:vAlign w:val="center"/>
            <w:hideMark/>
          </w:tcPr>
          <w:p w14:paraId="574482CB"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7A5A9C5B"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12</w:t>
            </w:r>
          </w:p>
        </w:tc>
      </w:tr>
      <w:tr w:rsidR="00220EF0" w:rsidRPr="00382579" w14:paraId="08986BF5" w14:textId="77777777" w:rsidTr="003B362A">
        <w:trPr>
          <w:trHeight w:val="300"/>
        </w:trPr>
        <w:tc>
          <w:tcPr>
            <w:tcW w:w="2671" w:type="dxa"/>
            <w:tcBorders>
              <w:top w:val="nil"/>
              <w:left w:val="single" w:sz="8" w:space="0" w:color="auto"/>
              <w:bottom w:val="nil"/>
              <w:right w:val="nil"/>
            </w:tcBorders>
            <w:vAlign w:val="bottom"/>
            <w:hideMark/>
          </w:tcPr>
          <w:p w14:paraId="41C534FB" w14:textId="77777777" w:rsidR="00220EF0" w:rsidRPr="00382579" w:rsidRDefault="00220EF0">
            <w:pPr>
              <w:rPr>
                <w:rFonts w:ascii="Calibri" w:hAnsi="Calibri" w:cs="Calibri"/>
                <w:color w:val="000000"/>
              </w:rPr>
            </w:pPr>
            <w:r w:rsidRPr="00382579">
              <w:rPr>
                <w:rFonts w:ascii="Calibri" w:hAnsi="Calibri" w:cs="Calibri"/>
                <w:color w:val="000000"/>
              </w:rPr>
              <w:t>Interview study</w:t>
            </w:r>
          </w:p>
        </w:tc>
        <w:tc>
          <w:tcPr>
            <w:tcW w:w="1565" w:type="dxa"/>
            <w:tcBorders>
              <w:top w:val="nil"/>
              <w:left w:val="nil"/>
              <w:bottom w:val="nil"/>
              <w:right w:val="nil"/>
            </w:tcBorders>
            <w:shd w:val="clear" w:color="000000" w:fill="D9D9D9"/>
            <w:noWrap/>
            <w:vAlign w:val="center"/>
            <w:hideMark/>
          </w:tcPr>
          <w:p w14:paraId="458E6224" w14:textId="77777777" w:rsidR="00220EF0" w:rsidRPr="00382579" w:rsidRDefault="00220EF0">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shd w:val="clear" w:color="000000" w:fill="D9D9D9"/>
            <w:noWrap/>
            <w:vAlign w:val="center"/>
            <w:hideMark/>
          </w:tcPr>
          <w:p w14:paraId="0257E609" w14:textId="77777777" w:rsidR="00220EF0" w:rsidRPr="00382579" w:rsidRDefault="00220EF0">
            <w:pPr>
              <w:jc w:val="center"/>
              <w:rPr>
                <w:rFonts w:ascii="Calibri" w:hAnsi="Calibri" w:cs="Calibri"/>
                <w:color w:val="000000"/>
              </w:rPr>
            </w:pPr>
            <w:r w:rsidRPr="00382579">
              <w:rPr>
                <w:rFonts w:ascii="Calibri" w:hAnsi="Calibri" w:cs="Calibri"/>
                <w:color w:val="000000"/>
              </w:rPr>
              <w:t>9</w:t>
            </w:r>
          </w:p>
        </w:tc>
        <w:tc>
          <w:tcPr>
            <w:tcW w:w="1420" w:type="dxa"/>
            <w:tcBorders>
              <w:top w:val="nil"/>
              <w:left w:val="nil"/>
              <w:bottom w:val="nil"/>
              <w:right w:val="nil"/>
            </w:tcBorders>
            <w:noWrap/>
            <w:vAlign w:val="center"/>
            <w:hideMark/>
          </w:tcPr>
          <w:p w14:paraId="01208A6A" w14:textId="77777777" w:rsidR="00220EF0" w:rsidRPr="00382579" w:rsidRDefault="00220EF0">
            <w:pPr>
              <w:jc w:val="center"/>
              <w:rPr>
                <w:rFonts w:ascii="Calibri" w:hAnsi="Calibri" w:cs="Calibri"/>
                <w:color w:val="000000"/>
              </w:rPr>
            </w:pPr>
          </w:p>
        </w:tc>
        <w:tc>
          <w:tcPr>
            <w:tcW w:w="820" w:type="dxa"/>
            <w:tcBorders>
              <w:top w:val="nil"/>
              <w:left w:val="nil"/>
              <w:bottom w:val="nil"/>
              <w:right w:val="nil"/>
            </w:tcBorders>
            <w:noWrap/>
            <w:vAlign w:val="center"/>
            <w:hideMark/>
          </w:tcPr>
          <w:p w14:paraId="586ABF41"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1237FAAD"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19</w:t>
            </w:r>
          </w:p>
        </w:tc>
      </w:tr>
      <w:tr w:rsidR="00220EF0" w:rsidRPr="00382579" w14:paraId="255127F3" w14:textId="77777777" w:rsidTr="003B362A">
        <w:trPr>
          <w:trHeight w:val="300"/>
        </w:trPr>
        <w:tc>
          <w:tcPr>
            <w:tcW w:w="2671" w:type="dxa"/>
            <w:tcBorders>
              <w:top w:val="nil"/>
              <w:left w:val="single" w:sz="8" w:space="0" w:color="auto"/>
              <w:bottom w:val="nil"/>
              <w:right w:val="nil"/>
            </w:tcBorders>
            <w:vAlign w:val="bottom"/>
            <w:hideMark/>
          </w:tcPr>
          <w:p w14:paraId="5A7256D1" w14:textId="77777777" w:rsidR="00220EF0" w:rsidRPr="00382579" w:rsidRDefault="00220EF0">
            <w:pPr>
              <w:rPr>
                <w:rFonts w:ascii="Calibri" w:hAnsi="Calibri" w:cs="Calibri"/>
                <w:color w:val="000000"/>
              </w:rPr>
            </w:pPr>
            <w:r w:rsidRPr="00382579">
              <w:rPr>
                <w:rFonts w:ascii="Calibri" w:hAnsi="Calibri" w:cs="Calibri"/>
                <w:color w:val="000000"/>
              </w:rPr>
              <w:t>Participant observation</w:t>
            </w:r>
          </w:p>
        </w:tc>
        <w:tc>
          <w:tcPr>
            <w:tcW w:w="1565" w:type="dxa"/>
            <w:tcBorders>
              <w:top w:val="nil"/>
              <w:left w:val="nil"/>
              <w:bottom w:val="nil"/>
              <w:right w:val="nil"/>
            </w:tcBorders>
            <w:noWrap/>
            <w:vAlign w:val="center"/>
            <w:hideMark/>
          </w:tcPr>
          <w:p w14:paraId="6F796E55" w14:textId="77777777" w:rsidR="00220EF0" w:rsidRPr="00382579" w:rsidRDefault="00220EF0">
            <w:pPr>
              <w:jc w:val="center"/>
              <w:rPr>
                <w:rFonts w:ascii="Calibri" w:hAnsi="Calibri" w:cs="Calibri"/>
                <w:color w:val="000000"/>
              </w:rPr>
            </w:pPr>
            <w:r w:rsidRPr="00382579">
              <w:rPr>
                <w:rFonts w:ascii="Calibri" w:hAnsi="Calibri" w:cs="Calibri"/>
                <w:color w:val="000000"/>
              </w:rPr>
              <w:t>1</w:t>
            </w:r>
          </w:p>
        </w:tc>
        <w:tc>
          <w:tcPr>
            <w:tcW w:w="1504" w:type="dxa"/>
            <w:tcBorders>
              <w:top w:val="nil"/>
              <w:left w:val="nil"/>
              <w:bottom w:val="nil"/>
              <w:right w:val="nil"/>
            </w:tcBorders>
            <w:noWrap/>
            <w:vAlign w:val="center"/>
            <w:hideMark/>
          </w:tcPr>
          <w:p w14:paraId="208AADFD" w14:textId="77777777" w:rsidR="00220EF0" w:rsidRPr="00382579" w:rsidRDefault="00220EF0">
            <w:pPr>
              <w:jc w:val="center"/>
              <w:rPr>
                <w:rFonts w:ascii="Calibri" w:hAnsi="Calibri" w:cs="Calibri"/>
                <w:color w:val="000000"/>
              </w:rPr>
            </w:pPr>
          </w:p>
        </w:tc>
        <w:tc>
          <w:tcPr>
            <w:tcW w:w="1420" w:type="dxa"/>
            <w:tcBorders>
              <w:top w:val="nil"/>
              <w:left w:val="nil"/>
              <w:bottom w:val="nil"/>
              <w:right w:val="nil"/>
            </w:tcBorders>
            <w:noWrap/>
            <w:vAlign w:val="center"/>
            <w:hideMark/>
          </w:tcPr>
          <w:p w14:paraId="0341872D" w14:textId="77777777" w:rsidR="00220EF0" w:rsidRPr="00382579" w:rsidRDefault="00220EF0">
            <w:pPr>
              <w:jc w:val="center"/>
            </w:pPr>
          </w:p>
        </w:tc>
        <w:tc>
          <w:tcPr>
            <w:tcW w:w="820" w:type="dxa"/>
            <w:tcBorders>
              <w:top w:val="nil"/>
              <w:left w:val="nil"/>
              <w:bottom w:val="nil"/>
              <w:right w:val="nil"/>
            </w:tcBorders>
            <w:noWrap/>
            <w:vAlign w:val="center"/>
            <w:hideMark/>
          </w:tcPr>
          <w:p w14:paraId="03EB68AC" w14:textId="77777777" w:rsidR="00220EF0" w:rsidRPr="00382579" w:rsidRDefault="00220EF0">
            <w:pPr>
              <w:jc w:val="center"/>
            </w:pPr>
          </w:p>
        </w:tc>
        <w:tc>
          <w:tcPr>
            <w:tcW w:w="980" w:type="dxa"/>
            <w:tcBorders>
              <w:top w:val="nil"/>
              <w:left w:val="nil"/>
              <w:bottom w:val="nil"/>
              <w:right w:val="single" w:sz="8" w:space="0" w:color="auto"/>
            </w:tcBorders>
            <w:noWrap/>
            <w:vAlign w:val="center"/>
            <w:hideMark/>
          </w:tcPr>
          <w:p w14:paraId="791B3F1D"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w:t>
            </w:r>
          </w:p>
        </w:tc>
      </w:tr>
      <w:tr w:rsidR="00220EF0" w:rsidRPr="00382579" w14:paraId="49EA15B1" w14:textId="77777777" w:rsidTr="003B362A">
        <w:trPr>
          <w:trHeight w:val="300"/>
        </w:trPr>
        <w:tc>
          <w:tcPr>
            <w:tcW w:w="2671" w:type="dxa"/>
            <w:tcBorders>
              <w:top w:val="nil"/>
              <w:left w:val="single" w:sz="8" w:space="0" w:color="auto"/>
              <w:bottom w:val="nil"/>
              <w:right w:val="nil"/>
            </w:tcBorders>
            <w:vAlign w:val="bottom"/>
            <w:hideMark/>
          </w:tcPr>
          <w:p w14:paraId="3576598A" w14:textId="77777777" w:rsidR="00220EF0" w:rsidRPr="00382579" w:rsidRDefault="00220EF0">
            <w:pPr>
              <w:rPr>
                <w:rFonts w:ascii="Calibri" w:hAnsi="Calibri" w:cs="Calibri"/>
                <w:color w:val="000000"/>
              </w:rPr>
            </w:pPr>
            <w:r w:rsidRPr="00382579">
              <w:rPr>
                <w:rFonts w:ascii="Calibri" w:hAnsi="Calibri" w:cs="Calibri"/>
                <w:color w:val="000000"/>
              </w:rPr>
              <w:t>Survey</w:t>
            </w:r>
          </w:p>
        </w:tc>
        <w:tc>
          <w:tcPr>
            <w:tcW w:w="1565" w:type="dxa"/>
            <w:tcBorders>
              <w:top w:val="nil"/>
              <w:left w:val="nil"/>
              <w:bottom w:val="nil"/>
              <w:right w:val="nil"/>
            </w:tcBorders>
            <w:noWrap/>
            <w:vAlign w:val="center"/>
            <w:hideMark/>
          </w:tcPr>
          <w:p w14:paraId="1855C8D2" w14:textId="77777777" w:rsidR="00220EF0" w:rsidRPr="00382579" w:rsidRDefault="00220EF0">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noWrap/>
            <w:vAlign w:val="center"/>
            <w:hideMark/>
          </w:tcPr>
          <w:p w14:paraId="2E05D0EB" w14:textId="77777777" w:rsidR="00220EF0" w:rsidRPr="00382579" w:rsidRDefault="00220EF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302C9CCA" w14:textId="77777777" w:rsidR="00220EF0" w:rsidRPr="00382579" w:rsidRDefault="00220EF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3A87CDEB" w14:textId="77777777" w:rsidR="00220EF0" w:rsidRPr="00382579" w:rsidRDefault="00220EF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6F396BA"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16</w:t>
            </w:r>
          </w:p>
        </w:tc>
      </w:tr>
      <w:tr w:rsidR="00220EF0" w:rsidRPr="00382579" w14:paraId="4532289F" w14:textId="77777777" w:rsidTr="003B362A">
        <w:trPr>
          <w:trHeight w:val="315"/>
        </w:trPr>
        <w:tc>
          <w:tcPr>
            <w:tcW w:w="2671" w:type="dxa"/>
            <w:tcBorders>
              <w:top w:val="single" w:sz="4" w:space="0" w:color="9BC2E6"/>
              <w:left w:val="single" w:sz="8" w:space="0" w:color="auto"/>
              <w:bottom w:val="single" w:sz="8" w:space="0" w:color="auto"/>
              <w:right w:val="nil"/>
            </w:tcBorders>
            <w:shd w:val="clear" w:color="DDEBF7" w:fill="BFBFBF"/>
            <w:vAlign w:val="bottom"/>
            <w:hideMark/>
          </w:tcPr>
          <w:p w14:paraId="344F0304" w14:textId="77777777" w:rsidR="00220EF0" w:rsidRPr="00382579" w:rsidRDefault="00220EF0">
            <w:pPr>
              <w:rPr>
                <w:rFonts w:ascii="Calibri" w:hAnsi="Calibri" w:cs="Calibri"/>
                <w:b/>
                <w:bCs/>
                <w:color w:val="000000"/>
              </w:rPr>
            </w:pPr>
            <w:r w:rsidRPr="00382579">
              <w:rPr>
                <w:rFonts w:ascii="Calibri" w:hAnsi="Calibri" w:cs="Calibri"/>
                <w:b/>
                <w:bCs/>
                <w:color w:val="000000"/>
              </w:rPr>
              <w:t>Grand Total</w:t>
            </w:r>
          </w:p>
        </w:tc>
        <w:tc>
          <w:tcPr>
            <w:tcW w:w="1565" w:type="dxa"/>
            <w:tcBorders>
              <w:top w:val="single" w:sz="4" w:space="0" w:color="9BC2E6"/>
              <w:left w:val="nil"/>
              <w:bottom w:val="single" w:sz="8" w:space="0" w:color="auto"/>
              <w:right w:val="nil"/>
            </w:tcBorders>
            <w:shd w:val="clear" w:color="DDEBF7" w:fill="BFBFBF"/>
            <w:noWrap/>
            <w:vAlign w:val="center"/>
            <w:hideMark/>
          </w:tcPr>
          <w:p w14:paraId="56337084"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76</w:t>
            </w:r>
          </w:p>
        </w:tc>
        <w:tc>
          <w:tcPr>
            <w:tcW w:w="1504" w:type="dxa"/>
            <w:tcBorders>
              <w:top w:val="single" w:sz="4" w:space="0" w:color="9BC2E6"/>
              <w:left w:val="nil"/>
              <w:bottom w:val="single" w:sz="8" w:space="0" w:color="auto"/>
              <w:right w:val="nil"/>
            </w:tcBorders>
            <w:shd w:val="clear" w:color="DDEBF7" w:fill="BFBFBF"/>
            <w:noWrap/>
            <w:vAlign w:val="center"/>
            <w:hideMark/>
          </w:tcPr>
          <w:p w14:paraId="0E705D69"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07BC3660"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5A7EC150"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4BCAFBFE" w14:textId="77777777" w:rsidR="00220EF0" w:rsidRPr="00382579" w:rsidRDefault="00220EF0">
            <w:pPr>
              <w:jc w:val="center"/>
              <w:rPr>
                <w:rFonts w:ascii="Calibri" w:hAnsi="Calibri" w:cs="Calibri"/>
                <w:b/>
                <w:bCs/>
                <w:color w:val="000000"/>
              </w:rPr>
            </w:pPr>
            <w:r w:rsidRPr="00382579">
              <w:rPr>
                <w:rFonts w:ascii="Calibri" w:hAnsi="Calibri" w:cs="Calibri"/>
                <w:b/>
                <w:bCs/>
                <w:color w:val="000000"/>
              </w:rPr>
              <w:t>124</w:t>
            </w:r>
          </w:p>
        </w:tc>
      </w:tr>
    </w:tbl>
    <w:p w14:paraId="304D4470" w14:textId="77777777" w:rsidR="00220EF0" w:rsidRPr="00382579" w:rsidRDefault="00220EF0" w:rsidP="0071264D">
      <w:pPr>
        <w:jc w:val="both"/>
        <w:rPr>
          <w:b/>
          <w:bCs/>
          <w:lang w:val="en-US"/>
        </w:rPr>
      </w:pPr>
      <w:r w:rsidRPr="00382579">
        <w:rPr>
          <w:b/>
          <w:bCs/>
          <w:lang w:val="en-US"/>
        </w:rPr>
        <w:t xml:space="preserve">Table 4. </w:t>
      </w:r>
      <w:r w:rsidRPr="00382579">
        <w:rPr>
          <w:b/>
          <w:bCs/>
        </w:rPr>
        <w:t>Distribution of research methods across NFIA subject domains</w:t>
      </w:r>
      <w:r w:rsidRPr="00382579">
        <w:br/>
      </w:r>
      <w:r w:rsidRPr="00382579">
        <w:rPr>
          <w:i/>
          <w:iCs/>
        </w:rPr>
        <w:t>Source: Author’s analysis</w:t>
      </w:r>
    </w:p>
    <w:p w14:paraId="1F474D03" w14:textId="77777777" w:rsidR="00220EF0" w:rsidRPr="00382579" w:rsidRDefault="00220EF0" w:rsidP="00EF62E0">
      <w:pPr>
        <w:widowControl w:val="0"/>
        <w:jc w:val="both"/>
      </w:pPr>
    </w:p>
    <w:p w14:paraId="0D623B25" w14:textId="77777777" w:rsidR="00220EF0" w:rsidRDefault="00220EF0" w:rsidP="00DF105F">
      <w:pPr>
        <w:widowControl w:val="0"/>
        <w:spacing w:line="480" w:lineRule="auto"/>
        <w:ind w:firstLine="420"/>
        <w:jc w:val="both"/>
      </w:pPr>
      <w: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 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0C839FC2" w14:textId="77777777" w:rsidR="00220EF0" w:rsidRPr="00382579" w:rsidRDefault="00220EF0" w:rsidP="00DF105F">
      <w:pPr>
        <w:widowControl w:val="0"/>
        <w:spacing w:line="480" w:lineRule="auto"/>
        <w:ind w:firstLine="420"/>
        <w:jc w:val="both"/>
        <w:rPr>
          <w:i/>
          <w:iCs/>
        </w:rPr>
      </w:pPr>
      <w:r>
        <w:t>Collectively, these results document a transition in NFIA research: from early public-sector performance auditing toward a methodologically plural field currently dominated by sustainability-focused studies across diverse institutional settings.</w:t>
      </w:r>
      <w:r w:rsidRPr="00382579">
        <w:rPr>
          <w:i/>
          <w:iCs/>
        </w:rPr>
        <w:br w:type="page"/>
      </w:r>
    </w:p>
    <w:p w14:paraId="30949A7D" w14:textId="77777777" w:rsidR="00220EF0" w:rsidRPr="00382579" w:rsidRDefault="00220EF0" w:rsidP="00FA1126">
      <w:pPr>
        <w:jc w:val="both"/>
        <w:rPr>
          <w:i/>
          <w:iCs/>
          <w:highlight w:val="cyan"/>
        </w:rPr>
        <w:sectPr w:rsidR="00220EF0" w:rsidRPr="00382579" w:rsidSect="00220EF0">
          <w:pgSz w:w="11906" w:h="16838"/>
          <w:pgMar w:top="1440" w:right="1440" w:bottom="1440" w:left="1440" w:header="708" w:footer="708" w:gutter="0"/>
          <w:cols w:space="708"/>
          <w:docGrid w:linePitch="360"/>
        </w:sectPr>
      </w:pPr>
    </w:p>
    <w:p w14:paraId="4FF76C0D" w14:textId="77777777" w:rsidR="00220EF0" w:rsidRPr="00382579" w:rsidRDefault="00220EF0" w:rsidP="00FA1126">
      <w:pPr>
        <w:jc w:val="both"/>
      </w:pPr>
      <w:r w:rsidRPr="008B0133">
        <w:rPr>
          <w:i/>
          <w:iCs/>
        </w:rPr>
        <w:lastRenderedPageBreak/>
        <w:t>Bibliometric Results</w:t>
      </w:r>
    </w:p>
    <w:p w14:paraId="61F902DE" w14:textId="77777777" w:rsidR="00220EF0" w:rsidRPr="00382579" w:rsidRDefault="00220EF0" w:rsidP="00862CAE">
      <w:pPr>
        <w:pStyle w:val="ListParagraph"/>
        <w:ind w:left="360" w:firstLine="491"/>
        <w:jc w:val="both"/>
      </w:pPr>
      <w:r w:rsidRPr="00382579">
        <w:t xml:space="preserve"> </w:t>
      </w:r>
    </w:p>
    <w:p w14:paraId="28EFD7D1" w14:textId="77777777" w:rsidR="00220EF0" w:rsidRPr="00382579" w:rsidRDefault="00220EF0" w:rsidP="00EE23F5">
      <w:r w:rsidRPr="00382579">
        <w:rPr>
          <w:noProof/>
        </w:rPr>
        <w:drawing>
          <wp:inline distT="0" distB="0" distL="0" distR="0" wp14:anchorId="1A2AB3FB" wp14:editId="73475BA1">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14372640" w14:textId="77777777" w:rsidR="00220EF0" w:rsidRPr="00382579" w:rsidRDefault="00220EF0" w:rsidP="00EE23F5">
      <w:r w:rsidRPr="00382579">
        <w:rPr>
          <w:noProof/>
        </w:rPr>
        <w:drawing>
          <wp:inline distT="0" distB="0" distL="0" distR="0" wp14:anchorId="13931937" wp14:editId="0D3B11D9">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7"/>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22C31701" w14:textId="77777777" w:rsidR="00220EF0" w:rsidRPr="00382579" w:rsidRDefault="00220EF0" w:rsidP="00EE23F5">
      <w:r w:rsidRPr="00382579">
        <w:rPr>
          <w:b/>
          <w:bCs/>
        </w:rPr>
        <w:lastRenderedPageBreak/>
        <w:t>Figure 3.</w:t>
      </w:r>
      <w:r w:rsidRPr="00382579">
        <w:t xml:space="preserve"> Internal citation network and density visualisation of influential NFIA studies based on within-corpus citations</w:t>
      </w:r>
      <w:r w:rsidRPr="00382579">
        <w:br/>
      </w:r>
      <w:r w:rsidRPr="00382579">
        <w:rPr>
          <w:i/>
          <w:iCs/>
        </w:rPr>
        <w:t>Source: Author’s analysis</w:t>
      </w:r>
    </w:p>
    <w:p w14:paraId="31564C38" w14:textId="77777777" w:rsidR="00220EF0" w:rsidRPr="00382579" w:rsidRDefault="00220EF0" w:rsidP="00DF105F">
      <w:pPr>
        <w:widowControl w:val="0"/>
        <w:spacing w:line="480" w:lineRule="auto"/>
        <w:ind w:firstLine="420"/>
        <w:jc w:val="both"/>
      </w:pPr>
      <w:r>
        <w:t xml:space="preserve">The internal citation structure (Figure 3) reveals a dense, coherent research field. With 114 of the 124 studies linked through within-corpus references, the literature is characterised by shared intellectual foundations rather than isolated inquiries. Density mapping identifies O’Dwyer (2011), Perego and Kolk (2012), and Casey and Grenier (2015) as the corpus’s primary intellectual anchors. 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 Beyond internal links, the corpus remains anchored by foundational external theory and practitioner developments. Power (1997a) is cited by nearly half of the reviewed studies, confirming the enduring influence of the original "audit society" thesis. </w:t>
      </w:r>
      <w:r w:rsidRPr="005D6A17">
        <w:t>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w:t>
      </w:r>
      <w:r>
        <w:t xml:space="preserve"> This practitioner-led trajectory underscores the field's pragmatic origins and its ongoing struggle to stabilize theoretical boundaries.</w:t>
      </w:r>
    </w:p>
    <w:p w14:paraId="56B6C56D" w14:textId="77777777" w:rsidR="00220EF0" w:rsidRPr="00382579" w:rsidRDefault="00220EF0">
      <w:r w:rsidRPr="00382579">
        <w:lastRenderedPageBreak/>
        <w:br w:type="page"/>
      </w:r>
    </w:p>
    <w:p w14:paraId="3CC0D292" w14:textId="77777777" w:rsidR="00220EF0" w:rsidRPr="00382579" w:rsidRDefault="00220EF0" w:rsidP="00701F07">
      <w:r w:rsidRPr="00382579">
        <w:rPr>
          <w:noProof/>
        </w:rPr>
        <w:lastRenderedPageBreak/>
        <w:drawing>
          <wp:inline distT="0" distB="0" distL="0" distR="0" wp14:anchorId="2E287485" wp14:editId="610ADF1E">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4C5AFB10" w14:textId="77777777" w:rsidR="00220EF0" w:rsidRPr="00382579" w:rsidRDefault="00220EF0" w:rsidP="00701F07">
      <w:r w:rsidRPr="00382579">
        <w:rPr>
          <w:b/>
          <w:bCs/>
        </w:rPr>
        <w:t>Figure 4.</w:t>
      </w:r>
      <w:r w:rsidRPr="00382579">
        <w:t xml:space="preserve"> Network visualisation of keyword co-occurrence in the NFIA literature</w:t>
      </w:r>
    </w:p>
    <w:p w14:paraId="595E6E5A" w14:textId="77777777" w:rsidR="00220EF0" w:rsidRPr="00382579" w:rsidRDefault="00220EF0" w:rsidP="00701F07">
      <w:r w:rsidRPr="00382579">
        <w:rPr>
          <w:i/>
          <w:iCs/>
        </w:rPr>
        <w:t>Source: Author’s analysis</w:t>
      </w:r>
    </w:p>
    <w:p w14:paraId="16BC4EDC" w14:textId="77777777" w:rsidR="00220EF0" w:rsidRPr="00382579" w:rsidRDefault="00220EF0" w:rsidP="00931ED4">
      <w:pPr>
        <w:widowControl w:val="0"/>
        <w:ind w:firstLine="420"/>
        <w:jc w:val="both"/>
      </w:pPr>
    </w:p>
    <w:p w14:paraId="512A116E" w14:textId="77777777" w:rsidR="00220EF0" w:rsidRPr="00382579" w:rsidRDefault="00220EF0" w:rsidP="00BA132E">
      <w:pPr>
        <w:ind w:firstLine="420"/>
        <w:rPr>
          <w:noProof/>
        </w:rPr>
        <w:sectPr w:rsidR="00220EF0" w:rsidRPr="00382579" w:rsidSect="00220EF0">
          <w:pgSz w:w="16838" w:h="11906" w:orient="landscape"/>
          <w:pgMar w:top="1440" w:right="1440" w:bottom="1440" w:left="1440" w:header="851" w:footer="992" w:gutter="0"/>
          <w:cols w:space="425"/>
          <w:docGrid w:type="linesAndChars" w:linePitch="326"/>
        </w:sectPr>
      </w:pPr>
    </w:p>
    <w:p w14:paraId="55EB9C0D" w14:textId="77777777" w:rsidR="00220EF0" w:rsidRDefault="00220EF0" w:rsidP="001D291B">
      <w:pPr>
        <w:spacing w:line="480" w:lineRule="auto"/>
        <w:ind w:firstLine="420"/>
        <w:jc w:val="both"/>
        <w:rPr>
          <w:noProof/>
        </w:rPr>
      </w:pPr>
      <w:r>
        <w:rPr>
          <w:noProof/>
        </w:rPr>
        <w:lastRenderedPageBreak/>
        <w:t xml:space="preserve">Figure 4 visualises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 </w:t>
      </w:r>
      <w:r w:rsidRPr="00842603">
        <w:rPr>
          <w:noProof/>
        </w:rPr>
        <w:t>The network appears dense, although this likely reflects shared citation practices rather than conceptual consensus.</w:t>
      </w:r>
      <w:r>
        <w:rPr>
          <w:noProof/>
        </w:rPr>
        <w:t xml:space="preserve"> 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4ACE7890" w14:textId="77777777" w:rsidR="00220EF0" w:rsidRPr="00382579" w:rsidRDefault="00220EF0" w:rsidP="001D291B">
      <w:pPr>
        <w:spacing w:line="480" w:lineRule="auto"/>
        <w:ind w:firstLine="420"/>
        <w:jc w:val="both"/>
      </w:pPr>
      <w:r>
        <w:rPr>
          <w:noProof/>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Pr="00382579">
        <w:br w:type="page"/>
      </w:r>
    </w:p>
    <w:p w14:paraId="6DF3FDFB" w14:textId="77777777" w:rsidR="00220EF0" w:rsidRPr="00382579" w:rsidRDefault="00220EF0" w:rsidP="00AF6699">
      <w:pPr>
        <w:jc w:val="center"/>
        <w:sectPr w:rsidR="00220EF0" w:rsidRPr="00382579" w:rsidSect="00220EF0">
          <w:pgSz w:w="11906" w:h="16838"/>
          <w:pgMar w:top="1440" w:right="1440" w:bottom="1440" w:left="1440" w:header="851" w:footer="992" w:gutter="0"/>
          <w:cols w:space="425"/>
          <w:docGrid w:linePitch="326"/>
        </w:sectPr>
      </w:pPr>
    </w:p>
    <w:p w14:paraId="446385F0" w14:textId="77777777" w:rsidR="00220EF0" w:rsidRPr="00382579" w:rsidRDefault="00220EF0" w:rsidP="00DF105F">
      <w:pPr>
        <w:spacing w:line="480" w:lineRule="auto"/>
        <w:jc w:val="center"/>
        <w:rPr>
          <w:b/>
          <w:bCs/>
        </w:rPr>
      </w:pPr>
      <w:r w:rsidRPr="00382579">
        <w:rPr>
          <w:b/>
          <w:bCs/>
        </w:rPr>
        <w:lastRenderedPageBreak/>
        <w:t>Analysis</w:t>
      </w:r>
      <w:r w:rsidRPr="004B6683">
        <w:t xml:space="preserve"> </w:t>
      </w:r>
      <w:r w:rsidRPr="004B6683">
        <w:rPr>
          <w:b/>
          <w:bCs/>
        </w:rPr>
        <w:t xml:space="preserve">and </w:t>
      </w:r>
      <w:r w:rsidRPr="007A6964">
        <w:rPr>
          <w:b/>
          <w:bCs/>
        </w:rPr>
        <w:t>Thematic Synthesis</w:t>
      </w:r>
    </w:p>
    <w:p w14:paraId="3916167D" w14:textId="77777777" w:rsidR="00220EF0" w:rsidRPr="00382579" w:rsidRDefault="00220EF0" w:rsidP="00DF105F">
      <w:pPr>
        <w:spacing w:line="480" w:lineRule="auto"/>
        <w:rPr>
          <w:i/>
          <w:iCs/>
        </w:rPr>
      </w:pPr>
    </w:p>
    <w:p w14:paraId="1F698C22" w14:textId="77777777" w:rsidR="00220EF0" w:rsidRPr="00382579" w:rsidRDefault="00220EF0" w:rsidP="00DF105F">
      <w:pPr>
        <w:spacing w:line="480" w:lineRule="auto"/>
        <w:rPr>
          <w:i/>
          <w:iCs/>
        </w:rPr>
      </w:pPr>
      <w:r w:rsidRPr="00382579">
        <w:rPr>
          <w:i/>
          <w:iCs/>
        </w:rPr>
        <w:t>Analytical framework and thematic development</w:t>
      </w:r>
    </w:p>
    <w:p w14:paraId="2F31BC36" w14:textId="77777777" w:rsidR="00220EF0" w:rsidRPr="00382579" w:rsidRDefault="00220EF0" w:rsidP="00DF105F">
      <w:pPr>
        <w:spacing w:line="480" w:lineRule="auto"/>
      </w:pPr>
    </w:p>
    <w:p w14:paraId="220E1E83" w14:textId="77777777" w:rsidR="00220EF0" w:rsidRPr="007D7077" w:rsidRDefault="00220EF0" w:rsidP="00DF105F">
      <w:pPr>
        <w:widowControl w:val="0"/>
        <w:spacing w:line="480" w:lineRule="auto"/>
        <w:ind w:firstLine="420"/>
        <w:jc w:val="both"/>
      </w:pPr>
      <w:r w:rsidRPr="007D7077">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12B55897" w14:textId="77777777" w:rsidR="00220EF0" w:rsidRPr="007D7077" w:rsidRDefault="00220EF0" w:rsidP="001D291B">
      <w:pPr>
        <w:widowControl w:val="0"/>
        <w:spacing w:line="480" w:lineRule="auto"/>
        <w:ind w:firstLine="420"/>
        <w:jc w:val="both"/>
      </w:pPr>
      <w:r w:rsidRPr="007D7077">
        <w:t>Viewed through this lens, the keyword network (Figure 4) aligns with the four interrelated roles of the accounting complex:</w:t>
      </w:r>
    </w:p>
    <w:p w14:paraId="521459E4" w14:textId="77777777" w:rsidR="00220EF0" w:rsidRPr="007D7077" w:rsidRDefault="00220EF0" w:rsidP="001D291B">
      <w:pPr>
        <w:widowControl w:val="0"/>
        <w:numPr>
          <w:ilvl w:val="0"/>
          <w:numId w:val="6"/>
        </w:numPr>
        <w:spacing w:line="480" w:lineRule="auto"/>
        <w:jc w:val="both"/>
      </w:pPr>
      <w:r w:rsidRPr="007D7077">
        <w:t xml:space="preserve">Subjectivizing (Red Cluster): </w:t>
      </w:r>
      <w:r w:rsidRPr="00D229B8">
        <w:t>Centres</w:t>
      </w:r>
      <w:r w:rsidRPr="007D7077">
        <w:t xml:space="preserve"> on professional identity, trust, and socialization, emphasizing the construction of auditor expertise and credibility.</w:t>
      </w:r>
    </w:p>
    <w:p w14:paraId="71C97324" w14:textId="77777777" w:rsidR="00220EF0" w:rsidRPr="007D7077" w:rsidRDefault="00220EF0" w:rsidP="001D291B">
      <w:pPr>
        <w:widowControl w:val="0"/>
        <w:numPr>
          <w:ilvl w:val="0"/>
          <w:numId w:val="6"/>
        </w:numPr>
        <w:spacing w:line="480" w:lineRule="auto"/>
        <w:jc w:val="both"/>
      </w:pPr>
      <w:r w:rsidRPr="007D7077">
        <w:t>Territorializing (</w:t>
      </w:r>
      <w:r w:rsidRPr="00D229B8">
        <w:t>Green/Yellow</w:t>
      </w:r>
      <w:r w:rsidRPr="007D7077">
        <w:t xml:space="preserve"> Cluster): Focused on supreme audit institutions, government, and jurisdiction, reflecting how auditing delineates governable spaces.</w:t>
      </w:r>
    </w:p>
    <w:p w14:paraId="58531AD2" w14:textId="77777777" w:rsidR="00220EF0" w:rsidRPr="007D7077" w:rsidRDefault="00220EF0" w:rsidP="001D291B">
      <w:pPr>
        <w:widowControl w:val="0"/>
        <w:numPr>
          <w:ilvl w:val="0"/>
          <w:numId w:val="6"/>
        </w:numPr>
        <w:spacing w:line="480" w:lineRule="auto"/>
        <w:jc w:val="both"/>
      </w:pPr>
      <w:r w:rsidRPr="007D7077">
        <w:t>Mediating (Blue Cluster): Organi</w:t>
      </w:r>
      <w:r w:rsidRPr="00D229B8">
        <w:t>s</w:t>
      </w:r>
      <w:r w:rsidRPr="007D7077">
        <w:t>es around sustainability, stakeholders, and evidence, highlighting assurance as a boundary mechanism translating heterogeneous concerns into credible forms.</w:t>
      </w:r>
    </w:p>
    <w:p w14:paraId="0738D61D" w14:textId="77777777" w:rsidR="00220EF0" w:rsidRPr="007D7077" w:rsidRDefault="00220EF0" w:rsidP="001D291B">
      <w:pPr>
        <w:widowControl w:val="0"/>
        <w:numPr>
          <w:ilvl w:val="0"/>
          <w:numId w:val="6"/>
        </w:numPr>
        <w:spacing w:line="480" w:lineRule="auto"/>
        <w:jc w:val="both"/>
      </w:pPr>
      <w:r w:rsidRPr="007D7077">
        <w:t>Adjudicating (</w:t>
      </w:r>
      <w:r w:rsidRPr="00D229B8">
        <w:t>Purple/Orange</w:t>
      </w:r>
      <w:r w:rsidRPr="007D7077">
        <w:t xml:space="preserve"> Clusters): Associated with risk, financial distress, </w:t>
      </w:r>
      <w:r w:rsidRPr="007D7077">
        <w:lastRenderedPageBreak/>
        <w:t>and investors, concerning the evaluation of performance and consequences.</w:t>
      </w:r>
    </w:p>
    <w:p w14:paraId="2A7AD8A0" w14:textId="77777777" w:rsidR="00220EF0" w:rsidRPr="007D7077" w:rsidRDefault="00220EF0" w:rsidP="001D291B">
      <w:pPr>
        <w:widowControl w:val="0"/>
        <w:spacing w:line="480" w:lineRule="auto"/>
        <w:ind w:firstLine="420"/>
        <w:jc w:val="both"/>
      </w:pPr>
      <w:r w:rsidRPr="007D7077">
        <w:t>These dimensions are not discrete categories but patterns of emphasis; their dense interconnection indicates that NFIA research routinely mobilizes multiple dimensions simultaneously.</w:t>
      </w:r>
    </w:p>
    <w:p w14:paraId="45D52D8B" w14:textId="77777777" w:rsidR="00220EF0" w:rsidRPr="007D7077" w:rsidRDefault="00220EF0" w:rsidP="00DF105F">
      <w:pPr>
        <w:widowControl w:val="0"/>
        <w:spacing w:line="480" w:lineRule="auto"/>
        <w:ind w:firstLine="420"/>
        <w:jc w:val="both"/>
      </w:pPr>
      <w:r w:rsidRPr="007D7077">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1E4108E9" w14:textId="77777777" w:rsidR="00220EF0" w:rsidRPr="00382579" w:rsidRDefault="00220EF0" w:rsidP="00D31EA7">
      <w:pPr>
        <w:widowControl w:val="0"/>
        <w:ind w:firstLine="420"/>
        <w:jc w:val="both"/>
        <w:sectPr w:rsidR="00220EF0" w:rsidRPr="00382579" w:rsidSect="00220EF0">
          <w:pgSz w:w="11906" w:h="16838"/>
          <w:pgMar w:top="1440" w:right="1440" w:bottom="1440" w:left="1440" w:header="851" w:footer="992" w:gutter="0"/>
          <w:cols w:space="425"/>
          <w:docGrid w:linePitch="326"/>
        </w:sectPr>
      </w:pPr>
      <w:r w:rsidRPr="00382579">
        <w:br w:type="page"/>
      </w:r>
    </w:p>
    <w:tbl>
      <w:tblPr>
        <w:tblStyle w:val="GridTable1Light"/>
        <w:tblW w:w="14454" w:type="dxa"/>
        <w:tblLook w:val="04A0" w:firstRow="1" w:lastRow="0" w:firstColumn="1" w:lastColumn="0" w:noHBand="0" w:noVBand="1"/>
      </w:tblPr>
      <w:tblGrid>
        <w:gridCol w:w="1621"/>
        <w:gridCol w:w="2627"/>
        <w:gridCol w:w="2358"/>
        <w:gridCol w:w="2573"/>
        <w:gridCol w:w="5275"/>
      </w:tblGrid>
      <w:tr w:rsidR="00220EF0" w:rsidRPr="00CC7453" w14:paraId="668462E3" w14:textId="77777777" w:rsidTr="00697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F9D33" w14:textId="77777777" w:rsidR="00220EF0" w:rsidRPr="00CC7453" w:rsidRDefault="00220EF0" w:rsidP="0069781C">
            <w:pPr>
              <w:widowControl w:val="0"/>
              <w:spacing w:after="160"/>
              <w:jc w:val="center"/>
              <w:rPr>
                <w:sz w:val="20"/>
                <w:szCs w:val="20"/>
              </w:rPr>
            </w:pPr>
            <w:r w:rsidRPr="00CC7453">
              <w:rPr>
                <w:sz w:val="20"/>
                <w:szCs w:val="20"/>
              </w:rPr>
              <w:lastRenderedPageBreak/>
              <w:t>VOSviewer colour cluster</w:t>
            </w:r>
          </w:p>
        </w:tc>
        <w:tc>
          <w:tcPr>
            <w:tcW w:w="2627" w:type="dxa"/>
            <w:hideMark/>
          </w:tcPr>
          <w:p w14:paraId="4C3E7D1A" w14:textId="77777777" w:rsidR="00220EF0" w:rsidRPr="00CC7453" w:rsidRDefault="00220EF0"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Representative keywords</w:t>
            </w:r>
          </w:p>
        </w:tc>
        <w:tc>
          <w:tcPr>
            <w:tcW w:w="2358" w:type="dxa"/>
            <w:hideMark/>
          </w:tcPr>
          <w:p w14:paraId="1452248A" w14:textId="77777777" w:rsidR="00220EF0" w:rsidRPr="00CC7453" w:rsidRDefault="00220EF0"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C7453">
              <w:rPr>
                <w:sz w:val="20"/>
                <w:szCs w:val="20"/>
              </w:rPr>
              <w:t xml:space="preserve">Accounting complex </w:t>
            </w:r>
            <w:r w:rsidRPr="00CC7453">
              <w:rPr>
                <w:sz w:val="20"/>
                <w:szCs w:val="20"/>
              </w:rPr>
              <w:br/>
            </w:r>
            <w:r w:rsidRPr="00CC7453">
              <w:rPr>
                <w:b w:val="0"/>
                <w:bCs w:val="0"/>
                <w:sz w:val="20"/>
                <w:szCs w:val="20"/>
              </w:rPr>
              <w:t>(Miller &amp; Power, 2013)</w:t>
            </w:r>
          </w:p>
        </w:tc>
        <w:tc>
          <w:tcPr>
            <w:tcW w:w="2573" w:type="dxa"/>
            <w:hideMark/>
          </w:tcPr>
          <w:p w14:paraId="2E5090A9" w14:textId="77777777" w:rsidR="00220EF0" w:rsidRPr="00CC7453" w:rsidRDefault="00220EF0"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Key theme in this review</w:t>
            </w:r>
          </w:p>
        </w:tc>
        <w:tc>
          <w:tcPr>
            <w:tcW w:w="5275" w:type="dxa"/>
            <w:hideMark/>
          </w:tcPr>
          <w:p w14:paraId="63CA64A8" w14:textId="77777777" w:rsidR="00220EF0" w:rsidRPr="00CC7453" w:rsidRDefault="00220EF0"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Rationale for the linkage</w:t>
            </w:r>
          </w:p>
        </w:tc>
      </w:tr>
      <w:tr w:rsidR="00220EF0" w:rsidRPr="00CC7453" w14:paraId="61E7BF71"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7FD280D8" w14:textId="77777777" w:rsidR="00220EF0" w:rsidRPr="00CC7453" w:rsidRDefault="00220EF0" w:rsidP="003D1983">
            <w:pPr>
              <w:widowControl w:val="0"/>
              <w:spacing w:after="160"/>
              <w:jc w:val="both"/>
              <w:rPr>
                <w:sz w:val="20"/>
                <w:szCs w:val="20"/>
              </w:rPr>
            </w:pPr>
            <w:r w:rsidRPr="00CC7453">
              <w:rPr>
                <w:color w:val="FF0000"/>
                <w:sz w:val="20"/>
                <w:szCs w:val="20"/>
              </w:rPr>
              <w:t>Red</w:t>
            </w:r>
          </w:p>
        </w:tc>
        <w:tc>
          <w:tcPr>
            <w:tcW w:w="2627" w:type="dxa"/>
            <w:hideMark/>
          </w:tcPr>
          <w:p w14:paraId="49A5CB44" w14:textId="77777777" w:rsidR="00220EF0" w:rsidRPr="00CC7453"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profession; auditor; accountant; trust; logic; meaning; socialisation; client; user</w:t>
            </w:r>
          </w:p>
        </w:tc>
        <w:tc>
          <w:tcPr>
            <w:tcW w:w="2358" w:type="dxa"/>
            <w:hideMark/>
          </w:tcPr>
          <w:p w14:paraId="7873BFA6" w14:textId="77777777" w:rsidR="00220EF0" w:rsidRPr="00EA7664"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Subjectivising</w:t>
            </w:r>
          </w:p>
        </w:tc>
        <w:tc>
          <w:tcPr>
            <w:tcW w:w="2573" w:type="dxa"/>
            <w:hideMark/>
          </w:tcPr>
          <w:p w14:paraId="0B8C3C3E" w14:textId="77777777" w:rsidR="00220EF0" w:rsidRPr="00EA7664"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Inter-professional Dynamics and the Sociology of the Profession</w:t>
            </w:r>
          </w:p>
        </w:tc>
        <w:tc>
          <w:tcPr>
            <w:tcW w:w="5275" w:type="dxa"/>
            <w:hideMark/>
          </w:tcPr>
          <w:p w14:paraId="1DEFD098" w14:textId="77777777" w:rsidR="00220EF0" w:rsidRDefault="00220EF0"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Cluster centres on actors and identity terms (</w:t>
            </w:r>
            <w:r w:rsidRPr="00B06B3C">
              <w:rPr>
                <w:i/>
                <w:iCs/>
                <w:sz w:val="20"/>
                <w:szCs w:val="20"/>
              </w:rPr>
              <w:t>auditor, profession</w:t>
            </w:r>
            <w:r w:rsidRPr="00B06B3C">
              <w:rPr>
                <w:sz w:val="20"/>
                <w:szCs w:val="20"/>
              </w:rPr>
              <w:t xml:space="preserve">). </w:t>
            </w:r>
          </w:p>
          <w:p w14:paraId="1422284B" w14:textId="77777777" w:rsidR="00220EF0" w:rsidRDefault="00220EF0"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Dense ties to legitimacy-signalling concepts (</w:t>
            </w:r>
            <w:r w:rsidRPr="00B06B3C">
              <w:rPr>
                <w:i/>
                <w:iCs/>
                <w:sz w:val="20"/>
                <w:szCs w:val="20"/>
              </w:rPr>
              <w:t>trust, meaning, logic</w:t>
            </w:r>
            <w:r w:rsidRPr="00B06B3C">
              <w:rPr>
                <w:sz w:val="20"/>
                <w:szCs w:val="20"/>
              </w:rPr>
              <w:t xml:space="preserve">). </w:t>
            </w:r>
          </w:p>
          <w:p w14:paraId="7D708D40" w14:textId="77777777" w:rsidR="00220EF0" w:rsidRPr="00B06B3C" w:rsidRDefault="00220EF0"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 xml:space="preserve">This vocabulary foregrounds how NFIA constitutes credible professional subjects and inter-professional boundaries. </w:t>
            </w:r>
          </w:p>
        </w:tc>
      </w:tr>
      <w:tr w:rsidR="00220EF0" w:rsidRPr="00CC7453" w14:paraId="02AAF946"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12A8412C" w14:textId="77777777" w:rsidR="00220EF0" w:rsidRPr="00CC7453" w:rsidRDefault="00220EF0" w:rsidP="003D1983">
            <w:pPr>
              <w:widowControl w:val="0"/>
              <w:spacing w:after="160"/>
              <w:jc w:val="both"/>
              <w:rPr>
                <w:b w:val="0"/>
                <w:bCs w:val="0"/>
                <w:sz w:val="20"/>
                <w:szCs w:val="20"/>
              </w:rPr>
            </w:pPr>
            <w:r w:rsidRPr="00CC7453">
              <w:rPr>
                <w:color w:val="00B050"/>
                <w:sz w:val="20"/>
                <w:szCs w:val="20"/>
              </w:rPr>
              <w:t>Green</w:t>
            </w:r>
            <w:r w:rsidRPr="00CC7453">
              <w:rPr>
                <w:sz w:val="20"/>
                <w:szCs w:val="20"/>
              </w:rPr>
              <w:br/>
            </w:r>
            <w:r w:rsidRPr="00CC7453">
              <w:rPr>
                <w:color w:val="FFFF00"/>
                <w:sz w:val="20"/>
                <w:szCs w:val="20"/>
                <w:highlight w:val="green"/>
              </w:rPr>
              <w:t>Yellow</w:t>
            </w:r>
          </w:p>
        </w:tc>
        <w:tc>
          <w:tcPr>
            <w:tcW w:w="2627" w:type="dxa"/>
            <w:hideMark/>
          </w:tcPr>
          <w:p w14:paraId="5BD8F6C5" w14:textId="77777777" w:rsidR="00220EF0" w:rsidRPr="00CC7453"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supreme audit institution; government; accountability; implementation; jurisdiction; court; parliament; local government</w:t>
            </w:r>
          </w:p>
        </w:tc>
        <w:tc>
          <w:tcPr>
            <w:tcW w:w="2358" w:type="dxa"/>
            <w:hideMark/>
          </w:tcPr>
          <w:p w14:paraId="2D7FCFD7" w14:textId="77777777" w:rsidR="00220EF0" w:rsidRPr="00EA7664"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Territorialising</w:t>
            </w:r>
          </w:p>
        </w:tc>
        <w:tc>
          <w:tcPr>
            <w:tcW w:w="2573" w:type="dxa"/>
            <w:hideMark/>
          </w:tcPr>
          <w:p w14:paraId="1B5530A4" w14:textId="77777777" w:rsidR="00220EF0" w:rsidRPr="00EA7664"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NFIA as a Socially Constructed and Institutional Practice</w:t>
            </w:r>
          </w:p>
        </w:tc>
        <w:tc>
          <w:tcPr>
            <w:tcW w:w="5275" w:type="dxa"/>
            <w:hideMark/>
          </w:tcPr>
          <w:p w14:paraId="2E37CCA2" w14:textId="77777777" w:rsidR="00220EF0" w:rsidRDefault="00220EF0"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anchors on institutional sites and objects of audit (</w:t>
            </w:r>
            <w:r w:rsidRPr="00C83E8A">
              <w:rPr>
                <w:i/>
                <w:iCs/>
                <w:sz w:val="20"/>
                <w:szCs w:val="20"/>
              </w:rPr>
              <w:t>SAI, government</w:t>
            </w:r>
            <w:r w:rsidRPr="00C83E8A">
              <w:rPr>
                <w:sz w:val="20"/>
                <w:szCs w:val="20"/>
              </w:rPr>
              <w:t xml:space="preserve">). </w:t>
            </w:r>
          </w:p>
          <w:p w14:paraId="2DB24083" w14:textId="77777777" w:rsidR="00220EF0" w:rsidRDefault="00220EF0"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boundary-setting and systematisation (</w:t>
            </w:r>
            <w:r w:rsidRPr="00C83E8A">
              <w:rPr>
                <w:i/>
                <w:iCs/>
                <w:sz w:val="20"/>
                <w:szCs w:val="20"/>
              </w:rPr>
              <w:t>jurisdiction, implementation, accountability</w:t>
            </w:r>
            <w:r w:rsidRPr="00C83E8A">
              <w:rPr>
                <w:sz w:val="20"/>
                <w:szCs w:val="20"/>
              </w:rPr>
              <w:t xml:space="preserve">). </w:t>
            </w:r>
          </w:p>
          <w:p w14:paraId="2A61BD61" w14:textId="77777777" w:rsidR="00220EF0" w:rsidRPr="00C83E8A" w:rsidRDefault="00220EF0"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This points to the construction of auditable domains and governable spaces.</w:t>
            </w:r>
          </w:p>
        </w:tc>
      </w:tr>
      <w:tr w:rsidR="00220EF0" w:rsidRPr="00CC7453" w14:paraId="4B59242C"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7429AD65" w14:textId="77777777" w:rsidR="00220EF0" w:rsidRPr="00CC7453" w:rsidRDefault="00220EF0" w:rsidP="003D1983">
            <w:pPr>
              <w:widowControl w:val="0"/>
              <w:spacing w:after="160"/>
              <w:jc w:val="both"/>
              <w:rPr>
                <w:sz w:val="20"/>
                <w:szCs w:val="20"/>
              </w:rPr>
            </w:pPr>
            <w:r w:rsidRPr="00CC7453">
              <w:rPr>
                <w:color w:val="0070C0"/>
                <w:sz w:val="20"/>
                <w:szCs w:val="20"/>
              </w:rPr>
              <w:t>Blue</w:t>
            </w:r>
          </w:p>
        </w:tc>
        <w:tc>
          <w:tcPr>
            <w:tcW w:w="2627" w:type="dxa"/>
            <w:hideMark/>
          </w:tcPr>
          <w:p w14:paraId="7DEDFA05" w14:textId="77777777" w:rsidR="00220EF0" w:rsidRPr="00CC7453"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sustainability; corporate social responsibility; stakeholder; engagement; evidence; service; perception; demand</w:t>
            </w:r>
          </w:p>
        </w:tc>
        <w:tc>
          <w:tcPr>
            <w:tcW w:w="2358" w:type="dxa"/>
            <w:hideMark/>
          </w:tcPr>
          <w:p w14:paraId="2D9D8C2D" w14:textId="77777777" w:rsidR="00220EF0" w:rsidRPr="00EA7664"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Mediating</w:t>
            </w:r>
          </w:p>
        </w:tc>
        <w:tc>
          <w:tcPr>
            <w:tcW w:w="2573" w:type="dxa"/>
            <w:hideMark/>
          </w:tcPr>
          <w:p w14:paraId="101765A7" w14:textId="77777777" w:rsidR="00220EF0" w:rsidRPr="00EA7664"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The Broader Political and Managerial Utility of NFIA</w:t>
            </w:r>
          </w:p>
        </w:tc>
        <w:tc>
          <w:tcPr>
            <w:tcW w:w="5275" w:type="dxa"/>
            <w:hideMark/>
          </w:tcPr>
          <w:p w14:paraId="6CA38032" w14:textId="77777777" w:rsidR="00220EF0" w:rsidRDefault="00220EF0"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centres on assurance as an interface (</w:t>
            </w:r>
            <w:r w:rsidRPr="00C83E8A">
              <w:rPr>
                <w:i/>
                <w:iCs/>
                <w:sz w:val="20"/>
                <w:szCs w:val="20"/>
              </w:rPr>
              <w:t>service, engagement</w:t>
            </w:r>
            <w:r w:rsidRPr="00C83E8A">
              <w:rPr>
                <w:sz w:val="20"/>
                <w:szCs w:val="20"/>
              </w:rPr>
              <w:t xml:space="preserve">). </w:t>
            </w:r>
          </w:p>
          <w:p w14:paraId="5779F7C6" w14:textId="77777777" w:rsidR="00220EF0" w:rsidRDefault="00220EF0"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Strong links to disclosure domains and audiences (</w:t>
            </w:r>
            <w:r w:rsidRPr="00C83E8A">
              <w:rPr>
                <w:i/>
                <w:iCs/>
                <w:sz w:val="20"/>
                <w:szCs w:val="20"/>
              </w:rPr>
              <w:t>CSR, sustainability, stakeholder</w:t>
            </w:r>
            <w:r w:rsidRPr="00C83E8A">
              <w:rPr>
                <w:sz w:val="20"/>
                <w:szCs w:val="20"/>
              </w:rPr>
              <w:t xml:space="preserve">). </w:t>
            </w:r>
          </w:p>
          <w:p w14:paraId="7D233946" w14:textId="77777777" w:rsidR="00220EF0" w:rsidRPr="00C83E8A" w:rsidRDefault="00220EF0"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translation of diverse information into credible forms (</w:t>
            </w:r>
            <w:r w:rsidRPr="00C83E8A">
              <w:rPr>
                <w:i/>
                <w:iCs/>
                <w:sz w:val="20"/>
                <w:szCs w:val="20"/>
              </w:rPr>
              <w:t>evidence, quality</w:t>
            </w:r>
            <w:r w:rsidRPr="00C83E8A">
              <w:rPr>
                <w:sz w:val="20"/>
                <w:szCs w:val="20"/>
              </w:rPr>
              <w:t xml:space="preserve">). </w:t>
            </w:r>
          </w:p>
        </w:tc>
      </w:tr>
      <w:tr w:rsidR="00220EF0" w:rsidRPr="00CC7453" w14:paraId="0444672D"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5CD7BA2" w14:textId="77777777" w:rsidR="00220EF0" w:rsidRPr="00CC7453" w:rsidRDefault="00220EF0" w:rsidP="003D1983">
            <w:pPr>
              <w:widowControl w:val="0"/>
              <w:spacing w:after="160"/>
              <w:jc w:val="both"/>
              <w:rPr>
                <w:b w:val="0"/>
                <w:bCs w:val="0"/>
                <w:sz w:val="20"/>
                <w:szCs w:val="20"/>
              </w:rPr>
            </w:pPr>
            <w:r w:rsidRPr="00CC7453">
              <w:rPr>
                <w:color w:val="7030A0"/>
                <w:sz w:val="20"/>
                <w:szCs w:val="20"/>
              </w:rPr>
              <w:t>Purple</w:t>
            </w:r>
            <w:r w:rsidRPr="00CC7453">
              <w:rPr>
                <w:sz w:val="20"/>
                <w:szCs w:val="20"/>
              </w:rPr>
              <w:br/>
            </w:r>
            <w:r w:rsidRPr="00CC7453">
              <w:rPr>
                <w:color w:val="FFC000"/>
                <w:sz w:val="20"/>
                <w:szCs w:val="20"/>
              </w:rPr>
              <w:t>Orange</w:t>
            </w:r>
          </w:p>
        </w:tc>
        <w:tc>
          <w:tcPr>
            <w:tcW w:w="2627" w:type="dxa"/>
            <w:hideMark/>
          </w:tcPr>
          <w:p w14:paraId="270CD2EA" w14:textId="77777777" w:rsidR="00220EF0" w:rsidRPr="00CC7453"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firm; risk; competition; financial distress likelihood; investor; decision; information asymmetry; cost; intention; ESG</w:t>
            </w:r>
          </w:p>
        </w:tc>
        <w:tc>
          <w:tcPr>
            <w:tcW w:w="2358" w:type="dxa"/>
            <w:hideMark/>
          </w:tcPr>
          <w:p w14:paraId="3204256A" w14:textId="77777777" w:rsidR="00220EF0" w:rsidRPr="00EA7664"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Adjudicating</w:t>
            </w:r>
          </w:p>
        </w:tc>
        <w:tc>
          <w:tcPr>
            <w:tcW w:w="2573" w:type="dxa"/>
            <w:hideMark/>
          </w:tcPr>
          <w:p w14:paraId="641C1525" w14:textId="77777777" w:rsidR="00220EF0" w:rsidRPr="00EA7664" w:rsidRDefault="00220EF0"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Determinants and Consequences of NFIA</w:t>
            </w:r>
          </w:p>
        </w:tc>
        <w:tc>
          <w:tcPr>
            <w:tcW w:w="5275" w:type="dxa"/>
            <w:hideMark/>
          </w:tcPr>
          <w:p w14:paraId="24640AC7" w14:textId="77777777" w:rsidR="00220EF0" w:rsidRDefault="00220EF0"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vocabulary is evaluative and outcome-oriented (</w:t>
            </w:r>
            <w:r w:rsidRPr="00C83E8A">
              <w:rPr>
                <w:i/>
                <w:iCs/>
                <w:sz w:val="20"/>
                <w:szCs w:val="20"/>
              </w:rPr>
              <w:t>risk, distress, investor, information asymmetry</w:t>
            </w:r>
            <w:r w:rsidRPr="00C83E8A">
              <w:rPr>
                <w:sz w:val="20"/>
                <w:szCs w:val="20"/>
              </w:rPr>
              <w:t xml:space="preserve">). </w:t>
            </w:r>
          </w:p>
          <w:p w14:paraId="2CFE4212" w14:textId="77777777" w:rsidR="00220EF0" w:rsidRDefault="00220EF0"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It tracks determinants (why assurance is adopted) and consequences (market/behavioural effects). </w:t>
            </w:r>
          </w:p>
          <w:p w14:paraId="313974D9" w14:textId="77777777" w:rsidR="00220EF0" w:rsidRPr="00C83E8A" w:rsidRDefault="00220EF0"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This mirrors adjudicating: evaluating success/failure and attributing performance effects. </w:t>
            </w:r>
          </w:p>
        </w:tc>
      </w:tr>
    </w:tbl>
    <w:p w14:paraId="4F36E19E" w14:textId="77777777" w:rsidR="00220EF0" w:rsidRPr="00382579" w:rsidRDefault="00220EF0" w:rsidP="00BD3FE5">
      <w:pPr>
        <w:jc w:val="both"/>
        <w:rPr>
          <w:b/>
          <w:bCs/>
        </w:rPr>
      </w:pPr>
      <w:r w:rsidRPr="00382579">
        <w:rPr>
          <w:b/>
          <w:bCs/>
          <w:lang w:val="en-US"/>
        </w:rPr>
        <w:t xml:space="preserve">Table 5. </w:t>
      </w:r>
      <w:r w:rsidRPr="00382579">
        <w:rPr>
          <w:b/>
          <w:bCs/>
        </w:rPr>
        <w:t>Mapping VOSviewer keyword clusters to the accounting complex and empirically derived themes</w:t>
      </w:r>
    </w:p>
    <w:p w14:paraId="077A540D" w14:textId="77777777" w:rsidR="00220EF0" w:rsidRPr="00382579" w:rsidRDefault="00220EF0" w:rsidP="00EC0146">
      <w:pPr>
        <w:jc w:val="both"/>
        <w:rPr>
          <w:lang w:val="en-US"/>
        </w:rPr>
      </w:pPr>
      <w:r w:rsidRPr="00382579">
        <w:rPr>
          <w:i/>
          <w:iCs/>
        </w:rPr>
        <w:t>Source: Author’s analysis, informed by Miller and Power (2013)</w:t>
      </w:r>
    </w:p>
    <w:p w14:paraId="7AF72E8A" w14:textId="77777777" w:rsidR="00220EF0" w:rsidRPr="00382579" w:rsidRDefault="00220EF0" w:rsidP="00A577D3">
      <w:pPr>
        <w:widowControl w:val="0"/>
        <w:jc w:val="both"/>
      </w:pPr>
    </w:p>
    <w:p w14:paraId="77C170B2" w14:textId="77777777" w:rsidR="00220EF0" w:rsidRPr="00382579" w:rsidRDefault="00220EF0" w:rsidP="000C2C3B">
      <w:pPr>
        <w:widowControl w:val="0"/>
        <w:jc w:val="both"/>
        <w:sectPr w:rsidR="00220EF0" w:rsidRPr="00382579" w:rsidSect="00220EF0">
          <w:pgSz w:w="16838" w:h="11906" w:orient="landscape"/>
          <w:pgMar w:top="1440" w:right="1440" w:bottom="1440" w:left="1440" w:header="851" w:footer="992" w:gutter="0"/>
          <w:cols w:space="425"/>
          <w:docGrid w:linePitch="326"/>
        </w:sectPr>
      </w:pPr>
    </w:p>
    <w:p w14:paraId="530D5393" w14:textId="77777777" w:rsidR="00220EF0" w:rsidRPr="00C27190" w:rsidRDefault="00220EF0" w:rsidP="00DF105F">
      <w:pPr>
        <w:widowControl w:val="0"/>
        <w:spacing w:line="480" w:lineRule="auto"/>
        <w:jc w:val="both"/>
      </w:pPr>
      <w:r w:rsidRPr="00C27190">
        <w:lastRenderedPageBreak/>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w:t>
      </w:r>
      <w:r>
        <w:t xml:space="preserve"> </w:t>
      </w:r>
      <w:r w:rsidRPr="00C27190">
        <w:t>The following section moves from classification to narrative synthesis, analy</w:t>
      </w:r>
      <w:r>
        <w:t>s</w:t>
      </w:r>
      <w:r w:rsidRPr="00C27190">
        <w:t>ing how these themes and sub-themes are substantively developed and theoretically mobilized within the NFIA literature.</w:t>
      </w:r>
    </w:p>
    <w:p w14:paraId="414C126F" w14:textId="77777777" w:rsidR="00220EF0" w:rsidRPr="00382579" w:rsidRDefault="00220EF0" w:rsidP="000C2C3B">
      <w:pPr>
        <w:widowControl w:val="0"/>
        <w:jc w:val="both"/>
      </w:pPr>
    </w:p>
    <w:p w14:paraId="1E6BF29C" w14:textId="77777777" w:rsidR="00220EF0" w:rsidRPr="00382579" w:rsidRDefault="00220EF0">
      <w:pPr>
        <w:rPr>
          <w:i/>
          <w:iCs/>
        </w:rPr>
      </w:pPr>
      <w:r w:rsidRPr="00382579">
        <w:rPr>
          <w:i/>
          <w:iCs/>
        </w:rPr>
        <w:br w:type="page"/>
      </w:r>
    </w:p>
    <w:p w14:paraId="2E470CAF" w14:textId="77777777" w:rsidR="00220EF0" w:rsidRPr="00382579" w:rsidRDefault="00220EF0">
      <w:pPr>
        <w:rPr>
          <w:b/>
          <w:bCs/>
        </w:rPr>
      </w:pPr>
      <w:r w:rsidRPr="00382579">
        <w:rPr>
          <w:i/>
          <w:iCs/>
        </w:rPr>
        <w:lastRenderedPageBreak/>
        <w:t>Meta-synthesis of empirical NFIA research themes</w:t>
      </w:r>
      <w:r w:rsidRPr="00382579">
        <w:rPr>
          <w:b/>
          <w:bCs/>
          <w:noProof/>
        </w:rPr>
        <w:drawing>
          <wp:inline distT="0" distB="0" distL="0" distR="0" wp14:anchorId="791E62B4" wp14:editId="1DBD874F">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9"/>
                    <a:stretch>
                      <a:fillRect/>
                    </a:stretch>
                  </pic:blipFill>
                  <pic:spPr>
                    <a:xfrm>
                      <a:off x="0" y="0"/>
                      <a:ext cx="5677692" cy="2372056"/>
                    </a:xfrm>
                    <a:prstGeom prst="rect">
                      <a:avLst/>
                    </a:prstGeom>
                  </pic:spPr>
                </pic:pic>
              </a:graphicData>
            </a:graphic>
          </wp:inline>
        </w:drawing>
      </w:r>
      <w:r w:rsidRPr="00382579">
        <w:rPr>
          <w:b/>
          <w:bCs/>
          <w:noProof/>
        </w:rPr>
        <w:drawing>
          <wp:inline distT="0" distB="0" distL="0" distR="0" wp14:anchorId="0AFC952E" wp14:editId="16F3B106">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0"/>
                    <a:stretch>
                      <a:fillRect/>
                    </a:stretch>
                  </pic:blipFill>
                  <pic:spPr>
                    <a:xfrm>
                      <a:off x="0" y="0"/>
                      <a:ext cx="5731510" cy="2072640"/>
                    </a:xfrm>
                    <a:prstGeom prst="rect">
                      <a:avLst/>
                    </a:prstGeom>
                  </pic:spPr>
                </pic:pic>
              </a:graphicData>
            </a:graphic>
          </wp:inline>
        </w:drawing>
      </w:r>
      <w:r w:rsidRPr="00382579">
        <w:rPr>
          <w:b/>
          <w:bCs/>
          <w:noProof/>
        </w:rPr>
        <w:drawing>
          <wp:inline distT="0" distB="0" distL="0" distR="0" wp14:anchorId="1DDAE635" wp14:editId="71BE4D7A">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1"/>
                    <a:stretch>
                      <a:fillRect/>
                    </a:stretch>
                  </pic:blipFill>
                  <pic:spPr>
                    <a:xfrm>
                      <a:off x="0" y="0"/>
                      <a:ext cx="5731510" cy="1476375"/>
                    </a:xfrm>
                    <a:prstGeom prst="rect">
                      <a:avLst/>
                    </a:prstGeom>
                  </pic:spPr>
                </pic:pic>
              </a:graphicData>
            </a:graphic>
          </wp:inline>
        </w:drawing>
      </w:r>
      <w:r w:rsidRPr="00382579">
        <w:rPr>
          <w:b/>
          <w:bCs/>
          <w:noProof/>
        </w:rPr>
        <w:drawing>
          <wp:inline distT="0" distB="0" distL="0" distR="0" wp14:anchorId="2CAF3370" wp14:editId="58551BBD">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2"/>
                    <a:stretch>
                      <a:fillRect/>
                    </a:stretch>
                  </pic:blipFill>
                  <pic:spPr>
                    <a:xfrm>
                      <a:off x="0" y="0"/>
                      <a:ext cx="5731510" cy="1767205"/>
                    </a:xfrm>
                    <a:prstGeom prst="rect">
                      <a:avLst/>
                    </a:prstGeom>
                  </pic:spPr>
                </pic:pic>
              </a:graphicData>
            </a:graphic>
          </wp:inline>
        </w:drawing>
      </w:r>
    </w:p>
    <w:p w14:paraId="76BE7062" w14:textId="77777777" w:rsidR="00220EF0" w:rsidRPr="00382579" w:rsidRDefault="00220EF0" w:rsidP="000C1C44">
      <w:pPr>
        <w:jc w:val="both"/>
        <w:rPr>
          <w:b/>
          <w:bCs/>
        </w:rPr>
      </w:pPr>
      <w:r w:rsidRPr="00382579">
        <w:rPr>
          <w:b/>
          <w:bCs/>
          <w:lang w:val="en-US"/>
        </w:rPr>
        <w:t xml:space="preserve">Table 6. </w:t>
      </w:r>
      <w:r w:rsidRPr="00382579">
        <w:rPr>
          <w:b/>
          <w:bCs/>
        </w:rPr>
        <w:t>A multi-dimensional meta-synthesis of empirical NFIA research themes</w:t>
      </w:r>
    </w:p>
    <w:p w14:paraId="02EA6581" w14:textId="77777777" w:rsidR="00220EF0" w:rsidRPr="00382579" w:rsidRDefault="00220EF0" w:rsidP="000C1C44">
      <w:pPr>
        <w:jc w:val="both"/>
        <w:rPr>
          <w:lang w:val="en-US"/>
        </w:rPr>
      </w:pPr>
      <w:r w:rsidRPr="00382579">
        <w:rPr>
          <w:i/>
          <w:iCs/>
        </w:rPr>
        <w:t>Source: Author’s analysis</w:t>
      </w:r>
    </w:p>
    <w:p w14:paraId="7544A9C0" w14:textId="77777777" w:rsidR="00220EF0" w:rsidRPr="00382579" w:rsidRDefault="00220EF0">
      <w:pPr>
        <w:rPr>
          <w:b/>
          <w:bCs/>
        </w:rPr>
      </w:pPr>
    </w:p>
    <w:p w14:paraId="66312B2D" w14:textId="77777777" w:rsidR="00220EF0" w:rsidRDefault="00220EF0" w:rsidP="001D291B">
      <w:pPr>
        <w:spacing w:line="480" w:lineRule="auto"/>
        <w:ind w:firstLine="420"/>
        <w:jc w:val="both"/>
      </w:pPr>
      <w:r w:rsidRPr="00382318">
        <w:t>Rather than mapping alone, the synthesis highlights what the field consistently examines—and what it tends to leave untouched</w:t>
      </w:r>
      <w:r>
        <w:t>, showing how the structure of NFIA research determines what can be governed. The field configuration reveals a pronounced orientation toward market-facing outcomes; NFIA is rendered legible primarily through economic consequences, while internal audit mechanics remain obscured (</w:t>
      </w:r>
      <w:r w:rsidRPr="00D611A0">
        <w:t>Fuhrmann, Ott, Looks and Guenther, 2017; Chi, Cheng and Wang, 2020; Carey, Khan, Mihret and Muttakin, 2021</w:t>
      </w:r>
      <w:r>
        <w:t>). 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w:t>
      </w:r>
      <w:r w:rsidRPr="00D611A0">
        <w:t>Clarkson, Li, Richardson and Tsang, 2019; Sánchez-Sancho, Martínez-Ferrero and Perote-Peña, 2025</w:t>
      </w:r>
      <w:r>
        <w:t xml:space="preserve">). Consequently, assurance is examined more through its effects on pricing and risk than through the situated interactions constituting audit practice (Perego &amp; Kolk, 2012; </w:t>
      </w:r>
      <w:r w:rsidRPr="00D611A0">
        <w:t>Owen, Swift, Humphrey and Bowerman, 2000</w:t>
      </w:r>
      <w:r>
        <w:t>).</w:t>
      </w:r>
    </w:p>
    <w:p w14:paraId="07525B02" w14:textId="77777777" w:rsidR="00220EF0" w:rsidRDefault="00220EF0" w:rsidP="001D291B">
      <w:pPr>
        <w:spacing w:line="480" w:lineRule="auto"/>
        <w:ind w:firstLine="420"/>
        <w:jc w:val="both"/>
      </w:pPr>
      <w:r>
        <w:t>The methodological cleavage in the literature illustrates this dynamic. Archival approaches frame assurance as an adjudicating device valued for signalling and risk mitigation (</w:t>
      </w:r>
      <w:r w:rsidRPr="00D611A0">
        <w:t>Liao, Teng and Zhang, 201</w:t>
      </w:r>
      <w:r>
        <w:t xml:space="preserve">8; Chi </w:t>
      </w:r>
      <w:r w:rsidRPr="001C79A6">
        <w:rPr>
          <w:i/>
        </w:rPr>
        <w:t>et al</w:t>
      </w:r>
      <w:r>
        <w:t xml:space="preserve">., 2020). While investors occasionally peer into the "black box" by differentiating based on scope (Fuhrmann </w:t>
      </w:r>
      <w:r w:rsidRPr="001C79A6">
        <w:rPr>
          <w:i/>
        </w:rPr>
        <w:t>et al</w:t>
      </w:r>
      <w:r>
        <w:t xml:space="preserve">., 2017; Sánchez-Sancho </w:t>
      </w:r>
      <w:r w:rsidRPr="001C79A6">
        <w:rPr>
          <w:i/>
        </w:rPr>
        <w:t>et al</w:t>
      </w:r>
      <w:r>
        <w:t xml:space="preserve">., 2025), reputational heuristics and provider identity frequently substitute for engagement with actual assurance processes (Clarkson </w:t>
      </w:r>
      <w:r w:rsidRPr="001C79A6">
        <w:rPr>
          <w:i/>
        </w:rPr>
        <w:t>et al</w:t>
      </w:r>
      <w:r>
        <w:t xml:space="preserve">., 2019; Oware &amp; Appiah, 2022). </w:t>
      </w:r>
    </w:p>
    <w:p w14:paraId="7D7A004A" w14:textId="77777777" w:rsidR="00220EF0" w:rsidRDefault="00220EF0" w:rsidP="001D291B">
      <w:pPr>
        <w:spacing w:line="480" w:lineRule="auto"/>
        <w:ind w:firstLine="420"/>
        <w:jc w:val="both"/>
      </w:pPr>
      <w:r>
        <w:lastRenderedPageBreak/>
        <w:t xml:space="preserve">Qualitative research offers a counterpoint, foregrounding negotiated materiality, "dry runs," and the co-construction of auditability (O’Dwyer, 2011; Channuntapipat </w:t>
      </w:r>
      <w:r w:rsidRPr="001C79A6">
        <w:rPr>
          <w:i/>
        </w:rPr>
        <w:t>et al</w:t>
      </w:r>
      <w:r>
        <w:t>.,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w:t>
      </w:r>
      <w:r w:rsidRPr="00D611A0">
        <w:t>Canning, O’Dwyer and Georgakopoulos, 2019</w:t>
      </w:r>
      <w:r>
        <w:t>; Farooq &amp; de Villiers, 2019).</w:t>
      </w:r>
    </w:p>
    <w:p w14:paraId="4C6A094C" w14:textId="77777777" w:rsidR="00220EF0" w:rsidRDefault="00220EF0" w:rsidP="001D291B">
      <w:pPr>
        <w:spacing w:line="480" w:lineRule="auto"/>
        <w:ind w:firstLine="420"/>
        <w:jc w:val="both"/>
      </w:pPr>
      <w:r>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w:t>
      </w:r>
      <w:r w:rsidRPr="001C79A6">
        <w:rPr>
          <w:i/>
        </w:rPr>
        <w:t>et al</w:t>
      </w:r>
      <w:r>
        <w:t xml:space="preserve">., 2019). </w:t>
      </w:r>
      <w:r w:rsidRPr="0046586A">
        <w:t>That said,</w:t>
      </w:r>
      <w:r>
        <w:t xml:space="preserve"> the carbon (GHG) domain foregrounds team dynamics, signalling the normalization of multidisciplinary expertise (Green </w:t>
      </w:r>
      <w:r w:rsidRPr="001C79A6">
        <w:rPr>
          <w:i/>
        </w:rPr>
        <w:t>et al</w:t>
      </w:r>
      <w:r>
        <w:t>., 2017; E</w:t>
      </w:r>
      <w:r w:rsidRPr="00D611A0">
        <w:t>kasingh, Simnett and Green, 20</w:t>
      </w:r>
      <w:r>
        <w:t>19). Here, the auditor is a coordinating actor within hybrid calculative arrangements (</w:t>
      </w:r>
      <w:r w:rsidRPr="00D611A0">
        <w:t>Kim, Green and Johnstone, 2016</w:t>
      </w:r>
      <w:r>
        <w:t>).</w:t>
      </w:r>
    </w:p>
    <w:p w14:paraId="1AF3908A" w14:textId="77777777" w:rsidR="00220EF0" w:rsidRPr="00382579" w:rsidRDefault="00220EF0" w:rsidP="001D291B">
      <w:pPr>
        <w:spacing w:line="480" w:lineRule="auto"/>
        <w:ind w:firstLine="420"/>
        <w:jc w:val="both"/>
      </w:pPr>
      <w:r>
        <w:t xml:space="preserve">The concentration of market studies in CSR/ESG research points to a broader financialisation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w:t>
      </w:r>
      <w:r w:rsidRPr="001C79A6">
        <w:rPr>
          <w:i/>
        </w:rPr>
        <w:t>et al</w:t>
      </w:r>
      <w:r>
        <w:t>., 2025;</w:t>
      </w:r>
      <w:r w:rsidRPr="0000329E">
        <w:t xml:space="preserve"> </w:t>
      </w:r>
      <w:r w:rsidRPr="00382579">
        <w:t xml:space="preserve">Hummel </w:t>
      </w:r>
      <w:r w:rsidRPr="001C79A6">
        <w:rPr>
          <w:i/>
        </w:rPr>
        <w:t>et al</w:t>
      </w:r>
      <w:r w:rsidRPr="00382579">
        <w:t>., 201</w:t>
      </w:r>
      <w:r>
        <w:t xml:space="preserve">9)—remain fragmented. This leaves unresolved tensions between assurance as a credibility </w:t>
      </w:r>
      <w:r>
        <w:lastRenderedPageBreak/>
        <w:t xml:space="preserve">tool and as a catalyst for substantive change, particularly given the prevalence of limited assurance and reliance on internal data (Bepari &amp; Mollik, 2016; Gu </w:t>
      </w:r>
      <w:r w:rsidRPr="001C79A6">
        <w:rPr>
          <w:i/>
        </w:rPr>
        <w:t>et al</w:t>
      </w:r>
      <w:r>
        <w:t>., 2023).</w:t>
      </w:r>
    </w:p>
    <w:p w14:paraId="0CFCAF24" w14:textId="77777777" w:rsidR="00220EF0" w:rsidRPr="00382579" w:rsidRDefault="00220EF0" w:rsidP="001D291B">
      <w:pPr>
        <w:spacing w:line="480" w:lineRule="auto"/>
        <w:jc w:val="both"/>
        <w:rPr>
          <w:i/>
          <w:iCs/>
        </w:rPr>
      </w:pPr>
      <w:r w:rsidRPr="00382579">
        <w:rPr>
          <w:i/>
          <w:iCs/>
        </w:rPr>
        <w:t>From Heatmap Constraints to Sub-theme Deepening</w:t>
      </w:r>
    </w:p>
    <w:p w14:paraId="54D7A39C" w14:textId="77777777" w:rsidR="00220EF0" w:rsidRDefault="00220EF0" w:rsidP="001D291B">
      <w:pPr>
        <w:spacing w:line="480" w:lineRule="auto"/>
        <w:ind w:firstLine="420"/>
        <w:jc w:val="both"/>
      </w:pPr>
      <w:r>
        <w:t>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 By reopening the analytical space, we examine how inter-professional dynamics operate across the literature. This aligns with Miller and Power’s (2013) view of auditing as a set of practices that shape 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6FAC85F7" w14:textId="77777777" w:rsidR="00220EF0" w:rsidRPr="00382579" w:rsidRDefault="00220EF0" w:rsidP="001D291B">
      <w:pPr>
        <w:spacing w:line="480" w:lineRule="auto"/>
        <w:jc w:val="both"/>
        <w:rPr>
          <w:i/>
          <w:iCs/>
        </w:rPr>
      </w:pPr>
      <w:r w:rsidRPr="00382579">
        <w:rPr>
          <w:i/>
          <w:iCs/>
        </w:rPr>
        <w:t>Inter-professional Dynamics and the Sociology of the Profession</w:t>
      </w:r>
    </w:p>
    <w:p w14:paraId="489C3CF5" w14:textId="77777777" w:rsidR="00220EF0" w:rsidRPr="00382579" w:rsidRDefault="00220EF0" w:rsidP="001D291B">
      <w:pPr>
        <w:spacing w:line="480" w:lineRule="auto"/>
        <w:ind w:firstLine="420"/>
        <w:jc w:val="both"/>
      </w:pPr>
      <w:r w:rsidRPr="00382579">
        <w:t xml:space="preserve">The jurisdictional competition literature positions sustainability assurance as an arena of professional struggle in which accounting firms and specialist providers contest authority over methods, standards, and evaluative criteria (Channuntapipat </w:t>
      </w:r>
      <w:r w:rsidRPr="001C79A6">
        <w:rPr>
          <w:i/>
        </w:rPr>
        <w:t>et al</w:t>
      </w:r>
      <w:r w:rsidRPr="00382579">
        <w:t xml:space="preserve">., 2019; Boiral </w:t>
      </w:r>
      <w:r w:rsidRPr="001C79A6">
        <w:rPr>
          <w:i/>
        </w:rPr>
        <w:t>et al</w:t>
      </w:r>
      <w:r w:rsidRPr="00382579">
        <w:t>.,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w:t>
      </w:r>
      <w:r w:rsidRPr="00D611A0">
        <w:t xml:space="preserve">(Larrinaga, Rossi, Luque-Vílchez and Núñez-Solidoro, 2018; Ackers, 2009; </w:t>
      </w:r>
      <w:r w:rsidRPr="00D611A0">
        <w:lastRenderedPageBreak/>
        <w:t>Bradbury, Jia and Li, 2022</w:t>
      </w:r>
      <w:r w:rsidRPr="00382579">
        <w:t>).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w:t>
      </w:r>
      <w:r w:rsidRPr="00D611A0">
        <w:t>Casey &amp; Grenier, 2015; Bentley-Goode, Simnett, Thompson and Trotman, 2024</w:t>
      </w:r>
      <w:r w:rsidRPr="00382579">
        <w:t>).</w:t>
      </w:r>
    </w:p>
    <w:p w14:paraId="2CDB4FF5" w14:textId="77777777" w:rsidR="00220EF0" w:rsidRPr="00382579" w:rsidRDefault="00220EF0" w:rsidP="001D291B">
      <w:pPr>
        <w:spacing w:line="480" w:lineRule="auto"/>
        <w:ind w:firstLine="420"/>
        <w:jc w:val="both"/>
      </w:pPr>
      <w:r w:rsidRPr="00382579">
        <w:t>Although this literature appears, on its surface, to operate at a field level, its dynamics can be reinterpreted through the lens of the accounting complex. In Miller and Power (2013)’s terms, subjectivi</w:t>
      </w:r>
      <w:r>
        <w:t>z</w:t>
      </w:r>
      <w:r w:rsidRPr="00382579">
        <w:t>ation refers to the production of actors who come to understand responsibility, choice, and accountability through calculative norms. From this perspective, jurisdictional conflict is not external to subjectivi</w:t>
      </w:r>
      <w:r>
        <w:t>z</w:t>
      </w:r>
      <w:r w:rsidRPr="00382579">
        <w:t xml:space="preserve">ation but constitutes one of its mechanisms. Competing assurance frameworks and professional logics reshape what it means to be an assurer. Accounting firms promote subject positions centred on procedural rigour, risk management, and auditability through the privileging of ISAE 3000, while specialist providers advance alternative subjectivities grounded in contextual expertise, stakeholder engagement, and narrative justification, often articulated through AA1000 (Bepari &amp; Mollik, 2016; Perego &amp; Kolk, 2012; Hummel </w:t>
      </w:r>
      <w:r w:rsidRPr="001C79A6">
        <w:rPr>
          <w:i/>
        </w:rPr>
        <w:t>et al</w:t>
      </w:r>
      <w:r w:rsidRPr="00382579">
        <w:t>., 201</w:t>
      </w:r>
      <w:r>
        <w:t>9</w:t>
      </w:r>
      <w:r w:rsidRPr="00382579">
        <w:t>).</w:t>
      </w:r>
    </w:p>
    <w:p w14:paraId="74973262" w14:textId="77777777" w:rsidR="00220EF0" w:rsidRPr="00382579" w:rsidRDefault="00220EF0" w:rsidP="001D291B">
      <w:pPr>
        <w:spacing w:line="480" w:lineRule="auto"/>
        <w:ind w:firstLine="420"/>
        <w:jc w:val="both"/>
      </w:pPr>
      <w:r w:rsidRPr="00382579">
        <w:t xml:space="preserve">These dynamics are reinforced through responsibilisation.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Boiral </w:t>
      </w:r>
      <w:r w:rsidRPr="001C79A6">
        <w:rPr>
          <w:i/>
        </w:rPr>
        <w:t>et al</w:t>
      </w:r>
      <w:r w:rsidRPr="00382579">
        <w:t xml:space="preserve">., 2019). </w:t>
      </w:r>
      <w:r w:rsidRPr="00382579">
        <w:lastRenderedPageBreak/>
        <w:t>Jurisdictional competition thus functions as a struggle over which calculative subjectivities become dominant and which responsibilities are rendered legitimate.</w:t>
      </w:r>
    </w:p>
    <w:p w14:paraId="6774C545" w14:textId="77777777" w:rsidR="00220EF0" w:rsidRPr="00382579" w:rsidRDefault="00220EF0" w:rsidP="001D291B">
      <w:pPr>
        <w:spacing w:line="480" w:lineRule="auto"/>
        <w:ind w:firstLine="420"/>
        <w:jc w:val="both"/>
      </w:pPr>
      <w:r w:rsidRPr="00382579">
        <w:t xml:space="preserve">Accounting firms’ relative success in this struggle reflects their capacity to institutionalise their metrics as authoritative tools of adjudication. Miller and Power (2013) 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w:t>
      </w:r>
      <w:r w:rsidRPr="001C79A6">
        <w:rPr>
          <w:i/>
        </w:rPr>
        <w:t>et al</w:t>
      </w:r>
      <w:r w:rsidRPr="00382579">
        <w:t>., 2019).</w:t>
      </w:r>
    </w:p>
    <w:p w14:paraId="05C0E906" w14:textId="77777777" w:rsidR="00220EF0" w:rsidRPr="00382579" w:rsidRDefault="00220EF0" w:rsidP="001D291B">
      <w:pPr>
        <w:spacing w:line="480" w:lineRule="auto"/>
        <w:ind w:firstLine="420"/>
        <w:jc w:val="both"/>
      </w:pPr>
      <w:r w:rsidRPr="00382579">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Channuntapipat </w:t>
      </w:r>
      <w:r w:rsidRPr="001C79A6">
        <w:rPr>
          <w:i/>
        </w:rPr>
        <w:t>et al</w:t>
      </w:r>
      <w:r w:rsidRPr="00382579">
        <w:t>., 2019). Moreover, the persistence of fragmented markets and hybrid arrangements—particularly in GHG assurance, where cooperative and multidisciplinary models are observed—reflects what Miller and Power (2013) describe as the accounting complex’s condition of constant reform and endemic failure to stabilise a single, global logic. Rather than anomalies, these fragmentations signal the fluidity and historical contingency of subjectivi</w:t>
      </w:r>
      <w:r>
        <w:t>z</w:t>
      </w:r>
      <w:r w:rsidRPr="00382579">
        <w:t xml:space="preserve">ation processes within non-financial assurance (Canning </w:t>
      </w:r>
      <w:r w:rsidRPr="001C79A6">
        <w:rPr>
          <w:i/>
        </w:rPr>
        <w:t>et al</w:t>
      </w:r>
      <w:r w:rsidRPr="00382579">
        <w:t xml:space="preserve">., 2019; </w:t>
      </w:r>
      <w:r w:rsidRPr="00D611A0">
        <w:t>Martínez-Ferrero, Sánchez-Sancho and García-Meca, 2025; Mnif &amp; Kchaou, 2025</w:t>
      </w:r>
      <w:r w:rsidRPr="00382579">
        <w:t>).</w:t>
      </w:r>
    </w:p>
    <w:p w14:paraId="54B82F72" w14:textId="77777777" w:rsidR="00220EF0" w:rsidRPr="00382579" w:rsidRDefault="00220EF0" w:rsidP="001D291B">
      <w:pPr>
        <w:spacing w:line="480" w:lineRule="auto"/>
        <w:jc w:val="both"/>
        <w:rPr>
          <w:i/>
          <w:iCs/>
        </w:rPr>
      </w:pPr>
    </w:p>
    <w:p w14:paraId="3900FEF5" w14:textId="77777777" w:rsidR="00220EF0" w:rsidRPr="00382579" w:rsidRDefault="00220EF0" w:rsidP="001D291B">
      <w:pPr>
        <w:widowControl w:val="0"/>
        <w:spacing w:line="480" w:lineRule="auto"/>
        <w:jc w:val="both"/>
        <w:rPr>
          <w:i/>
          <w:iCs/>
        </w:rPr>
      </w:pPr>
      <w:r w:rsidRPr="00382579">
        <w:rPr>
          <w:i/>
          <w:iCs/>
        </w:rPr>
        <w:t>NFIA as a Socially Constructed and Institutional Practice</w:t>
      </w:r>
    </w:p>
    <w:p w14:paraId="7641CEF9" w14:textId="77777777" w:rsidR="00220EF0" w:rsidRPr="00382579" w:rsidRDefault="00220EF0" w:rsidP="001D291B">
      <w:pPr>
        <w:spacing w:line="480" w:lineRule="auto"/>
        <w:ind w:firstLine="420"/>
        <w:jc w:val="both"/>
      </w:pPr>
      <w:r w:rsidRPr="00F0125B">
        <w:lastRenderedPageBreak/>
        <w:t>In Miller and Power (20</w:t>
      </w:r>
      <w:r w:rsidRPr="00382579">
        <w:t>1</w:t>
      </w:r>
      <w:r w:rsidRPr="00F0125B">
        <w:t>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w:t>
      </w:r>
      <w:r w:rsidRPr="00382579">
        <w:t>1</w:t>
      </w:r>
      <w:r w:rsidRPr="00F0125B">
        <w:t>3). Read through this lens, the NFIA literature reveals assurance as a key mechanism through which sustainability and public accountability are spatially organised and made administrable.</w:t>
      </w:r>
    </w:p>
    <w:p w14:paraId="55AE1BB8" w14:textId="77777777" w:rsidR="00220EF0" w:rsidRPr="00F0125B" w:rsidRDefault="00220EF0" w:rsidP="001D291B">
      <w:pPr>
        <w:spacing w:line="480" w:lineRule="auto"/>
        <w:ind w:firstLine="420"/>
        <w:jc w:val="both"/>
      </w:pPr>
      <w:r w:rsidRPr="00F0125B">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w:t>
      </w:r>
      <w:r w:rsidRPr="001C79A6">
        <w:rPr>
          <w:i/>
        </w:rPr>
        <w:t>et al</w:t>
      </w:r>
      <w:r w:rsidRPr="00F0125B">
        <w:t>., 2019; Silvola and Vinnari, 2021; Farooq and de Villiers, 2019). In Miller and Power (20</w:t>
      </w:r>
      <w:r w:rsidRPr="00382579">
        <w:t>1</w:t>
      </w:r>
      <w:r w:rsidRPr="00F0125B">
        <w:t>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136A4607" w14:textId="77777777" w:rsidR="00220EF0" w:rsidRPr="00382579" w:rsidRDefault="00220EF0" w:rsidP="001D291B">
      <w:pPr>
        <w:spacing w:line="480" w:lineRule="auto"/>
        <w:jc w:val="both"/>
      </w:pPr>
      <w:r w:rsidRPr="00F0125B">
        <w:t>Territorialisation is closely tied to the production of facticity and objectivity. Miller and Power (20</w:t>
      </w:r>
      <w:r w:rsidRPr="00382579">
        <w:t>1</w:t>
      </w:r>
      <w:r w:rsidRPr="00F0125B">
        <w:t xml:space="preserve">3) emphasise that accounting technologies generate authoritative inscriptions that acquire the status of facts, appearing objective and beyond the reach of politics. In NFIA, assurance statements and audit reports stabilise contested social and </w:t>
      </w:r>
      <w:r w:rsidRPr="00F0125B">
        <w:lastRenderedPageBreak/>
        <w:t xml:space="preserve">environmental issues by transforming them into technical outcomes, effectively “cooling” controversy through calculation (Skærbæk, 2009; Skærbæk and Christensen, 2015). This process underpins forms of managerialisation in which political or ethical concerns are reframed as technical management problems solvable through appropriate assurance techniques (Radcliffe, 2008; </w:t>
      </w:r>
      <w:r w:rsidRPr="00043EEC">
        <w:t>Islam, Deegan and Gray, 2018; Rohani, Jabbour and Aliyu, 2023</w:t>
      </w:r>
      <w:r>
        <w:t>).</w:t>
      </w:r>
    </w:p>
    <w:p w14:paraId="6F0D2866" w14:textId="77777777" w:rsidR="00220EF0" w:rsidRPr="00382579" w:rsidRDefault="00220EF0" w:rsidP="001D291B">
      <w:pPr>
        <w:spacing w:line="480" w:lineRule="auto"/>
        <w:ind w:firstLine="420"/>
        <w:jc w:val="both"/>
      </w:pPr>
      <w:r>
        <w:t>The</w:t>
      </w:r>
      <w:r w:rsidRPr="00F0125B">
        <w:t xml:space="preserve"> literature exposes the loose coupling between these calculative envelopes </w:t>
      </w:r>
      <w:r w:rsidRPr="00382579">
        <w:t xml:space="preserve">(Miller and Power, 2013) </w:t>
      </w:r>
      <w:r w:rsidRPr="00F0125B">
        <w:t xml:space="preserve">and underlying practices. Backstage negotiations, pre-assurance reviews, and scope exclusions reveal how assurance territories are continuously adjusted to ensure manageability and avoid disruptive findings (O’Dwyer </w:t>
      </w:r>
      <w:r w:rsidRPr="001C79A6">
        <w:rPr>
          <w:i/>
        </w:rPr>
        <w:t>et al</w:t>
      </w:r>
      <w:r w:rsidRPr="00F0125B">
        <w:t xml:space="preserve">., 2011; Channuntapipat </w:t>
      </w:r>
      <w:r w:rsidRPr="001C79A6">
        <w:rPr>
          <w:i/>
        </w:rPr>
        <w:t>et al</w:t>
      </w:r>
      <w:r w:rsidRPr="00F0125B">
        <w:t>., 2019; Farooq and de Villiers, 2019). Consistent with Miller and Power (20</w:t>
      </w:r>
      <w:r w:rsidRPr="00382579">
        <w:t>1</w:t>
      </w:r>
      <w:r w:rsidRPr="00F0125B">
        <w:t xml:space="preserve">3)’s argument that accounting elaboration often proceeds regardless of functional effectiveness, these practices help explain why NFIA can sustain legitimacy and order even when substantive change is limited (Morin, 2016; Boiral </w:t>
      </w:r>
      <w:r w:rsidRPr="001C79A6">
        <w:rPr>
          <w:i/>
        </w:rPr>
        <w:t>et al</w:t>
      </w:r>
      <w:r w:rsidRPr="00F0125B">
        <w:t>., 2019).</w:t>
      </w:r>
    </w:p>
    <w:p w14:paraId="66D3B130" w14:textId="77777777" w:rsidR="00220EF0" w:rsidRPr="00F0125B" w:rsidRDefault="00220EF0" w:rsidP="001D291B">
      <w:pPr>
        <w:spacing w:line="480" w:lineRule="auto"/>
        <w:ind w:firstLine="420"/>
        <w:jc w:val="both"/>
      </w:pPr>
      <w:r w:rsidRPr="00F0125B">
        <w:t xml:space="preserve">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w:t>
      </w:r>
      <w:r w:rsidRPr="001C79A6">
        <w:rPr>
          <w:i/>
        </w:rPr>
        <w:t>et al</w:t>
      </w:r>
      <w:r w:rsidRPr="00F0125B">
        <w:t>., 202</w:t>
      </w:r>
      <w:r>
        <w:t>2</w:t>
      </w:r>
      <w:r w:rsidRPr="00F0125B">
        <w:t>). As Miller and Power (20</w:t>
      </w:r>
      <w:r w:rsidRPr="00382579">
        <w:t>1</w:t>
      </w:r>
      <w:r w:rsidRPr="00F0125B">
        <w:t>3) argue, such artefacts are not neutral tools but integral technologies through which programmes of accountability are realised and stabilised.</w:t>
      </w:r>
    </w:p>
    <w:p w14:paraId="62415A13" w14:textId="77777777" w:rsidR="00220EF0" w:rsidRDefault="00220EF0" w:rsidP="001D291B">
      <w:pPr>
        <w:spacing w:line="480" w:lineRule="auto"/>
        <w:jc w:val="both"/>
        <w:rPr>
          <w:i/>
          <w:iCs/>
        </w:rPr>
      </w:pPr>
    </w:p>
    <w:p w14:paraId="00296A5D" w14:textId="77777777" w:rsidR="00220EF0" w:rsidRPr="00382579" w:rsidRDefault="00220EF0" w:rsidP="001D291B">
      <w:pPr>
        <w:spacing w:line="480" w:lineRule="auto"/>
        <w:jc w:val="both"/>
        <w:rPr>
          <w:i/>
          <w:iCs/>
        </w:rPr>
      </w:pPr>
    </w:p>
    <w:p w14:paraId="4FE234FF" w14:textId="77777777" w:rsidR="00220EF0" w:rsidRPr="00382579" w:rsidRDefault="00220EF0" w:rsidP="001D291B">
      <w:pPr>
        <w:widowControl w:val="0"/>
        <w:spacing w:line="480" w:lineRule="auto"/>
        <w:jc w:val="both"/>
        <w:rPr>
          <w:i/>
          <w:iCs/>
        </w:rPr>
      </w:pPr>
      <w:r w:rsidRPr="00382579">
        <w:rPr>
          <w:i/>
          <w:iCs/>
        </w:rPr>
        <w:lastRenderedPageBreak/>
        <w:t>The Broader Political and Managerial Utility of NFIA</w:t>
      </w:r>
    </w:p>
    <w:p w14:paraId="3417F1DB" w14:textId="77777777" w:rsidR="00220EF0" w:rsidRPr="00382579" w:rsidRDefault="00220EF0" w:rsidP="001D291B">
      <w:pPr>
        <w:spacing w:line="480" w:lineRule="auto"/>
        <w:ind w:firstLine="420"/>
        <w:jc w:val="both"/>
      </w:pPr>
      <w:r w:rsidRPr="00721997">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15A630E8" w14:textId="77777777" w:rsidR="00220EF0" w:rsidRPr="00382579" w:rsidRDefault="00220EF0" w:rsidP="001D291B">
      <w:pPr>
        <w:spacing w:line="480" w:lineRule="auto"/>
        <w:ind w:firstLine="420"/>
        <w:jc w:val="both"/>
      </w:pPr>
      <w:r w:rsidRPr="00721997">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w:t>
      </w:r>
      <w:r w:rsidRPr="001C79A6">
        <w:rPr>
          <w:i/>
        </w:rPr>
        <w:t>et al</w:t>
      </w:r>
      <w:r w:rsidRPr="00721997">
        <w:t>., 2019). Audit reports function as boundary objects that simultaneously support legislative oversight, managerial reform, and political contestation, even when these objectives sit in tension with one another (</w:t>
      </w:r>
      <w:r w:rsidRPr="00B03E69">
        <w:t>Funnell, Wade and Jupe, 2016</w:t>
      </w:r>
      <w:r w:rsidRPr="00721997">
        <w:t>; Lapsley and Vakkuri, 2002). In Miller and Power (2013)’s terms, performance audit operates as a mediating dispositif precisely because its inscriptions are sufficiently stable to circulate, yet sufficiently ambiguous to align diverse interests.</w:t>
      </w:r>
    </w:p>
    <w:p w14:paraId="23AEFFA9" w14:textId="77777777" w:rsidR="00220EF0" w:rsidRPr="00382579" w:rsidRDefault="00220EF0" w:rsidP="001D291B">
      <w:pPr>
        <w:spacing w:line="480" w:lineRule="auto"/>
        <w:ind w:firstLine="420"/>
        <w:jc w:val="both"/>
      </w:pPr>
      <w:r w:rsidRPr="00721997">
        <w:t xml:space="preserve">The same literature also demonstrates that mediation often thrives on ambiguity rather than precision. Performance audit findings are frequently mobilised as political </w:t>
      </w:r>
      <w:r w:rsidRPr="00721997">
        <w:lastRenderedPageBreak/>
        <w:t>ammunition, managerial guidance, and symbolic reassurance at once, allowing different actors to appropriate the same calculative artefact for divergent ends (Rika and Jacobs, 2019;</w:t>
      </w:r>
      <w:r w:rsidRPr="007F44CE">
        <w:t xml:space="preserve"> Hazgui, Triantafillou and Elmer Christensen, 2022</w:t>
      </w:r>
      <w:r w:rsidRPr="00721997">
        <w:t xml:space="preserve">). This loose coupling between political ideals and organisational outcomes reflects Miller and Power (2013)’s observation that accounting reforms proliferate even where functional impacts are uncertain, sustaining legitimacy through symbolic alignment rather than substantive resolution (Morin, 2016; </w:t>
      </w:r>
      <w:r w:rsidRPr="007F44CE">
        <w:t>Cordery, Arora and Manochin, 2023</w:t>
      </w:r>
      <w:r w:rsidRPr="00721997">
        <w:t>).</w:t>
      </w:r>
    </w:p>
    <w:p w14:paraId="0B92C5E6" w14:textId="77777777" w:rsidR="00220EF0" w:rsidRPr="00721997" w:rsidRDefault="00220EF0" w:rsidP="001D291B">
      <w:pPr>
        <w:spacing w:line="480" w:lineRule="auto"/>
        <w:ind w:firstLine="420"/>
        <w:jc w:val="both"/>
      </w:pPr>
      <w:r w:rsidRPr="00566C46">
        <w:t xml:space="preserve">By contrast, CSR/ESG assurance research has tended to foreground market-facing governance questions—such as credibility, signalling, and information risk—more than the broader political and managerial mediations emphasised in performance-audit research (Casey &amp; Grenier, 2015; Clarkson </w:t>
      </w:r>
      <w:r w:rsidRPr="001C79A6">
        <w:rPr>
          <w:i/>
        </w:rPr>
        <w:t>et al</w:t>
      </w:r>
      <w:r w:rsidRPr="00566C46">
        <w:t xml:space="preserve">., 2019; Fuhrmann </w:t>
      </w:r>
      <w:r w:rsidRPr="001C79A6">
        <w:rPr>
          <w:i/>
        </w:rPr>
        <w:t>et al</w:t>
      </w:r>
      <w:r w:rsidRPr="00566C46">
        <w:t xml:space="preserve">., 2017). Review-based syntheses similarly organise CSR/ESG assurance primarily around domain-specific assurance elements and greenwashing/credibility concerns, leaving the mediating role of assurance comparatively under-theorised (Farooq </w:t>
      </w:r>
      <w:r w:rsidRPr="001C79A6">
        <w:rPr>
          <w:i/>
        </w:rPr>
        <w:t>et al</w:t>
      </w:r>
      <w:r w:rsidRPr="00566C46">
        <w:t>., 2023; Free, Jones &amp; Tremblay, 2024).</w:t>
      </w:r>
      <w:r>
        <w:t xml:space="preserve"> </w:t>
      </w:r>
      <w:r w:rsidRPr="00721997">
        <w:t>This</w:t>
      </w:r>
      <w:r>
        <w:t xml:space="preserve"> </w:t>
      </w:r>
      <w:r w:rsidRPr="00721997">
        <w:t>absence is analytically significant. From a mediating perspective, CSR/ESG assurance must also connect corporate practices to regulatory expectations, investor narratives, societal values, and, increasingly, public policy goals. The concentration of mediating analyses in performance audit therefore signals not a domain-specific property, but a research gap: the political and managerial utility of CSR/ESG assurance remains under-theorised, despite its growing role in shaping how sustainability is governed, contested, and legitimated across organisational and political arenas (Miller and Power, 2013).</w:t>
      </w:r>
    </w:p>
    <w:p w14:paraId="18BEB152" w14:textId="77777777" w:rsidR="00220EF0" w:rsidRPr="00382579" w:rsidRDefault="00220EF0" w:rsidP="001D291B">
      <w:pPr>
        <w:spacing w:line="480" w:lineRule="auto"/>
        <w:jc w:val="both"/>
        <w:rPr>
          <w:i/>
          <w:iCs/>
        </w:rPr>
      </w:pPr>
    </w:p>
    <w:p w14:paraId="66A54312" w14:textId="77777777" w:rsidR="00220EF0" w:rsidRPr="00382579" w:rsidRDefault="00220EF0" w:rsidP="001D291B">
      <w:pPr>
        <w:widowControl w:val="0"/>
        <w:spacing w:line="480" w:lineRule="auto"/>
        <w:jc w:val="both"/>
        <w:rPr>
          <w:i/>
          <w:iCs/>
        </w:rPr>
      </w:pPr>
      <w:r w:rsidRPr="00382579">
        <w:rPr>
          <w:i/>
          <w:iCs/>
        </w:rPr>
        <w:lastRenderedPageBreak/>
        <w:t>Determinants and Consequences of NFIA</w:t>
      </w:r>
    </w:p>
    <w:p w14:paraId="6D0AF0CA" w14:textId="77777777" w:rsidR="00220EF0" w:rsidRPr="00382579" w:rsidRDefault="00220EF0" w:rsidP="001D291B">
      <w:pPr>
        <w:spacing w:line="480" w:lineRule="auto"/>
        <w:ind w:firstLine="420"/>
        <w:jc w:val="both"/>
      </w:pPr>
      <w:r w:rsidRPr="00382579">
        <w:t>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improved disclosure credibility (</w:t>
      </w:r>
      <w:r w:rsidRPr="00153034">
        <w:t xml:space="preserve">Ballou, Chen, Grenier and Heitger, 2015; Casey and Grenier, 2015; Chi </w:t>
      </w:r>
      <w:r w:rsidRPr="001C79A6">
        <w:rPr>
          <w:i/>
        </w:rPr>
        <w:t>et al</w:t>
      </w:r>
      <w:r w:rsidRPr="00153034">
        <w:t xml:space="preserve">., 2020; Pinnuck, Simnett, Soderstrom and Zhou, 2021; Sánchez-Sancho </w:t>
      </w:r>
      <w:r w:rsidRPr="001C79A6">
        <w:rPr>
          <w:i/>
        </w:rPr>
        <w:t>et al</w:t>
      </w:r>
      <w:r w:rsidRPr="00153034">
        <w:t>., 2025; Yang and Maresova, 2025</w:t>
      </w:r>
      <w:r w:rsidRPr="00382579">
        <w:t>).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57C45AC2" w14:textId="77777777" w:rsidR="00220EF0" w:rsidRPr="00382579" w:rsidRDefault="00220EF0" w:rsidP="001D291B">
      <w:pPr>
        <w:spacing w:line="480" w:lineRule="auto"/>
        <w:ind w:firstLine="420"/>
        <w:jc w:val="both"/>
      </w:pPr>
      <w:r w:rsidRPr="00382579">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w:t>
      </w:r>
      <w:r w:rsidRPr="001C79A6">
        <w:rPr>
          <w:i/>
        </w:rPr>
        <w:t>et al</w:t>
      </w:r>
      <w:r w:rsidRPr="00382579">
        <w:t xml:space="preserve">., 2017; Chi </w:t>
      </w:r>
      <w:r w:rsidRPr="001C79A6">
        <w:rPr>
          <w:i/>
        </w:rPr>
        <w:t>et al</w:t>
      </w:r>
      <w:r w:rsidRPr="00382579">
        <w:t xml:space="preserve">., 2020; Sánchez-Sancho </w:t>
      </w:r>
      <w:r w:rsidRPr="001C79A6">
        <w:rPr>
          <w:i/>
        </w:rPr>
        <w:t>et al</w:t>
      </w:r>
      <w:r w:rsidRPr="00382579">
        <w:t xml:space="preserve">.,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w:t>
      </w:r>
      <w:r w:rsidRPr="00382579">
        <w:lastRenderedPageBreak/>
        <w:t xml:space="preserve">on scope and level of assurance (Fuhrmann </w:t>
      </w:r>
      <w:r w:rsidRPr="001C79A6">
        <w:rPr>
          <w:i/>
        </w:rPr>
        <w:t>et al</w:t>
      </w:r>
      <w:r w:rsidRPr="00382579">
        <w:t xml:space="preserve">., 2017; Sánchez-Sancho </w:t>
      </w:r>
      <w:r w:rsidRPr="001C79A6">
        <w:rPr>
          <w:i/>
        </w:rPr>
        <w:t>et al</w:t>
      </w:r>
      <w:r w:rsidRPr="00382579">
        <w:t xml:space="preserve">., 2025), other studies demonstrate reliance on reputational heuristics, particularly the symbolic authority of Big 4 providers (Clarkson </w:t>
      </w:r>
      <w:r w:rsidRPr="001C79A6">
        <w:rPr>
          <w:i/>
        </w:rPr>
        <w:t>et al</w:t>
      </w:r>
      <w:r w:rsidRPr="00382579">
        <w:t>., 2019; Oware and Appiah, 2022). This tension illustrates Miller and Power (2013)’s claim that adjudication functions as a widely diffused “style of thought,” rather than a purely rational calculus.</w:t>
      </w:r>
    </w:p>
    <w:p w14:paraId="22DABB8A" w14:textId="77777777" w:rsidR="00220EF0" w:rsidRPr="00382579" w:rsidRDefault="00220EF0" w:rsidP="001D291B">
      <w:pPr>
        <w:spacing w:line="480" w:lineRule="auto"/>
        <w:ind w:firstLine="420"/>
        <w:jc w:val="both"/>
      </w:pPr>
      <w:r w:rsidRPr="00382579">
        <w:t xml:space="preserve">The Assurance and Greenwashing sub-stream further exposes adjudication’s ambivalence. Assurance is shown to deter symbolic disclosure and detect errors (Ballou </w:t>
      </w:r>
      <w:r w:rsidRPr="001C79A6">
        <w:rPr>
          <w:i/>
        </w:rPr>
        <w:t>et al</w:t>
      </w:r>
      <w:r w:rsidRPr="00382579">
        <w:t xml:space="preserve">., 2015; Pinnuck </w:t>
      </w:r>
      <w:r w:rsidRPr="001C79A6">
        <w:rPr>
          <w:i/>
        </w:rPr>
        <w:t>et al</w:t>
      </w:r>
      <w:r w:rsidRPr="00382579">
        <w:t xml:space="preserve">., 2021; Bentley </w:t>
      </w:r>
      <w:r w:rsidRPr="001C79A6">
        <w:rPr>
          <w:i/>
        </w:rPr>
        <w:t>et al</w:t>
      </w:r>
      <w:r w:rsidRPr="00382579">
        <w:t>., 2024), yet it can also be strategically constrained through limited scopes, provider shopping, and managerial capture, thereby sustaining a veneer of legitimacy 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w:t>
      </w:r>
      <w:r w:rsidRPr="0024240C">
        <w:t>Douthit, Kachelmeier and Van Landuyt, 2024</w:t>
      </w:r>
      <w:r w:rsidRPr="00382579">
        <w:t>), consistent with Miller and Power (2013)’s observation that adjudication expands readily to new objects of valuation.</w:t>
      </w:r>
    </w:p>
    <w:p w14:paraId="3C5968A9" w14:textId="77777777" w:rsidR="00220EF0" w:rsidRPr="00382579" w:rsidRDefault="00220EF0" w:rsidP="001D291B">
      <w:pPr>
        <w:spacing w:line="480" w:lineRule="auto"/>
        <w:ind w:firstLine="420"/>
        <w:jc w:val="both"/>
      </w:pPr>
      <w:r w:rsidRPr="00382579">
        <w:t xml:space="preserve">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this signals a significant research opportunity. Adjudication is likely to be most formative at the inception of new assurance territories—such as carbon and climate assurance—before calculative infrastructures become blackboxed and their </w:t>
      </w:r>
      <w:r w:rsidRPr="00382579">
        <w:lastRenderedPageBreak/>
        <w:t>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4D10F8D4" w14:textId="77777777" w:rsidR="00220EF0" w:rsidRPr="00382579" w:rsidRDefault="00220EF0" w:rsidP="00DF105F">
      <w:pPr>
        <w:spacing w:line="480" w:lineRule="auto"/>
        <w:jc w:val="center"/>
        <w:rPr>
          <w:b/>
          <w:bCs/>
        </w:rPr>
      </w:pPr>
    </w:p>
    <w:p w14:paraId="1F26CA43" w14:textId="77777777" w:rsidR="00220EF0" w:rsidRPr="00382579" w:rsidRDefault="00220EF0" w:rsidP="00DF105F">
      <w:pPr>
        <w:spacing w:line="480" w:lineRule="auto"/>
        <w:jc w:val="both"/>
      </w:pPr>
    </w:p>
    <w:p w14:paraId="2E2A3FBD" w14:textId="77777777" w:rsidR="00220EF0" w:rsidRDefault="00220EF0">
      <w:pPr>
        <w:rPr>
          <w:b/>
          <w:bCs/>
        </w:rPr>
      </w:pPr>
      <w:r>
        <w:rPr>
          <w:b/>
          <w:bCs/>
        </w:rPr>
        <w:br w:type="page"/>
      </w:r>
    </w:p>
    <w:p w14:paraId="25DBEF82" w14:textId="77777777" w:rsidR="00220EF0" w:rsidRPr="00382579" w:rsidRDefault="00220EF0" w:rsidP="00DF105F">
      <w:pPr>
        <w:spacing w:line="480" w:lineRule="auto"/>
        <w:jc w:val="center"/>
        <w:rPr>
          <w:b/>
          <w:bCs/>
        </w:rPr>
      </w:pPr>
      <w:r w:rsidRPr="00382579">
        <w:rPr>
          <w:b/>
          <w:bCs/>
        </w:rPr>
        <w:lastRenderedPageBreak/>
        <w:t>Discussion and Conclusion</w:t>
      </w:r>
    </w:p>
    <w:p w14:paraId="01800A66" w14:textId="77777777" w:rsidR="00220EF0" w:rsidRPr="00382579" w:rsidRDefault="00220EF0" w:rsidP="00DF105F">
      <w:pPr>
        <w:pStyle w:val="ListParagraph"/>
        <w:spacing w:line="480" w:lineRule="auto"/>
        <w:ind w:left="360" w:firstLine="491"/>
        <w:jc w:val="both"/>
      </w:pPr>
    </w:p>
    <w:p w14:paraId="281B9910" w14:textId="77777777" w:rsidR="00220EF0" w:rsidRPr="00382579" w:rsidRDefault="00220EF0" w:rsidP="00DF105F">
      <w:pPr>
        <w:spacing w:line="480" w:lineRule="auto"/>
        <w:jc w:val="both"/>
        <w:rPr>
          <w:i/>
          <w:iCs/>
        </w:rPr>
      </w:pPr>
      <w:r w:rsidRPr="00382579">
        <w:rPr>
          <w:i/>
          <w:iCs/>
        </w:rPr>
        <w:t>Revisiting the Audit Society through NFIA</w:t>
      </w:r>
    </w:p>
    <w:p w14:paraId="45CBC285" w14:textId="77777777" w:rsidR="00220EF0" w:rsidRPr="00382579" w:rsidRDefault="00220EF0" w:rsidP="00DF105F">
      <w:pPr>
        <w:spacing w:line="480" w:lineRule="auto"/>
        <w:ind w:firstLine="420"/>
        <w:jc w:val="both"/>
      </w:pPr>
      <w:r w:rsidRPr="00382579">
        <w:t>The empirical literature on NFIA has undergone a profound transformation over the past 35 years</w:t>
      </w:r>
      <w:r>
        <w:t xml:space="preserve"> (</w:t>
      </w:r>
      <w:r w:rsidRPr="00334C3C">
        <w:t xml:space="preserve">Dalla Via &amp; Perego, 2020; Funnell </w:t>
      </w:r>
      <w:r w:rsidRPr="001C79A6">
        <w:rPr>
          <w:i/>
        </w:rPr>
        <w:t>et al</w:t>
      </w:r>
      <w:r w:rsidRPr="00334C3C">
        <w:t xml:space="preserve">., 2016; Gipper </w:t>
      </w:r>
      <w:r w:rsidRPr="001C79A6">
        <w:rPr>
          <w:i/>
        </w:rPr>
        <w:t>et al</w:t>
      </w:r>
      <w:r w:rsidRPr="00334C3C">
        <w:t>., 202</w:t>
      </w:r>
      <w:r>
        <w:t>5</w:t>
      </w:r>
      <w:r w:rsidRPr="00334C3C">
        <w:t>; O'Dwyer, 2011</w:t>
      </w:r>
      <w:r>
        <w:t>)</w:t>
      </w:r>
      <w:r w:rsidRPr="00382579">
        <w:t>. In the 1990s, the field was anchored in public-sector performance auditing and New Public Management (NPM) reforms, where state institutions sought to verify “value for money” (</w:t>
      </w:r>
      <w:r w:rsidRPr="00334C3C">
        <w:t xml:space="preserve">English, 2007; Funnell, 2015; Kastberg &amp; Ek Österberg, 2017; Parker </w:t>
      </w:r>
      <w:r w:rsidRPr="001C79A6">
        <w:rPr>
          <w:i/>
        </w:rPr>
        <w:t>et al</w:t>
      </w:r>
      <w:r w:rsidRPr="00334C3C">
        <w:t>., 2019</w:t>
      </w:r>
      <w:r w:rsidRPr="00382579">
        <w:t>). During the 2000s, scholarly attention shifted towards corporate social responsibility (CSR) assurance as a voluntary mechanism for legitimacy repair following social and environmental controversies (</w:t>
      </w:r>
      <w:r w:rsidRPr="00334C3C">
        <w:t xml:space="preserve">Ackers &amp; Eccles, 2015; Perego &amp; Kolk, 2012; Simnett </w:t>
      </w:r>
      <w:r w:rsidRPr="001C79A6">
        <w:rPr>
          <w:i/>
        </w:rPr>
        <w:t>et al</w:t>
      </w:r>
      <w:r w:rsidRPr="00334C3C">
        <w:t>., 2009</w:t>
      </w:r>
      <w:r w:rsidRPr="00382579">
        <w:t>). In the current decade, the literature documents an unprecedented acceleration and diversification into ESG, carbon accounting, and digitally mediated assurance regimes (</w:t>
      </w:r>
      <w:r w:rsidRPr="00334C3C">
        <w:t xml:space="preserve">Aquino </w:t>
      </w:r>
      <w:r w:rsidRPr="001C79A6">
        <w:rPr>
          <w:i/>
        </w:rPr>
        <w:t>et al</w:t>
      </w:r>
      <w:r w:rsidRPr="00334C3C">
        <w:t xml:space="preserve">., 2022; Gipper </w:t>
      </w:r>
      <w:r w:rsidRPr="001C79A6">
        <w:rPr>
          <w:i/>
        </w:rPr>
        <w:t>et al</w:t>
      </w:r>
      <w:r w:rsidRPr="00334C3C">
        <w:t xml:space="preserve">., 2024; Gu </w:t>
      </w:r>
      <w:r w:rsidRPr="001C79A6">
        <w:rPr>
          <w:i/>
        </w:rPr>
        <w:t>et al</w:t>
      </w:r>
      <w:r w:rsidRPr="00334C3C">
        <w:t>., 2023</w:t>
      </w:r>
      <w:r w:rsidRPr="00382579">
        <w:t>). This trajectory indicates that NFIA has evolved from a peripheral governance device—often dismissed as symbolic (</w:t>
      </w:r>
      <w:r w:rsidRPr="00334C3C">
        <w:t xml:space="preserve">Boiral </w:t>
      </w:r>
      <w:r w:rsidRPr="001C79A6">
        <w:rPr>
          <w:i/>
        </w:rPr>
        <w:t>et al</w:t>
      </w:r>
      <w:r w:rsidRPr="00334C3C">
        <w:t xml:space="preserve">., 2019; Perego &amp; Kolk, 2012; </w:t>
      </w:r>
      <w:r>
        <w:t>Power, 1997a</w:t>
      </w:r>
      <w:r w:rsidRPr="00382579">
        <w:t xml:space="preserve">)—into a core </w:t>
      </w:r>
      <w:r>
        <w:t>part</w:t>
      </w:r>
      <w:r w:rsidRPr="00382579">
        <w:t xml:space="preserve"> of contemporary regulation</w:t>
      </w:r>
      <w:r>
        <w:t xml:space="preserve"> (</w:t>
      </w:r>
      <w:r w:rsidRPr="00334C3C">
        <w:t xml:space="preserve">Gu </w:t>
      </w:r>
      <w:r w:rsidRPr="001C79A6">
        <w:rPr>
          <w:i/>
        </w:rPr>
        <w:t>et al</w:t>
      </w:r>
      <w:r w:rsidRPr="00334C3C">
        <w:t>., 2023; Rika &amp; Jacobs, 2019</w:t>
      </w:r>
      <w:r>
        <w:t>)</w:t>
      </w:r>
      <w:r w:rsidRPr="00382579">
        <w:t>.</w:t>
      </w:r>
    </w:p>
    <w:p w14:paraId="34F24724" w14:textId="77777777" w:rsidR="00220EF0" w:rsidRPr="00382579" w:rsidRDefault="00220EF0" w:rsidP="00DF105F">
      <w:pPr>
        <w:spacing w:line="480" w:lineRule="auto"/>
        <w:ind w:firstLine="420"/>
        <w:jc w:val="both"/>
      </w:pPr>
      <w:r w:rsidRPr="00382579">
        <w:t>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w:t>
      </w:r>
      <w:r w:rsidRPr="00334C3C">
        <w:t xml:space="preserve">Ackers, 2009; Aquino </w:t>
      </w:r>
      <w:r w:rsidRPr="001C79A6">
        <w:rPr>
          <w:i/>
        </w:rPr>
        <w:t>et al</w:t>
      </w:r>
      <w:r w:rsidRPr="00334C3C">
        <w:t xml:space="preserve">., 2022; Gu </w:t>
      </w:r>
      <w:r w:rsidRPr="001C79A6">
        <w:rPr>
          <w:i/>
        </w:rPr>
        <w:t>et al</w:t>
      </w:r>
      <w:r w:rsidRPr="00334C3C">
        <w:t>., 2023</w:t>
      </w:r>
      <w:r w:rsidRPr="00382579">
        <w:t xml:space="preserve">). In this sense, the audit society has matured into what can be </w:t>
      </w:r>
      <w:r w:rsidRPr="00382579">
        <w:lastRenderedPageBreak/>
        <w:t xml:space="preserve">described as an </w:t>
      </w:r>
      <w:r w:rsidRPr="00F6494E">
        <w:t>audit planet,</w:t>
      </w:r>
      <w:r w:rsidRPr="00382579">
        <w:t xml:space="preserve"> where verification is not merely reactive but constitutive of how organisational and regulatory spaces are rendered governable.</w:t>
      </w:r>
    </w:p>
    <w:p w14:paraId="4D9FF191" w14:textId="77777777" w:rsidR="00220EF0" w:rsidRPr="00382579" w:rsidRDefault="00220EF0" w:rsidP="00DF105F">
      <w:pPr>
        <w:spacing w:line="480" w:lineRule="auto"/>
        <w:ind w:firstLine="420"/>
        <w:jc w:val="both"/>
      </w:pPr>
      <w:r w:rsidRPr="00382579">
        <w:t xml:space="preserve">NFIA provides a privileged empirical site for evaluating these developments because, unlike financial auditing, it remains visibly “in the making”. Financial audit has been largely stabilised and blackboxed through long-standing professional settlement. By contrast, NFIA is characterised by experimentation, contestation, and failure, as illustrated by the rise and decline of initiatives such as WebTrust (Barrett &amp; Gendron, 2006; </w:t>
      </w:r>
      <w:r w:rsidRPr="00F36DDB">
        <w:t>Gendron, Cooper and Townley, 2007</w:t>
      </w:r>
      <w:r w:rsidRPr="00382579">
        <w:t>)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0C031814" w14:textId="77777777" w:rsidR="00220EF0" w:rsidRPr="00382579" w:rsidRDefault="00220EF0" w:rsidP="00DF105F">
      <w:pPr>
        <w:spacing w:line="480" w:lineRule="auto"/>
        <w:jc w:val="both"/>
      </w:pPr>
    </w:p>
    <w:p w14:paraId="6DBF66EB" w14:textId="77777777" w:rsidR="00220EF0" w:rsidRPr="00382579" w:rsidRDefault="00220EF0" w:rsidP="00DF105F">
      <w:pPr>
        <w:spacing w:line="480" w:lineRule="auto"/>
        <w:jc w:val="both"/>
        <w:rPr>
          <w:i/>
          <w:iCs/>
        </w:rPr>
      </w:pPr>
      <w:r w:rsidRPr="00382579">
        <w:rPr>
          <w:i/>
          <w:iCs/>
        </w:rPr>
        <w:t>Legitimacy without Observation</w:t>
      </w:r>
    </w:p>
    <w:p w14:paraId="62DC334A" w14:textId="77777777" w:rsidR="00220EF0" w:rsidRPr="00382579" w:rsidRDefault="00220EF0" w:rsidP="00DF105F">
      <w:pPr>
        <w:spacing w:line="480" w:lineRule="auto"/>
        <w:ind w:firstLine="420"/>
        <w:jc w:val="both"/>
      </w:pPr>
      <w:r w:rsidRPr="00382579">
        <w:t xml:space="preserve">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programmes, and the formalisation of working papers (Boiral </w:t>
      </w:r>
      <w:r w:rsidRPr="001C79A6">
        <w:rPr>
          <w:i/>
        </w:rPr>
        <w:t>et al</w:t>
      </w:r>
      <w:r w:rsidRPr="00382579">
        <w:t xml:space="preserve">., 2019; Bepari &amp; Mollik, 2016; Larrinaga </w:t>
      </w:r>
      <w:r w:rsidRPr="001C79A6">
        <w:rPr>
          <w:i/>
        </w:rPr>
        <w:t>et al</w:t>
      </w:r>
      <w:r w:rsidRPr="00382579">
        <w:t>., 2018). These artefacts stabilise uncertainty inherent in non-financial data, translating heterogeneous social and environmental claims into defensible and auditable representations.</w:t>
      </w:r>
    </w:p>
    <w:p w14:paraId="34A889B5" w14:textId="77777777" w:rsidR="00220EF0" w:rsidRPr="00382579" w:rsidRDefault="00220EF0" w:rsidP="00DF105F">
      <w:pPr>
        <w:spacing w:line="480" w:lineRule="auto"/>
        <w:ind w:firstLine="420"/>
        <w:jc w:val="both"/>
      </w:pPr>
      <w:r w:rsidRPr="00382579">
        <w:lastRenderedPageBreak/>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Channuntapipat </w:t>
      </w:r>
      <w:r w:rsidRPr="001C79A6">
        <w:rPr>
          <w:i/>
        </w:rPr>
        <w:t>et al</w:t>
      </w:r>
      <w:r w:rsidRPr="00382579">
        <w:t xml:space="preserve">., 2019; O’Dwyer </w:t>
      </w:r>
      <w:r w:rsidRPr="001C79A6">
        <w:rPr>
          <w:i/>
        </w:rPr>
        <w:t>et al</w:t>
      </w:r>
      <w:r w:rsidRPr="00382579">
        <w:t>., 2011). By the time NFIA outputs reach external audiences, the contingent and negotiated nature of underlying performance has been largely erased, replaced by a rationalised narrative of compliance and rigour.</w:t>
      </w:r>
    </w:p>
    <w:p w14:paraId="40B7A6D7" w14:textId="77777777" w:rsidR="00220EF0" w:rsidRPr="00382579" w:rsidRDefault="00220EF0" w:rsidP="00DF105F">
      <w:pPr>
        <w:spacing w:line="480" w:lineRule="auto"/>
        <w:ind w:firstLine="420"/>
        <w:jc w:val="both"/>
      </w:pPr>
      <w:r w:rsidRPr="00382579">
        <w:t xml:space="preserve">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(Boiral </w:t>
      </w:r>
      <w:r w:rsidRPr="001C79A6">
        <w:rPr>
          <w:i/>
        </w:rPr>
        <w:t>et al</w:t>
      </w:r>
      <w:r w:rsidRPr="00382579">
        <w:t>., 201</w:t>
      </w:r>
      <w:r>
        <w:t>9</w:t>
      </w:r>
      <w:r w:rsidRPr="00382579">
        <w:t xml:space="preserve">; Taylor </w:t>
      </w:r>
      <w:r w:rsidRPr="001C79A6">
        <w:rPr>
          <w:i/>
        </w:rPr>
        <w:t>et al</w:t>
      </w:r>
      <w:r w:rsidRPr="00382579">
        <w:t xml:space="preserve">., 2001). Despite this, much of the empirical literature remains weakly reflexive, continuing to treat assurance as a proxy for objective performance rather than interrogating the procedural rituals through which such objectivity is produced (O’Dwyer </w:t>
      </w:r>
      <w:r w:rsidRPr="001C79A6">
        <w:rPr>
          <w:i/>
        </w:rPr>
        <w:t>et al</w:t>
      </w:r>
      <w:r w:rsidRPr="00382579">
        <w:t xml:space="preserve">., 2011; Boiral </w:t>
      </w:r>
      <w:r w:rsidRPr="001C79A6">
        <w:rPr>
          <w:i/>
        </w:rPr>
        <w:t>et al</w:t>
      </w:r>
      <w:r w:rsidRPr="00382579">
        <w:t>., 2019).</w:t>
      </w:r>
    </w:p>
    <w:p w14:paraId="608867E3" w14:textId="77777777" w:rsidR="00220EF0" w:rsidRPr="00382579" w:rsidRDefault="00220EF0" w:rsidP="00DF105F">
      <w:pPr>
        <w:spacing w:line="480" w:lineRule="auto"/>
        <w:jc w:val="both"/>
      </w:pPr>
    </w:p>
    <w:p w14:paraId="6C064AE0" w14:textId="77777777" w:rsidR="00220EF0" w:rsidRPr="00382579" w:rsidRDefault="00220EF0" w:rsidP="00DF105F">
      <w:pPr>
        <w:spacing w:line="480" w:lineRule="auto"/>
        <w:jc w:val="both"/>
        <w:rPr>
          <w:i/>
          <w:iCs/>
        </w:rPr>
      </w:pPr>
      <w:r w:rsidRPr="00382579">
        <w:rPr>
          <w:i/>
          <w:iCs/>
        </w:rPr>
        <w:t>Symbolic Verification and the Comfort Function</w:t>
      </w:r>
    </w:p>
    <w:p w14:paraId="4873644B" w14:textId="77777777" w:rsidR="00220EF0" w:rsidRPr="00382579" w:rsidRDefault="00220EF0" w:rsidP="00DF105F">
      <w:pPr>
        <w:spacing w:line="480" w:lineRule="auto"/>
        <w:ind w:firstLine="420"/>
        <w:jc w:val="both"/>
      </w:pPr>
      <w:r w:rsidRPr="00382579">
        <w:t>Whereas procedural legitimacy concerns how assurance stabilises itself internally as a credible practice, the comfort function captures how that credibility is mobilised externally to reassure markets and stakeholders.</w:t>
      </w:r>
    </w:p>
    <w:p w14:paraId="0DDB60E6" w14:textId="77777777" w:rsidR="00220EF0" w:rsidRPr="00382579" w:rsidRDefault="00220EF0" w:rsidP="00DF105F">
      <w:pPr>
        <w:spacing w:line="480" w:lineRule="auto"/>
        <w:ind w:firstLine="420"/>
        <w:jc w:val="both"/>
      </w:pPr>
      <w:r w:rsidRPr="00382579">
        <w:lastRenderedPageBreak/>
        <w:t>The CSR and ESG assurance literature strongly corroborates the “comfort function” identified in the audit society thesis (</w:t>
      </w:r>
      <w:r>
        <w:t>Power, 1997a</w:t>
      </w:r>
      <w:r w:rsidRPr="00382579">
        <w:t xml:space="preserve">). Rather than driving substantive organisational transformation, NFIA frequently operates as a ritual of verification that produces reassurance for investors and regulators (Fuhrmann </w:t>
      </w:r>
      <w:r w:rsidRPr="001C79A6">
        <w:rPr>
          <w:i/>
        </w:rPr>
        <w:t>et al</w:t>
      </w:r>
      <w:r w:rsidRPr="00382579">
        <w:t xml:space="preserve">., 2017; Clarkson </w:t>
      </w:r>
      <w:r w:rsidRPr="001C79A6">
        <w:rPr>
          <w:i/>
        </w:rPr>
        <w:t>et al</w:t>
      </w:r>
      <w:r w:rsidRPr="00382579">
        <w:t>., 2019). Clear displacement effects are evident, whereby documentation and symbolic disclosure become ends in themselves, increasingly decoupled from underlying social or environmental outcomes (Perego &amp; Kolk, 2012; Bepari &amp; Mollik, 2016).</w:t>
      </w:r>
    </w:p>
    <w:p w14:paraId="34210E41" w14:textId="77777777" w:rsidR="00220EF0" w:rsidRPr="00382579" w:rsidRDefault="00220EF0" w:rsidP="00DF105F">
      <w:pPr>
        <w:spacing w:line="480" w:lineRule="auto"/>
        <w:ind w:firstLine="420"/>
        <w:jc w:val="both"/>
      </w:pPr>
      <w:r w:rsidRPr="00382579">
        <w:t xml:space="preserve">This symbolic verification is mediated through reputational heuristics and moral licensing. The presence of a Big 4 assurance provider frequently substitutes for scrutiny of assurance scope or depth (Clarkson </w:t>
      </w:r>
      <w:r w:rsidRPr="001C79A6">
        <w:rPr>
          <w:i/>
        </w:rPr>
        <w:t>et al</w:t>
      </w:r>
      <w:r w:rsidRPr="00382579">
        <w:t xml:space="preserve">., 2019; Casey &amp; Grenier, 2015; Yang &amp; Maresova, 2025). While provider identity underwrites investment decisions and risk assessments, moral licensing effects suggest that ESG assurance may also legitimise aggressive financial reporting or continued environmental externalisation (Douthit </w:t>
      </w:r>
      <w:r w:rsidRPr="001C79A6">
        <w:rPr>
          <w:i/>
        </w:rPr>
        <w:t>et al</w:t>
      </w:r>
      <w:r w:rsidRPr="00382579">
        <w:t>., 202</w:t>
      </w:r>
      <w:r>
        <w:t>4</w:t>
      </w:r>
      <w:r w:rsidRPr="00382579">
        <w:t>).</w:t>
      </w:r>
    </w:p>
    <w:p w14:paraId="732C9E04" w14:textId="77777777" w:rsidR="00220EF0" w:rsidRPr="00382579" w:rsidRDefault="00220EF0" w:rsidP="00DF105F">
      <w:pPr>
        <w:spacing w:line="480" w:lineRule="auto"/>
        <w:ind w:firstLine="420"/>
        <w:jc w:val="both"/>
      </w:pPr>
      <w:r w:rsidRPr="00382579">
        <w:t xml:space="preserve">A key contribution of the NFIA literature is showing that comfort production has migrated from public-sector governance into financialised markets. Whereas </w:t>
      </w:r>
      <w:r>
        <w:t>Power (1997a)</w:t>
      </w:r>
      <w:r w:rsidRPr="00382579">
        <w:t xml:space="preserve"> framed audit as governing at a distance within the state, NFIA now operates as a market-facing infrastructure supplying the institutional comfort required for the circulation of capital under uncertainty.</w:t>
      </w:r>
    </w:p>
    <w:p w14:paraId="11B6E775" w14:textId="77777777" w:rsidR="00220EF0" w:rsidRPr="00382579" w:rsidRDefault="00220EF0" w:rsidP="00DF105F">
      <w:pPr>
        <w:spacing w:line="480" w:lineRule="auto"/>
        <w:ind w:firstLine="420"/>
        <w:jc w:val="both"/>
      </w:pPr>
    </w:p>
    <w:p w14:paraId="30DA2B7A" w14:textId="77777777" w:rsidR="00220EF0" w:rsidRPr="00382579" w:rsidRDefault="00220EF0" w:rsidP="00DF105F">
      <w:pPr>
        <w:spacing w:line="480" w:lineRule="auto"/>
        <w:jc w:val="both"/>
        <w:rPr>
          <w:i/>
          <w:iCs/>
        </w:rPr>
      </w:pPr>
      <w:r w:rsidRPr="00382579">
        <w:rPr>
          <w:i/>
          <w:iCs/>
        </w:rPr>
        <w:t>Control of Control in Non-Financial Domains</w:t>
      </w:r>
    </w:p>
    <w:p w14:paraId="3CC2B519" w14:textId="77777777" w:rsidR="00220EF0" w:rsidRPr="00382579" w:rsidRDefault="00220EF0" w:rsidP="00DF105F">
      <w:pPr>
        <w:spacing w:line="480" w:lineRule="auto"/>
        <w:ind w:firstLine="420"/>
        <w:jc w:val="both"/>
      </w:pPr>
      <w:r w:rsidRPr="00382579">
        <w:lastRenderedPageBreak/>
        <w:t xml:space="preserve">Consistent with Power’s (2003b) analysis, NFIA research confirms a marked shift away from first-order operational scrutiny towards the “control of control”. Assurors rarely verify actual environmental or social impacts, focusing instead on the management systems and internal controls through which organisations claim to measure those impacts (Owen </w:t>
      </w:r>
      <w:r w:rsidRPr="001C79A6">
        <w:rPr>
          <w:i/>
        </w:rPr>
        <w:t>et al</w:t>
      </w:r>
      <w:r w:rsidRPr="00382579">
        <w:t xml:space="preserve">., 2000; Bepari &amp; Mollik, 2016; Hummel </w:t>
      </w:r>
      <w:r w:rsidRPr="001C79A6">
        <w:rPr>
          <w:i/>
        </w:rPr>
        <w:t>et al</w:t>
      </w:r>
      <w:r w:rsidRPr="00382579">
        <w:t>., 201</w:t>
      </w:r>
      <w:r>
        <w:t>9</w:t>
      </w:r>
      <w:r w:rsidRPr="00382579">
        <w:t>). This systems-oriented focus privileges procedural integrity over substantive outcomes.</w:t>
      </w:r>
    </w:p>
    <w:p w14:paraId="14AA4864" w14:textId="77777777" w:rsidR="00220EF0" w:rsidRPr="00382579" w:rsidRDefault="00220EF0" w:rsidP="00DF105F">
      <w:pPr>
        <w:spacing w:line="480" w:lineRule="auto"/>
        <w:ind w:firstLine="420"/>
        <w:jc w:val="both"/>
      </w:pPr>
      <w:r w:rsidRPr="00382579">
        <w:t>The implications for accountability are significant. Environmental and social problems are reframed as technical matters of risk management and compliance, facilitating blame avoidance and liability management (Skærbæk &amp; Christensen, 2015; Radcliffe, 2008; Cordery &amp; Hay, 2019). In this process, political and ethical dimensions are cooled and transformed into governable calculative territories.</w:t>
      </w:r>
    </w:p>
    <w:p w14:paraId="63A7E2AB" w14:textId="77777777" w:rsidR="00220EF0" w:rsidRPr="00382579" w:rsidRDefault="00220EF0" w:rsidP="00DF105F">
      <w:pPr>
        <w:spacing w:line="480" w:lineRule="auto"/>
        <w:ind w:firstLine="420"/>
        <w:jc w:val="both"/>
      </w:pPr>
      <w:r w:rsidRPr="00382579">
        <w:t>In domains such as climate change and ESG, this control-of-control logic is not merely strategic but often unavoidable. Where phenomena are diffuse, uncertain, or future-oriented, auditing management systems becomes the primary means of enacting accountability. NFIA thus intensifies the dynamics identified by Power (2003b), rendering system-level control the dominant object of governance.</w:t>
      </w:r>
    </w:p>
    <w:p w14:paraId="3AAF98C2" w14:textId="77777777" w:rsidR="00220EF0" w:rsidRPr="00382579" w:rsidRDefault="00220EF0" w:rsidP="00DF105F">
      <w:pPr>
        <w:spacing w:line="480" w:lineRule="auto"/>
        <w:jc w:val="both"/>
      </w:pPr>
    </w:p>
    <w:p w14:paraId="7D840DC2" w14:textId="77777777" w:rsidR="00220EF0" w:rsidRPr="00382579" w:rsidRDefault="00220EF0" w:rsidP="00DF105F">
      <w:pPr>
        <w:spacing w:line="480" w:lineRule="auto"/>
        <w:jc w:val="both"/>
        <w:rPr>
          <w:i/>
          <w:iCs/>
        </w:rPr>
      </w:pPr>
      <w:r w:rsidRPr="00382579">
        <w:rPr>
          <w:i/>
          <w:iCs/>
        </w:rPr>
        <w:t>Professional Identities in an Audit Planet</w:t>
      </w:r>
    </w:p>
    <w:p w14:paraId="4E10D006" w14:textId="77777777" w:rsidR="00220EF0" w:rsidRPr="00382579" w:rsidRDefault="00220EF0" w:rsidP="00DF105F">
      <w:pPr>
        <w:spacing w:line="480" w:lineRule="auto"/>
        <w:ind w:firstLine="420"/>
        <w:jc w:val="both"/>
      </w:pPr>
      <w:r w:rsidRPr="00382579">
        <w:t xml:space="preserve">NFIA constitutes a critical site for the production of new calculative subjectivities. The literature documents hybrid professional identities, including sustainability auditors navigating tensions between accounting logic and scientific expertise, and </w:t>
      </w:r>
      <w:r w:rsidRPr="00382579">
        <w:lastRenderedPageBreak/>
        <w:t>professionalised auditees adept at managing inspection regimes (Maltby, 1995; O’Dwyer, 2011; Gillet-Monjarret, 2022).</w:t>
      </w:r>
    </w:p>
    <w:p w14:paraId="76095C74" w14:textId="77777777" w:rsidR="00220EF0" w:rsidRPr="00382579" w:rsidRDefault="00220EF0" w:rsidP="00DF105F">
      <w:pPr>
        <w:spacing w:line="480" w:lineRule="auto"/>
        <w:jc w:val="both"/>
      </w:pPr>
      <w:r w:rsidRPr="00382579">
        <w:t xml:space="preserve">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(Boiral </w:t>
      </w:r>
      <w:r w:rsidRPr="001C79A6">
        <w:rPr>
          <w:i/>
        </w:rPr>
        <w:t>et al</w:t>
      </w:r>
      <w:r w:rsidRPr="00382579">
        <w:t>., 2019; Bepari &amp; Mollik, 2016; Farooq &amp; de Villiers, 2019). The growing dominance of accounting firms signals a subjectivisation of the assuror as a risk-oriented procedural actor.</w:t>
      </w:r>
    </w:p>
    <w:p w14:paraId="602CCC05" w14:textId="77777777" w:rsidR="00220EF0" w:rsidRPr="00382579" w:rsidRDefault="00220EF0" w:rsidP="00DF105F">
      <w:pPr>
        <w:spacing w:line="480" w:lineRule="auto"/>
        <w:ind w:firstLine="420"/>
        <w:jc w:val="both"/>
      </w:pPr>
      <w:r w:rsidRPr="00FA61E5">
        <w:t>Conversely</w:t>
      </w:r>
      <w:r>
        <w:t xml:space="preserve">, </w:t>
      </w:r>
      <w:r w:rsidRPr="00382579">
        <w:t xml:space="preserve">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w:t>
      </w:r>
      <w:r w:rsidRPr="001C79A6">
        <w:rPr>
          <w:i/>
        </w:rPr>
        <w:t>et al</w:t>
      </w:r>
      <w:r w:rsidRPr="00382579">
        <w:t xml:space="preserve">., 2019; Green </w:t>
      </w:r>
      <w:r w:rsidRPr="001C79A6">
        <w:rPr>
          <w:i/>
        </w:rPr>
        <w:t>et al</w:t>
      </w:r>
      <w:r w:rsidRPr="00382579">
        <w:t xml:space="preserve">., 2017; Ekasingh </w:t>
      </w:r>
      <w:r w:rsidRPr="001C79A6">
        <w:rPr>
          <w:i/>
        </w:rPr>
        <w:t>et al</w:t>
      </w:r>
      <w:r w:rsidRPr="00382579">
        <w:t>., 20</w:t>
      </w:r>
      <w:r>
        <w:t>19</w:t>
      </w:r>
      <w:r w:rsidRPr="00382579">
        <w:t>). In the audit planet, professional identity becomes situational and continuously reconfigured.</w:t>
      </w:r>
    </w:p>
    <w:p w14:paraId="319BBBA7" w14:textId="77777777" w:rsidR="00220EF0" w:rsidRPr="00382579" w:rsidRDefault="00220EF0" w:rsidP="00DF105F">
      <w:pPr>
        <w:spacing w:line="480" w:lineRule="auto"/>
        <w:jc w:val="both"/>
      </w:pPr>
    </w:p>
    <w:p w14:paraId="3E7AB55C" w14:textId="77777777" w:rsidR="00220EF0" w:rsidRPr="00382579" w:rsidRDefault="00220EF0" w:rsidP="00DF105F">
      <w:pPr>
        <w:spacing w:line="480" w:lineRule="auto"/>
        <w:jc w:val="both"/>
        <w:rPr>
          <w:i/>
          <w:iCs/>
        </w:rPr>
      </w:pPr>
      <w:r w:rsidRPr="00382579">
        <w:rPr>
          <w:i/>
          <w:iCs/>
        </w:rPr>
        <w:t>From Audit Society to Audit Planet</w:t>
      </w:r>
    </w:p>
    <w:p w14:paraId="048C4D09" w14:textId="77777777" w:rsidR="00220EF0" w:rsidRPr="00382579" w:rsidRDefault="00220EF0" w:rsidP="00DF105F">
      <w:pPr>
        <w:spacing w:line="480" w:lineRule="auto"/>
        <w:ind w:firstLine="420"/>
        <w:jc w:val="both"/>
      </w:pPr>
      <w:r w:rsidRPr="00382579">
        <w:t xml:space="preserve">Taken together, the findings indicate that NFIA represents a qualitative evolution of the audit society diagnosed by Power. While the audit explosion was initially framed as the diffusion of verification practices into new domains, contemporary NFIA reveals a further transformation: audit has become infrastructural, generative, and constitutive of the objects it governs. NFIA does not merely extend audit techniques into sustainability </w:t>
      </w:r>
      <w:r w:rsidRPr="00382579">
        <w:lastRenderedPageBreak/>
        <w:t xml:space="preserve">and climate reporting; it participates in constructing the conditions under which these domains become auditable (Power, 1996; Aquino </w:t>
      </w:r>
      <w:r w:rsidRPr="001C79A6">
        <w:rPr>
          <w:i/>
        </w:rPr>
        <w:t>et al</w:t>
      </w:r>
      <w:r w:rsidRPr="00382579">
        <w:t>., 202</w:t>
      </w:r>
      <w:r>
        <w:t>2</w:t>
      </w:r>
      <w:r w:rsidRPr="00382579">
        <w:t xml:space="preserve">; Gu </w:t>
      </w:r>
      <w:r w:rsidRPr="001C79A6">
        <w:rPr>
          <w:i/>
        </w:rPr>
        <w:t>et al</w:t>
      </w:r>
      <w:r w:rsidRPr="00382579">
        <w:t>., 2023).</w:t>
      </w:r>
    </w:p>
    <w:p w14:paraId="1574181B" w14:textId="77777777" w:rsidR="00220EF0" w:rsidRPr="00382579" w:rsidRDefault="00220EF0" w:rsidP="00DF105F">
      <w:pPr>
        <w:spacing w:line="480" w:lineRule="auto"/>
        <w:ind w:firstLine="420"/>
        <w:jc w:val="both"/>
      </w:pPr>
      <w:r w:rsidRPr="00382579">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21CD8260" w14:textId="77777777" w:rsidR="00220EF0" w:rsidRPr="00382579" w:rsidRDefault="00220EF0" w:rsidP="00DF105F">
      <w:pPr>
        <w:spacing w:line="480" w:lineRule="auto"/>
        <w:ind w:firstLine="420"/>
        <w:jc w:val="both"/>
      </w:pPr>
      <w:r w:rsidRPr="00382579">
        <w:t>The concept of an audit planet is advanced here as an analytical extension rather than a rejection of the audit society thesis. In this configuration, audit becomes a background 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w:t>
      </w:r>
      <w:r w:rsidRPr="003E3B82">
        <w:t xml:space="preserve">Carey, Khan, Mihret and Muttakin, 2021; Oware &amp; Appiah, 2022; </w:t>
      </w:r>
      <w:r w:rsidRPr="00DB02B3">
        <w:t>Tetteh, Agyenim-Boateng and Simpson, 2023</w:t>
      </w:r>
      <w:r>
        <w:t>).</w:t>
      </w:r>
    </w:p>
    <w:p w14:paraId="640F6A0D" w14:textId="77777777" w:rsidR="00220EF0" w:rsidRPr="00382579" w:rsidRDefault="00220EF0" w:rsidP="00DF105F">
      <w:pPr>
        <w:spacing w:line="480" w:lineRule="auto"/>
        <w:ind w:firstLine="420"/>
        <w:jc w:val="both"/>
      </w:pPr>
      <w:r>
        <w:t>Meanwhile</w:t>
      </w:r>
      <w:r w:rsidRPr="00382579">
        <w:t>,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3E645202" w14:textId="77777777" w:rsidR="00220EF0" w:rsidRPr="00382579" w:rsidRDefault="00220EF0" w:rsidP="00DF105F">
      <w:pPr>
        <w:spacing w:line="480" w:lineRule="auto"/>
        <w:jc w:val="both"/>
      </w:pPr>
    </w:p>
    <w:p w14:paraId="29AAF609" w14:textId="77777777" w:rsidR="00220EF0" w:rsidRPr="00382579" w:rsidRDefault="00220EF0" w:rsidP="00DF105F">
      <w:pPr>
        <w:spacing w:line="480" w:lineRule="auto"/>
        <w:jc w:val="both"/>
        <w:rPr>
          <w:i/>
          <w:iCs/>
        </w:rPr>
      </w:pPr>
      <w:r w:rsidRPr="00382579">
        <w:rPr>
          <w:i/>
          <w:iCs/>
        </w:rPr>
        <w:lastRenderedPageBreak/>
        <w:t>Conclusion</w:t>
      </w:r>
    </w:p>
    <w:p w14:paraId="1EAD92E9" w14:textId="77777777" w:rsidR="00220EF0" w:rsidRPr="00382579" w:rsidRDefault="00220EF0" w:rsidP="00DF105F">
      <w:pPr>
        <w:spacing w:line="480" w:lineRule="auto"/>
        <w:ind w:firstLine="420"/>
        <w:jc w:val="both"/>
      </w:pPr>
      <w:r w:rsidRPr="00382579">
        <w:t xml:space="preserve">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w:t>
      </w:r>
      <w:r>
        <w:t>(</w:t>
      </w:r>
      <w:r w:rsidRPr="00334C3C">
        <w:t xml:space="preserve">Cordery &amp; Hay, 2022; English, 2003; </w:t>
      </w:r>
      <w:r w:rsidRPr="00FB62E4">
        <w:t>Nath, Othman and Laswad, 2019</w:t>
      </w:r>
      <w:r>
        <w:t xml:space="preserve">) </w:t>
      </w:r>
      <w:r w:rsidRPr="00382579">
        <w:t>towards market-facing governance</w:t>
      </w:r>
      <w:r>
        <w:t xml:space="preserve"> (</w:t>
      </w:r>
      <w:r w:rsidRPr="00334C3C">
        <w:t xml:space="preserve">Moroney </w:t>
      </w:r>
      <w:r w:rsidRPr="001C79A6">
        <w:rPr>
          <w:i/>
        </w:rPr>
        <w:t>et al</w:t>
      </w:r>
      <w:r w:rsidRPr="00334C3C">
        <w:t xml:space="preserve">., 2012; Taylor </w:t>
      </w:r>
      <w:r w:rsidRPr="001C79A6">
        <w:rPr>
          <w:i/>
        </w:rPr>
        <w:t>et al</w:t>
      </w:r>
      <w:r w:rsidRPr="00334C3C">
        <w:t>., 2001</w:t>
      </w:r>
      <w:r>
        <w:t>)</w:t>
      </w:r>
      <w:r w:rsidRPr="00382579">
        <w:t>, system-based control</w:t>
      </w:r>
      <w:r>
        <w:t xml:space="preserve"> (</w:t>
      </w:r>
      <w:r w:rsidRPr="001A79FD">
        <w:t>English, 2007; Kastberg &amp; Ek Österberg, 2017</w:t>
      </w:r>
      <w:r>
        <w:t>)</w:t>
      </w:r>
      <w:r w:rsidRPr="00382579">
        <w:t>, and capital-market consequences</w:t>
      </w:r>
      <w:r>
        <w:t xml:space="preserve"> (</w:t>
      </w:r>
      <w:r w:rsidRPr="001F47D7">
        <w:t xml:space="preserve">Baier, Göttsche, Hellmann and Schiemann, 2022; </w:t>
      </w:r>
      <w:r w:rsidRPr="00110C5D">
        <w:t>Caglio, Melloni and Perego, 2020</w:t>
      </w:r>
      <w:r>
        <w:t>)</w:t>
      </w:r>
      <w:r w:rsidRPr="00382579">
        <w:t>, reflecting the deep entrenchment of audit logics within sustainability, ESG, and climate governance</w:t>
      </w:r>
      <w:r>
        <w:t xml:space="preserve"> (</w:t>
      </w:r>
      <w:r w:rsidRPr="001A79FD">
        <w:t xml:space="preserve">Bouten &amp; Hoozée, 2025; Parker </w:t>
      </w:r>
      <w:r w:rsidRPr="001C79A6">
        <w:rPr>
          <w:i/>
        </w:rPr>
        <w:t>et al</w:t>
      </w:r>
      <w:r w:rsidRPr="001A79FD">
        <w:t>., 2021; Silvola &amp; Vinnari, 2021</w:t>
      </w:r>
      <w:r>
        <w:t>)</w:t>
      </w:r>
      <w:r w:rsidRPr="00382579">
        <w:t>.</w:t>
      </w:r>
    </w:p>
    <w:p w14:paraId="03E9ADBE" w14:textId="77777777" w:rsidR="00220EF0" w:rsidRPr="00382579" w:rsidRDefault="00220EF0" w:rsidP="00DF105F">
      <w:pPr>
        <w:spacing w:line="480" w:lineRule="auto"/>
        <w:ind w:firstLine="420"/>
        <w:jc w:val="both"/>
      </w:pPr>
      <w:r w:rsidRPr="00382579">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Channuntapipat </w:t>
      </w:r>
      <w:r w:rsidRPr="001C79A6">
        <w:rPr>
          <w:i/>
        </w:rPr>
        <w:t>et al</w:t>
      </w:r>
      <w:r w:rsidRPr="00382579">
        <w:t>., 2019). Research on symbolic verification, moral licensing, and reputational heuristics confirms the enduring comfort function of audit (</w:t>
      </w:r>
      <w:r>
        <w:t>Power, 1997a</w:t>
      </w:r>
      <w:r w:rsidRPr="00382579">
        <w:t xml:space="preserve">; Clarkson </w:t>
      </w:r>
      <w:r w:rsidRPr="001C79A6">
        <w:rPr>
          <w:i/>
        </w:rPr>
        <w:t>et al</w:t>
      </w:r>
      <w:r w:rsidRPr="00382579">
        <w:t xml:space="preserve">., 2019; Douthit </w:t>
      </w:r>
      <w:r w:rsidRPr="001C79A6">
        <w:rPr>
          <w:i/>
        </w:rPr>
        <w:t>et al</w:t>
      </w:r>
      <w:r w:rsidRPr="00382579">
        <w:t xml:space="preserve">., 2025). Analyses of system-focused assurance, risk management, and blame avoidance extend the control-of-control logic into non-financial domains characterised by uncertainty (Power, 2003b; Bepari &amp; Mollik, 2016; Skærbæk &amp; Christensen, 2015). Finally, work on professional identity and jurisdictional competition illustrates how audit subjectivities are actively constructed and destabilised within contemporary assurance practices (O’Dwyer, 2011; Boiral </w:t>
      </w:r>
      <w:r w:rsidRPr="001C79A6">
        <w:rPr>
          <w:i/>
        </w:rPr>
        <w:t>et al</w:t>
      </w:r>
      <w:r w:rsidRPr="00382579">
        <w:t>., 2019).</w:t>
      </w:r>
    </w:p>
    <w:p w14:paraId="36BB153C" w14:textId="77777777" w:rsidR="00220EF0" w:rsidRDefault="00220EF0" w:rsidP="00DF105F">
      <w:pPr>
        <w:spacing w:line="480" w:lineRule="auto"/>
        <w:jc w:val="both"/>
      </w:pPr>
      <w:r w:rsidRPr="00382579">
        <w:lastRenderedPageBreak/>
        <w:t>Despite this progress, empirical attention remains uneven. Adjudicatory effects are concentrated in CSR and ESG contexts where data infrastructures enable quantification, while performance audit and emerging domains—most notably carbon and climate assurance—remain under-explored</w:t>
      </w:r>
      <w:r>
        <w:t xml:space="preserve"> (</w:t>
      </w:r>
      <w:r w:rsidRPr="000C7B13">
        <w:t>Datt, Luo, Tang and Mallik, 2018</w:t>
      </w:r>
      <w:r w:rsidRPr="001A79FD">
        <w:t xml:space="preserve">; Green &amp; Taylor, 2013; </w:t>
      </w:r>
      <w:r w:rsidRPr="009205C4">
        <w:t>Zhou, Simnett and Green, 2016</w:t>
      </w:r>
      <w:r>
        <w:t>)</w:t>
      </w:r>
      <w:r w:rsidRPr="00382579">
        <w:t>. Consequently, much of the literature captures audit after its calculative assumptions have stabilised</w:t>
      </w:r>
      <w:r>
        <w:t xml:space="preserve"> (</w:t>
      </w:r>
      <w:r w:rsidRPr="001A79FD">
        <w:t>Power, 1996</w:t>
      </w:r>
      <w:r>
        <w:t>)</w:t>
      </w:r>
      <w:r w:rsidRPr="00382579">
        <w:t>, leaving formative moments of auditability construction insufficiently examined.</w:t>
      </w:r>
    </w:p>
    <w:p w14:paraId="422A7603" w14:textId="77777777" w:rsidR="00220EF0" w:rsidRPr="00382579" w:rsidRDefault="00220EF0" w:rsidP="00DF105F">
      <w:pPr>
        <w:spacing w:line="480" w:lineRule="auto"/>
        <w:jc w:val="both"/>
      </w:pPr>
      <w:r>
        <w:tab/>
      </w:r>
      <w:r w:rsidRPr="003F019A">
        <w:t>This review is subject to several limitations. First, it focuses on empirical NFIA studies published in A and A* accounting and auditing journals, prioritising depth and theoretical coherence over breadth. As a result, relevant work in adjacent fields—such as science and technology studies, environmental governance, and legal scholarship—falls outside the scope of the analysis. Second, the review necessarily relies on published empirical accounts, which, by design, tend to examine assurance practices after calculative frameworks and standards have stabilised</w:t>
      </w:r>
      <w:r>
        <w:t xml:space="preserve"> (</w:t>
      </w:r>
      <w:r w:rsidRPr="009B6798">
        <w:t>Channuntapipat et al., 2019; Gendron &amp; Barrett, 2004; Humphrey, 2008; O'Dwyer, 2011; Power, 1996</w:t>
      </w:r>
      <w:r>
        <w:t>)</w:t>
      </w:r>
      <w:r w:rsidRPr="003F019A">
        <w:t>. Consequently, early-stage struggles over auditability, as well as failed or abandoned initiatives, may be under-represented. Finally, while Power’s (2003a, 2003b) later refinements provide a productive interpretive lens, they also shape what becomes visible in the synthesis; alternative theoretical framings may reveal different dynamics within the same corpus.</w:t>
      </w:r>
    </w:p>
    <w:p w14:paraId="71FE3B69" w14:textId="77777777" w:rsidR="00220EF0" w:rsidRPr="00382579" w:rsidRDefault="00220EF0" w:rsidP="00DF105F">
      <w:pPr>
        <w:spacing w:line="480" w:lineRule="auto"/>
        <w:ind w:firstLine="420"/>
        <w:jc w:val="both"/>
      </w:pPr>
      <w:r w:rsidRPr="00382579">
        <w:t>Future research should therefore focus on these early-stage dynamics, investigating how new assurance domains are assembled before becoming blackboxed</w:t>
      </w:r>
      <w:r>
        <w:t xml:space="preserve"> </w:t>
      </w:r>
      <w:r w:rsidRPr="00DB396A">
        <w:t>(Humphrey, 2008; Power, 1996</w:t>
      </w:r>
      <w:r>
        <w:t>)</w:t>
      </w:r>
      <w:r w:rsidRPr="00382579">
        <w:t xml:space="preserve">. Greater attention to hybrid assurance models, political and </w:t>
      </w:r>
      <w:r w:rsidRPr="00382579">
        <w:lastRenderedPageBreak/>
        <w:t>managerial mediation, and lived audit subjectivities would deepen understanding of how the audit planet is being built and governed.</w:t>
      </w:r>
    </w:p>
    <w:p w14:paraId="413A21AE" w14:textId="77777777" w:rsidR="00220EF0" w:rsidRPr="00382579" w:rsidRDefault="00220EF0" w:rsidP="00DF105F">
      <w:pPr>
        <w:spacing w:line="480" w:lineRule="auto"/>
        <w:jc w:val="both"/>
      </w:pPr>
    </w:p>
    <w:p w14:paraId="6E2AF7D6" w14:textId="77777777" w:rsidR="00220EF0" w:rsidRPr="00382579" w:rsidRDefault="00220EF0">
      <w:pPr>
        <w:rPr>
          <w:b/>
          <w:bCs/>
        </w:rPr>
      </w:pPr>
      <w:r w:rsidRPr="00382579">
        <w:rPr>
          <w:b/>
          <w:bCs/>
        </w:rPr>
        <w:br w:type="page"/>
      </w:r>
    </w:p>
    <w:p w14:paraId="0172AE9A" w14:textId="77777777" w:rsidR="00220EF0" w:rsidRPr="00382579" w:rsidRDefault="00220EF0" w:rsidP="00980639">
      <w:pPr>
        <w:spacing w:line="480" w:lineRule="auto"/>
        <w:jc w:val="center"/>
        <w:rPr>
          <w:b/>
          <w:bCs/>
        </w:rPr>
      </w:pPr>
      <w:r w:rsidRPr="00382579">
        <w:rPr>
          <w:b/>
          <w:bCs/>
        </w:rPr>
        <w:lastRenderedPageBreak/>
        <w:t>References</w:t>
      </w:r>
    </w:p>
    <w:p w14:paraId="27A1061D" w14:textId="77777777" w:rsidR="00220EF0" w:rsidRDefault="00220EF0" w:rsidP="00980639">
      <w:pPr>
        <w:spacing w:line="480" w:lineRule="auto"/>
      </w:pPr>
    </w:p>
    <w:p w14:paraId="67745AE7" w14:textId="77777777" w:rsidR="00220EF0" w:rsidRPr="004249DA" w:rsidRDefault="00220EF0" w:rsidP="001D291B">
      <w:pPr>
        <w:spacing w:line="480" w:lineRule="auto"/>
        <w:ind w:left="567" w:hanging="567"/>
        <w:jc w:val="both"/>
      </w:pPr>
      <w:r w:rsidRPr="004249DA">
        <w:t xml:space="preserve">Ackers, B. (2009), “Corporate social responsibility assurance: how do South African publicly listed companies compare?”, </w:t>
      </w:r>
      <w:r w:rsidRPr="004249DA">
        <w:rPr>
          <w:i/>
          <w:iCs/>
        </w:rPr>
        <w:t>Meditari Accountancy Research</w:t>
      </w:r>
      <w:r w:rsidRPr="004249DA">
        <w:t>, Vol. 17 No. 2, pp. 1–17.</w:t>
      </w:r>
    </w:p>
    <w:p w14:paraId="75D0497C" w14:textId="77777777" w:rsidR="00220EF0" w:rsidRPr="004249DA" w:rsidRDefault="00220EF0" w:rsidP="001D291B">
      <w:pPr>
        <w:spacing w:line="480" w:lineRule="auto"/>
        <w:ind w:left="567" w:hanging="567"/>
        <w:jc w:val="both"/>
      </w:pPr>
      <w:r w:rsidRPr="004249DA">
        <w:t>Ackers, B. and Eccles, N.</w:t>
      </w:r>
      <w:r>
        <w:t xml:space="preserve"> </w:t>
      </w:r>
      <w:r w:rsidRPr="004249DA">
        <w:t xml:space="preserve">S. (2015), “Mandatory corporate social responsibility assurance practices”, </w:t>
      </w:r>
      <w:r w:rsidRPr="004249DA">
        <w:rPr>
          <w:i/>
          <w:iCs/>
        </w:rPr>
        <w:t>Accounting, Auditing &amp; Accountability Journal</w:t>
      </w:r>
      <w:r w:rsidRPr="004249DA">
        <w:t>, Vol. 28 No. 4, pp. 515–550.</w:t>
      </w:r>
    </w:p>
    <w:p w14:paraId="52A0226A" w14:textId="77777777" w:rsidR="00220EF0" w:rsidRPr="004249DA" w:rsidRDefault="00220EF0" w:rsidP="001D291B">
      <w:pPr>
        <w:spacing w:line="480" w:lineRule="auto"/>
        <w:ind w:left="567" w:hanging="567"/>
        <w:jc w:val="both"/>
      </w:pPr>
      <w:r w:rsidRPr="004249DA">
        <w:t xml:space="preserve">Adams, S., Hall, M. and Xiao, X. (2024), “Styles of verification and the pursuit of organisational repair: the case of social impact”, </w:t>
      </w:r>
      <w:r w:rsidRPr="004249DA">
        <w:rPr>
          <w:i/>
          <w:iCs/>
        </w:rPr>
        <w:t>Accounting, Organizations and Society</w:t>
      </w:r>
      <w:r w:rsidRPr="004249DA">
        <w:t>, Vol. 113, 101478.</w:t>
      </w:r>
    </w:p>
    <w:p w14:paraId="64552CD3" w14:textId="77777777" w:rsidR="00220EF0" w:rsidRPr="004249DA" w:rsidRDefault="00220EF0" w:rsidP="001D291B">
      <w:pPr>
        <w:spacing w:line="480" w:lineRule="auto"/>
        <w:ind w:left="567" w:hanging="567"/>
        <w:jc w:val="both"/>
      </w:pPr>
      <w:r w:rsidRPr="004249DA">
        <w:t xml:space="preserve">Andon, P., Free, C. and O’Dwyer, B. (2015), “Annexing new audit spaces: challenges and adaptations”, </w:t>
      </w:r>
      <w:r w:rsidRPr="004249DA">
        <w:rPr>
          <w:i/>
          <w:iCs/>
        </w:rPr>
        <w:t>Accounting, Auditing &amp; Accountability Journal</w:t>
      </w:r>
      <w:r w:rsidRPr="004249DA">
        <w:t>, Vol. 28 No. 8, pp. 1400–1430.</w:t>
      </w:r>
    </w:p>
    <w:p w14:paraId="32A57F35" w14:textId="77777777" w:rsidR="00220EF0" w:rsidRPr="004249DA" w:rsidRDefault="00220EF0" w:rsidP="001D291B">
      <w:pPr>
        <w:spacing w:line="480" w:lineRule="auto"/>
        <w:ind w:left="567" w:hanging="567"/>
        <w:jc w:val="both"/>
      </w:pPr>
      <w:r w:rsidRPr="004249DA">
        <w:t xml:space="preserve">Aquino, A.C.B., Lino, A.F., Azevedo, R.R. and Silva, P.B. (2022), “Digital affordances and remote public audit practice”, </w:t>
      </w:r>
      <w:r w:rsidRPr="004249DA">
        <w:rPr>
          <w:i/>
          <w:iCs/>
        </w:rPr>
        <w:t>Financial Accountability &amp; Management</w:t>
      </w:r>
      <w:r w:rsidRPr="004249DA">
        <w:t>, Vol. 38 No. 3, pp. 447–467.</w:t>
      </w:r>
    </w:p>
    <w:p w14:paraId="120DE4F4" w14:textId="77777777" w:rsidR="00220EF0" w:rsidRPr="004249DA" w:rsidRDefault="00220EF0" w:rsidP="001D291B">
      <w:pPr>
        <w:spacing w:line="480" w:lineRule="auto"/>
        <w:ind w:left="567" w:hanging="567"/>
        <w:jc w:val="both"/>
      </w:pPr>
      <w:r w:rsidRPr="004249DA">
        <w:t xml:space="preserve">Baier, C., Göttsche, M., Hellmann, A. and Schiemann, F. (2022), “Too good to be true: influencing credibility perceptions with signalling reference explicitness and assurance depth”, </w:t>
      </w:r>
      <w:r w:rsidRPr="004249DA">
        <w:rPr>
          <w:i/>
          <w:iCs/>
        </w:rPr>
        <w:t>Journal of Business Ethics</w:t>
      </w:r>
      <w:r w:rsidRPr="004249DA">
        <w:t>, Vol. 178 No. 3, pp. 695–714.</w:t>
      </w:r>
    </w:p>
    <w:p w14:paraId="3A15302B" w14:textId="77777777" w:rsidR="00220EF0" w:rsidRPr="004249DA" w:rsidRDefault="00220EF0" w:rsidP="001D291B">
      <w:pPr>
        <w:spacing w:line="480" w:lineRule="auto"/>
        <w:ind w:left="567" w:hanging="567"/>
        <w:jc w:val="both"/>
      </w:pPr>
      <w:r w:rsidRPr="004249DA">
        <w:lastRenderedPageBreak/>
        <w:t xml:space="preserve">Ballou, B., Chen, P.C., Grenier, J.H. and Heitger, D.L. (2015), “CSR assurance and reporting quality”, </w:t>
      </w:r>
      <w:r w:rsidRPr="004249DA">
        <w:rPr>
          <w:i/>
          <w:iCs/>
        </w:rPr>
        <w:t>Auditing: A Journal of Practice &amp; Theory</w:t>
      </w:r>
      <w:r w:rsidRPr="004249DA">
        <w:t>, Vol. 34 No. 1, pp. 131–155.</w:t>
      </w:r>
    </w:p>
    <w:p w14:paraId="59E5BF0E" w14:textId="77777777" w:rsidR="00220EF0" w:rsidRPr="004249DA" w:rsidRDefault="00220EF0" w:rsidP="001D291B">
      <w:pPr>
        <w:spacing w:line="480" w:lineRule="auto"/>
        <w:ind w:left="567" w:hanging="567"/>
        <w:jc w:val="both"/>
      </w:pPr>
      <w:r w:rsidRPr="004249DA">
        <w:t xml:space="preserve">Barrett, M. and Gendron, Y. (2006), “WebTrust and the ‘commercialistic auditor’”, </w:t>
      </w:r>
      <w:r w:rsidRPr="004249DA">
        <w:rPr>
          <w:i/>
          <w:iCs/>
        </w:rPr>
        <w:t>Accounting, Auditing &amp; Accountability Journal</w:t>
      </w:r>
      <w:r w:rsidRPr="004249DA">
        <w:t>, Vol. 19 No. 5, pp. 631–662.</w:t>
      </w:r>
    </w:p>
    <w:p w14:paraId="5DDF6954" w14:textId="77777777" w:rsidR="00220EF0" w:rsidRPr="004249DA" w:rsidRDefault="00220EF0" w:rsidP="001D291B">
      <w:pPr>
        <w:spacing w:line="480" w:lineRule="auto"/>
        <w:ind w:left="567" w:hanging="567"/>
        <w:jc w:val="both"/>
      </w:pPr>
      <w:r w:rsidRPr="004249DA">
        <w:t xml:space="preserve">Bartoszewicz, A. and Rutkowska-Ziarko, A. (2021), “Practice of non-financial reports assurance services in the Polish audit market—the range, limits and prospects for the future”, </w:t>
      </w:r>
      <w:r w:rsidRPr="004249DA">
        <w:rPr>
          <w:i/>
          <w:iCs/>
        </w:rPr>
        <w:t>Risks</w:t>
      </w:r>
      <w:r w:rsidRPr="004249DA">
        <w:t>, Vol. 9 No. 10, 176.</w:t>
      </w:r>
    </w:p>
    <w:p w14:paraId="5ED8B546" w14:textId="77777777" w:rsidR="00220EF0" w:rsidRPr="004249DA" w:rsidRDefault="00220EF0" w:rsidP="001D291B">
      <w:pPr>
        <w:spacing w:line="480" w:lineRule="auto"/>
        <w:ind w:left="567" w:hanging="567"/>
        <w:jc w:val="both"/>
      </w:pPr>
      <w:r w:rsidRPr="004249DA">
        <w:t xml:space="preserve">Batra, G.S. and Kaur, N. (1993), “Emerging dimensions of audit accountability: a case study of public enterprise management and efficiency audit in India”, </w:t>
      </w:r>
      <w:r w:rsidRPr="004249DA">
        <w:rPr>
          <w:i/>
          <w:iCs/>
        </w:rPr>
        <w:t>Managerial Auditing Journal</w:t>
      </w:r>
      <w:r w:rsidRPr="004249DA">
        <w:t>, Vol. 8 No. 2, pp. 30–36.</w:t>
      </w:r>
    </w:p>
    <w:p w14:paraId="3AAF1EA3" w14:textId="77777777" w:rsidR="00220EF0" w:rsidRPr="004249DA" w:rsidRDefault="00220EF0" w:rsidP="001D291B">
      <w:pPr>
        <w:spacing w:line="480" w:lineRule="auto"/>
        <w:ind w:left="567" w:hanging="567"/>
        <w:jc w:val="both"/>
      </w:pPr>
      <w:r w:rsidRPr="004249DA">
        <w:t xml:space="preserve">Batra, G.S. and Kaur, N. (1996), “New vistas in reducing the conflicts between tourism and the environment: an environmental audit approach”, </w:t>
      </w:r>
      <w:r w:rsidRPr="004249DA">
        <w:rPr>
          <w:i/>
          <w:iCs/>
        </w:rPr>
        <w:t>Managerial Auditing Journal</w:t>
      </w:r>
      <w:r w:rsidRPr="004249DA">
        <w:t>, Vol. 11 No. 3, pp. 3–12.</w:t>
      </w:r>
    </w:p>
    <w:p w14:paraId="6B3735BE" w14:textId="77777777" w:rsidR="00220EF0" w:rsidRPr="004249DA" w:rsidRDefault="00220EF0" w:rsidP="001D291B">
      <w:pPr>
        <w:spacing w:line="480" w:lineRule="auto"/>
        <w:ind w:left="567" w:hanging="567"/>
        <w:jc w:val="both"/>
      </w:pPr>
      <w:r w:rsidRPr="004249DA">
        <w:t>Bentley-Goode, K.</w:t>
      </w:r>
      <w:r>
        <w:t xml:space="preserve"> </w:t>
      </w:r>
      <w:r w:rsidRPr="004249DA">
        <w:t xml:space="preserve">A., Simnett, R., Thompson, A. and Trotman, A.J. (2024), “Choice of assurance provider and impact on quality of sustainability reporting: evidence from sustainability reporting restatements”, </w:t>
      </w:r>
      <w:r w:rsidRPr="004249DA">
        <w:rPr>
          <w:i/>
          <w:iCs/>
        </w:rPr>
        <w:t>Accounting &amp; Finance</w:t>
      </w:r>
      <w:r w:rsidRPr="004249DA">
        <w:t xml:space="preserve">, </w:t>
      </w:r>
      <w:r w:rsidRPr="008555A6">
        <w:t>Vol. 65 No. 2, pp. 2135-2172.</w:t>
      </w:r>
    </w:p>
    <w:p w14:paraId="4015B4C2" w14:textId="77777777" w:rsidR="00220EF0" w:rsidRPr="004249DA" w:rsidRDefault="00220EF0" w:rsidP="001D291B">
      <w:pPr>
        <w:spacing w:line="480" w:lineRule="auto"/>
        <w:ind w:left="567" w:hanging="567"/>
        <w:jc w:val="both"/>
      </w:pPr>
      <w:r w:rsidRPr="004249DA">
        <w:t xml:space="preserve">Bepari, M.K. and Mollik, A.T. (2016), “Stakeholders’ interest in sustainability assurance process”, </w:t>
      </w:r>
      <w:r w:rsidRPr="004249DA">
        <w:rPr>
          <w:i/>
          <w:iCs/>
        </w:rPr>
        <w:t>Managerial Auditing Journal</w:t>
      </w:r>
      <w:r w:rsidRPr="004249DA">
        <w:t>, Vol. 31 Nos. 6/7, pp. 655–687.</w:t>
      </w:r>
    </w:p>
    <w:p w14:paraId="1BC43E56" w14:textId="77777777" w:rsidR="00220EF0" w:rsidRPr="004249DA" w:rsidRDefault="00220EF0" w:rsidP="001D291B">
      <w:pPr>
        <w:spacing w:line="480" w:lineRule="auto"/>
        <w:ind w:left="567" w:hanging="567"/>
        <w:jc w:val="both"/>
      </w:pPr>
      <w:r w:rsidRPr="004249DA">
        <w:lastRenderedPageBreak/>
        <w:t xml:space="preserve">Boiral, O., Heras-Saizarbitoria, I. and Brotherton, M.-C. (2020), “Professionalising the assurance of sustainability reports: the auditors’ perspective”, </w:t>
      </w:r>
      <w:r w:rsidRPr="004249DA">
        <w:rPr>
          <w:i/>
          <w:iCs/>
        </w:rPr>
        <w:t>Accounting, Auditing &amp; Accountability Journal</w:t>
      </w:r>
      <w:r w:rsidRPr="004249DA">
        <w:t>, Vol. 33 No. 2, pp. 309–334.</w:t>
      </w:r>
    </w:p>
    <w:p w14:paraId="52982423" w14:textId="77777777" w:rsidR="00220EF0" w:rsidRPr="004249DA" w:rsidRDefault="00220EF0" w:rsidP="001D291B">
      <w:pPr>
        <w:spacing w:line="480" w:lineRule="auto"/>
        <w:ind w:left="567" w:hanging="567"/>
        <w:jc w:val="both"/>
      </w:pPr>
      <w:r w:rsidRPr="004249DA">
        <w:t xml:space="preserve">Boiral, O., Heras-Saizarbitoria, I. and Brotherton, M.C. (2018), “Improving the credibility of CSR reports”, </w:t>
      </w:r>
      <w:r w:rsidRPr="004249DA">
        <w:rPr>
          <w:i/>
          <w:iCs/>
        </w:rPr>
        <w:t>Business Ethics: A European Review</w:t>
      </w:r>
      <w:r w:rsidRPr="004249DA">
        <w:t>, Vol. 27 No. 1, pp. 71–88.</w:t>
      </w:r>
    </w:p>
    <w:p w14:paraId="31AF23B7" w14:textId="77777777" w:rsidR="00220EF0" w:rsidRPr="004249DA" w:rsidRDefault="00220EF0" w:rsidP="001D291B">
      <w:pPr>
        <w:spacing w:line="480" w:lineRule="auto"/>
        <w:ind w:left="567" w:hanging="567"/>
        <w:jc w:val="both"/>
      </w:pPr>
      <w:r w:rsidRPr="004249DA">
        <w:t xml:space="preserve">Boiral, O., Heras-Saizarbitoria, I., Brotherton, M.-C. and Bernard, J. (2019), “Ethical issues in the assurance of sustainability reports: perspectives from assurance providers”, </w:t>
      </w:r>
      <w:r w:rsidRPr="004249DA">
        <w:rPr>
          <w:i/>
          <w:iCs/>
        </w:rPr>
        <w:t>Journal of Business Ethics</w:t>
      </w:r>
      <w:r w:rsidRPr="004249DA">
        <w:t>, Vol. 159 No. 4, pp. 1111–1125.</w:t>
      </w:r>
    </w:p>
    <w:p w14:paraId="26F9E485" w14:textId="77777777" w:rsidR="00220EF0" w:rsidRPr="004249DA" w:rsidRDefault="00220EF0" w:rsidP="001D291B">
      <w:pPr>
        <w:spacing w:line="480" w:lineRule="auto"/>
        <w:ind w:left="567" w:hanging="567"/>
        <w:jc w:val="both"/>
      </w:pPr>
      <w:r w:rsidRPr="004249DA">
        <w:t xml:space="preserve">Bouten, L. and Hoozée, S. (2025), “How sustainability assurance work gets done: assurors’ sensemaking, socialisation and interactions with clients”, </w:t>
      </w:r>
      <w:r w:rsidRPr="004249DA">
        <w:rPr>
          <w:i/>
          <w:iCs/>
        </w:rPr>
        <w:t>Accounting, Auditing &amp; Accountability Journal</w:t>
      </w:r>
      <w:r w:rsidRPr="004249DA">
        <w:t>, Vol. 38 No. 1, pp. 143–173.</w:t>
      </w:r>
    </w:p>
    <w:p w14:paraId="5BC08F44" w14:textId="77777777" w:rsidR="00220EF0" w:rsidRDefault="00220EF0" w:rsidP="001D291B">
      <w:pPr>
        <w:spacing w:line="480" w:lineRule="auto"/>
        <w:ind w:left="567" w:hanging="567"/>
        <w:jc w:val="both"/>
      </w:pPr>
      <w:r w:rsidRPr="004249DA">
        <w:t xml:space="preserve">Bowerman, M., Humphrey, C. and Owen, D. (2003), “Struggling for supremacy: the case of UK public audit institutions”, </w:t>
      </w:r>
      <w:r w:rsidRPr="004249DA">
        <w:rPr>
          <w:i/>
          <w:iCs/>
        </w:rPr>
        <w:t>Critical Perspectives on Accounting</w:t>
      </w:r>
      <w:r w:rsidRPr="004249DA">
        <w:t>, Vol. 14 Nos. 1/2, pp. 1–22.</w:t>
      </w:r>
    </w:p>
    <w:p w14:paraId="05451273" w14:textId="77777777" w:rsidR="00220EF0" w:rsidRPr="004249DA" w:rsidRDefault="00220EF0" w:rsidP="001D291B">
      <w:pPr>
        <w:spacing w:line="480" w:lineRule="auto"/>
        <w:ind w:left="567" w:hanging="567"/>
        <w:jc w:val="both"/>
      </w:pPr>
      <w:r w:rsidRPr="00D611A0">
        <w:t xml:space="preserve">Bradbury, M., Jia, J. and Li, Z. (2022), "Corporate social responsibility committees and the use of corporate social responsibility assurance services", </w:t>
      </w:r>
      <w:r w:rsidRPr="00D611A0">
        <w:rPr>
          <w:i/>
          <w:iCs/>
        </w:rPr>
        <w:t>Journal of Contemporary Accounting &amp; Economics</w:t>
      </w:r>
      <w:r w:rsidRPr="00D611A0">
        <w:t>, Vol. 18 No. 2, 100317.</w:t>
      </w:r>
    </w:p>
    <w:p w14:paraId="45E18B16" w14:textId="77777777" w:rsidR="00220EF0" w:rsidRPr="004249DA" w:rsidRDefault="00220EF0" w:rsidP="001D291B">
      <w:pPr>
        <w:spacing w:line="480" w:lineRule="auto"/>
        <w:ind w:left="567" w:hanging="567"/>
        <w:jc w:val="both"/>
      </w:pPr>
      <w:r w:rsidRPr="004249DA">
        <w:t xml:space="preserve">Breslin, D. and Gatrell, C. (2023), “Theorising through literature reviews: the miner–prospector continuum”, </w:t>
      </w:r>
      <w:r w:rsidRPr="004249DA">
        <w:rPr>
          <w:i/>
          <w:iCs/>
        </w:rPr>
        <w:t>Organizational Research Methods</w:t>
      </w:r>
      <w:r w:rsidRPr="004249DA">
        <w:t>, Vol. 26 No. 1, pp. 139–167.</w:t>
      </w:r>
    </w:p>
    <w:p w14:paraId="78A1A581" w14:textId="77777777" w:rsidR="00220EF0" w:rsidRPr="004249DA" w:rsidRDefault="00220EF0" w:rsidP="001D291B">
      <w:pPr>
        <w:spacing w:line="480" w:lineRule="auto"/>
        <w:ind w:left="567" w:hanging="567"/>
        <w:jc w:val="both"/>
      </w:pPr>
      <w:r w:rsidRPr="004249DA">
        <w:lastRenderedPageBreak/>
        <w:t xml:space="preserve">Bromley, P. and Powell, W.W. (2012), “From smoke and mirrors to walking the talk: decoupling in the contemporary world”, </w:t>
      </w:r>
      <w:r w:rsidRPr="004249DA">
        <w:rPr>
          <w:i/>
          <w:iCs/>
        </w:rPr>
        <w:t>Academy of Management Annals</w:t>
      </w:r>
      <w:r w:rsidRPr="004249DA">
        <w:t>, Vol. 6 No. 1, pp. 483–530.</w:t>
      </w:r>
    </w:p>
    <w:p w14:paraId="6C572FE2" w14:textId="77777777" w:rsidR="00220EF0" w:rsidRPr="004249DA" w:rsidRDefault="00220EF0" w:rsidP="001D291B">
      <w:pPr>
        <w:spacing w:line="480" w:lineRule="auto"/>
        <w:ind w:left="567" w:hanging="567"/>
        <w:jc w:val="both"/>
      </w:pPr>
      <w:r w:rsidRPr="004249DA">
        <w:t xml:space="preserve">Brown-Liburd, H., Cohen, J. and Zamora, V.L. (2018), “CSR disclosure items used as fairness heuristics in the investment decision”, </w:t>
      </w:r>
      <w:r w:rsidRPr="004249DA">
        <w:rPr>
          <w:i/>
          <w:iCs/>
        </w:rPr>
        <w:t>Journal of Business Ethics</w:t>
      </w:r>
      <w:r w:rsidRPr="004249DA">
        <w:t>, Vol. 152 No. 1, pp. 275–289.</w:t>
      </w:r>
    </w:p>
    <w:p w14:paraId="67D4F233" w14:textId="77777777" w:rsidR="00220EF0" w:rsidRDefault="00220EF0" w:rsidP="001D291B">
      <w:pPr>
        <w:spacing w:line="480" w:lineRule="auto"/>
        <w:ind w:left="567" w:hanging="567"/>
        <w:jc w:val="both"/>
      </w:pPr>
      <w:r w:rsidRPr="004249DA">
        <w:t xml:space="preserve">Brown-Liburd, H. and Zamora, V.L. (2015), “The role of corporate social responsibility (CSR) assurance in investors’ judgments when managerial pay is explicitly tied to CSR performance”, </w:t>
      </w:r>
      <w:r w:rsidRPr="004249DA">
        <w:rPr>
          <w:i/>
          <w:iCs/>
        </w:rPr>
        <w:t>Auditing: A Journal of Practice &amp; Theory</w:t>
      </w:r>
      <w:r w:rsidRPr="004249DA">
        <w:t>, Vol. 34 No. 1, pp. 75–96.</w:t>
      </w:r>
    </w:p>
    <w:p w14:paraId="6F5C8D87" w14:textId="77777777" w:rsidR="00220EF0" w:rsidRPr="004249DA" w:rsidRDefault="00220EF0" w:rsidP="001D291B">
      <w:pPr>
        <w:spacing w:line="480" w:lineRule="auto"/>
        <w:ind w:left="567" w:hanging="567"/>
        <w:jc w:val="both"/>
      </w:pPr>
      <w:r w:rsidRPr="00495596">
        <w:t xml:space="preserve">Caglio, A., Melloni, G. and Perego, P. (2020), "Informational content and assurance of textual disclosures: evidence on integrated reporting", </w:t>
      </w:r>
      <w:r w:rsidRPr="00495596">
        <w:rPr>
          <w:i/>
          <w:iCs/>
        </w:rPr>
        <w:t>European Accounting Review</w:t>
      </w:r>
      <w:r w:rsidRPr="00495596">
        <w:t>, Vol. 29 No. 1, pp. 55-83.</w:t>
      </w:r>
    </w:p>
    <w:p w14:paraId="4CAE6FAD" w14:textId="77777777" w:rsidR="00220EF0" w:rsidRPr="004249DA" w:rsidRDefault="00220EF0" w:rsidP="001D291B">
      <w:pPr>
        <w:spacing w:line="480" w:lineRule="auto"/>
        <w:ind w:left="567" w:hanging="567"/>
        <w:jc w:val="both"/>
      </w:pPr>
      <w:r w:rsidRPr="004249DA">
        <w:t xml:space="preserve">Canning, M., O’Dwyer, B. and Georgakopoulos, G. (2019), “Processes of auditability in sustainability assurance: the case of materiality construction”, </w:t>
      </w:r>
      <w:r w:rsidRPr="004249DA">
        <w:rPr>
          <w:i/>
          <w:iCs/>
        </w:rPr>
        <w:t>Accounting &amp; Business Research</w:t>
      </w:r>
      <w:r w:rsidRPr="004249DA">
        <w:t>, Vol. 49 No. 1, pp. 1–27.</w:t>
      </w:r>
    </w:p>
    <w:p w14:paraId="5AFF0E99" w14:textId="77777777" w:rsidR="00220EF0" w:rsidRPr="004249DA" w:rsidRDefault="00220EF0" w:rsidP="001D291B">
      <w:pPr>
        <w:spacing w:line="480" w:lineRule="auto"/>
        <w:ind w:left="567" w:hanging="567"/>
        <w:jc w:val="both"/>
      </w:pPr>
      <w:r w:rsidRPr="004249DA">
        <w:t xml:space="preserve">Carey, P., Khan, A., Mihret, D.G. and Muttakin, M.B. (2021), “Voluntary sustainability assurance, capital constraint and cost of debt: international evidence”, </w:t>
      </w:r>
      <w:r w:rsidRPr="004249DA">
        <w:rPr>
          <w:i/>
          <w:iCs/>
        </w:rPr>
        <w:t>International Journal of Auditing</w:t>
      </w:r>
      <w:r w:rsidRPr="004249DA">
        <w:t>, Vol. 25 No. 2, pp. 351–372.</w:t>
      </w:r>
    </w:p>
    <w:p w14:paraId="05DFD9C1" w14:textId="77777777" w:rsidR="00220EF0" w:rsidRPr="004249DA" w:rsidRDefault="00220EF0" w:rsidP="001D291B">
      <w:pPr>
        <w:spacing w:line="480" w:lineRule="auto"/>
        <w:ind w:left="567" w:hanging="567"/>
        <w:jc w:val="both"/>
      </w:pPr>
      <w:r w:rsidRPr="004249DA">
        <w:t xml:space="preserve">Casey, R.J. and Grenier, J.H. (2015), “Understanding and contributing to the enigma of corporate social responsibility (CSR) assurance in the United States”, </w:t>
      </w:r>
      <w:r w:rsidRPr="004249DA">
        <w:rPr>
          <w:i/>
          <w:iCs/>
        </w:rPr>
        <w:t>Auditing: A Journal of Practice &amp; Theory</w:t>
      </w:r>
      <w:r w:rsidRPr="004249DA">
        <w:t>, Vol. 34 No. 1, pp. 97–130.</w:t>
      </w:r>
    </w:p>
    <w:p w14:paraId="77B1703D" w14:textId="77777777" w:rsidR="00220EF0" w:rsidRPr="004249DA" w:rsidRDefault="00220EF0" w:rsidP="001D291B">
      <w:pPr>
        <w:spacing w:line="480" w:lineRule="auto"/>
        <w:ind w:left="567" w:hanging="567"/>
        <w:jc w:val="both"/>
      </w:pPr>
      <w:r w:rsidRPr="004249DA">
        <w:lastRenderedPageBreak/>
        <w:t xml:space="preserve">Channuntapipat, C., Samsonova-Taddei, A. and Turley, S. (2019), “Exploring diversity in sustainability assurance practice: evidence from assurance providers in the UK”, </w:t>
      </w:r>
      <w:r w:rsidRPr="004249DA">
        <w:rPr>
          <w:i/>
          <w:iCs/>
        </w:rPr>
        <w:t>Accounting, Auditing &amp; Accountability Journal</w:t>
      </w:r>
      <w:r w:rsidRPr="004249DA">
        <w:t>, Vol. 32 No. 2, pp. 556–580.</w:t>
      </w:r>
    </w:p>
    <w:p w14:paraId="6D2BDE07" w14:textId="77777777" w:rsidR="00220EF0" w:rsidRPr="004249DA" w:rsidRDefault="00220EF0" w:rsidP="001D291B">
      <w:pPr>
        <w:spacing w:line="480" w:lineRule="auto"/>
        <w:ind w:left="567" w:hanging="567"/>
        <w:jc w:val="both"/>
      </w:pPr>
      <w:r w:rsidRPr="004249DA">
        <w:t xml:space="preserve">Channuntapipat, C., Samsonova-Taddei, A. and Turley, S. (2020), “Variation in sustainability assurance practice: an analysis of accounting versus non-accounting providers”, </w:t>
      </w:r>
      <w:r w:rsidRPr="004249DA">
        <w:rPr>
          <w:i/>
          <w:iCs/>
        </w:rPr>
        <w:t>The British Accounting Review</w:t>
      </w:r>
      <w:r w:rsidRPr="004249DA">
        <w:t>, Vol. 52 No. 2, 100843.</w:t>
      </w:r>
    </w:p>
    <w:p w14:paraId="46F194C6" w14:textId="77777777" w:rsidR="00220EF0" w:rsidRPr="004249DA" w:rsidRDefault="00220EF0" w:rsidP="001D291B">
      <w:pPr>
        <w:spacing w:line="480" w:lineRule="auto"/>
        <w:ind w:left="567" w:hanging="567"/>
        <w:jc w:val="both"/>
      </w:pPr>
      <w:r w:rsidRPr="004249DA">
        <w:t xml:space="preserve">Chi, W., Cheng, C.S.A. and Wang, L. (2020), “CSR assurance and stock crash risk”, </w:t>
      </w:r>
      <w:r w:rsidRPr="004249DA">
        <w:rPr>
          <w:i/>
          <w:iCs/>
        </w:rPr>
        <w:t>Contemporary Accounting Research</w:t>
      </w:r>
      <w:r w:rsidRPr="004249DA">
        <w:t>, Vol. 37 No. 4, pp. 2355–2384.</w:t>
      </w:r>
    </w:p>
    <w:p w14:paraId="3CE54EDD" w14:textId="77777777" w:rsidR="00220EF0" w:rsidRPr="004249DA" w:rsidRDefault="00220EF0" w:rsidP="001D291B">
      <w:pPr>
        <w:spacing w:line="480" w:lineRule="auto"/>
        <w:ind w:left="567" w:hanging="567"/>
        <w:jc w:val="both"/>
      </w:pPr>
      <w:r w:rsidRPr="004249DA">
        <w:t xml:space="preserve">Clarkson, P., Li, Y., Richardson, G. and Tsang, A. (2019), “Causes and consequences of voluntary assurance of CSR reports: international evidence involving Dow Jones Sustainability Index inclusion and firm valuation”, </w:t>
      </w:r>
      <w:r w:rsidRPr="004249DA">
        <w:rPr>
          <w:i/>
          <w:iCs/>
        </w:rPr>
        <w:t>Accounting, Auditing &amp; Accountability Journal</w:t>
      </w:r>
      <w:r w:rsidRPr="004249DA">
        <w:t>, Vol. 32 No. 8, pp. 2451–2474.</w:t>
      </w:r>
    </w:p>
    <w:p w14:paraId="440F5372" w14:textId="77777777" w:rsidR="00220EF0" w:rsidRPr="004249DA" w:rsidRDefault="00220EF0" w:rsidP="001D291B">
      <w:pPr>
        <w:spacing w:line="480" w:lineRule="auto"/>
        <w:ind w:left="567" w:hanging="567"/>
        <w:jc w:val="both"/>
      </w:pPr>
      <w:r w:rsidRPr="004249DA">
        <w:t xml:space="preserve">Cordery, C., Arora, B. and Manochin, M. (2023), “Public sector audit and the state’s responsibility to ‘leave no-one behind’: the role of integrated democratic accountability”, </w:t>
      </w:r>
      <w:r w:rsidRPr="004249DA">
        <w:rPr>
          <w:i/>
          <w:iCs/>
        </w:rPr>
        <w:t>Financial Accountability &amp; Management</w:t>
      </w:r>
      <w:r w:rsidRPr="004249DA">
        <w:t>, Vol. 39 No. 3, pp. 304–326.</w:t>
      </w:r>
    </w:p>
    <w:p w14:paraId="1B010A1E" w14:textId="77777777" w:rsidR="00220EF0" w:rsidRPr="004249DA" w:rsidRDefault="00220EF0" w:rsidP="001D291B">
      <w:pPr>
        <w:spacing w:line="480" w:lineRule="auto"/>
        <w:ind w:left="567" w:hanging="567"/>
        <w:jc w:val="both"/>
      </w:pPr>
      <w:r w:rsidRPr="004249DA">
        <w:t xml:space="preserve">Cordery, C.J. and Hay, D.C. (2019), “Supreme audit institutions and public value”, </w:t>
      </w:r>
      <w:r w:rsidRPr="004249DA">
        <w:rPr>
          <w:i/>
          <w:iCs/>
        </w:rPr>
        <w:t>Financial Accountability &amp; Management</w:t>
      </w:r>
      <w:r w:rsidRPr="004249DA">
        <w:t>, Vol. 35 No. 2, pp. 128–142.</w:t>
      </w:r>
    </w:p>
    <w:p w14:paraId="11EDE23D" w14:textId="77777777" w:rsidR="00220EF0" w:rsidRPr="004249DA" w:rsidRDefault="00220EF0" w:rsidP="001D291B">
      <w:pPr>
        <w:spacing w:line="480" w:lineRule="auto"/>
        <w:ind w:left="567" w:hanging="567"/>
        <w:jc w:val="both"/>
      </w:pPr>
      <w:r w:rsidRPr="004249DA">
        <w:t xml:space="preserve">Cordery, C.J. and Hay, D.C. (2022), “Public sector audit in uncertain times”, </w:t>
      </w:r>
      <w:r w:rsidRPr="004249DA">
        <w:rPr>
          <w:i/>
          <w:iCs/>
        </w:rPr>
        <w:t>Financial Accountability &amp; Management</w:t>
      </w:r>
      <w:r w:rsidRPr="004249DA">
        <w:t>, Vol. 38 No. 3, pp. 426–446.</w:t>
      </w:r>
    </w:p>
    <w:p w14:paraId="6E0D009E" w14:textId="77777777" w:rsidR="00220EF0" w:rsidRPr="004249DA" w:rsidRDefault="00220EF0" w:rsidP="001D291B">
      <w:pPr>
        <w:spacing w:line="480" w:lineRule="auto"/>
        <w:ind w:left="567" w:hanging="567"/>
        <w:jc w:val="both"/>
      </w:pPr>
      <w:r w:rsidRPr="004249DA">
        <w:t xml:space="preserve">Dalla Via, N. and Perego, P. (2020), “The relative role of firm incentives, auditor specialisation, and country factors as antecedents of non-financial audit quality”, </w:t>
      </w:r>
      <w:r w:rsidRPr="004249DA">
        <w:rPr>
          <w:i/>
          <w:iCs/>
        </w:rPr>
        <w:t>Auditing: A Journal of Practice &amp; Theory</w:t>
      </w:r>
      <w:r w:rsidRPr="004249DA">
        <w:t>, Vol. 39 No. 3, pp. 75–104.</w:t>
      </w:r>
    </w:p>
    <w:p w14:paraId="03DDB207" w14:textId="77777777" w:rsidR="00220EF0" w:rsidRPr="004249DA" w:rsidRDefault="00220EF0" w:rsidP="001D291B">
      <w:pPr>
        <w:spacing w:line="480" w:lineRule="auto"/>
        <w:ind w:left="567" w:hanging="567"/>
        <w:jc w:val="both"/>
      </w:pPr>
      <w:r w:rsidRPr="004249DA">
        <w:lastRenderedPageBreak/>
        <w:t xml:space="preserve">Datt, R., Luo, L., Tang, Q. and Mallik, G. (2018), “An international study of determinants of voluntary carbon assurance”, </w:t>
      </w:r>
      <w:r w:rsidRPr="004249DA">
        <w:rPr>
          <w:i/>
          <w:iCs/>
        </w:rPr>
        <w:t>Journal of International Accounting Research</w:t>
      </w:r>
      <w:r w:rsidRPr="004249DA">
        <w:t>, Vol. 17 No. 3, pp. 1–20.</w:t>
      </w:r>
    </w:p>
    <w:p w14:paraId="6B035722" w14:textId="77777777" w:rsidR="00220EF0" w:rsidRPr="004249DA" w:rsidRDefault="00220EF0" w:rsidP="001D291B">
      <w:pPr>
        <w:spacing w:line="480" w:lineRule="auto"/>
        <w:ind w:left="567" w:hanging="567"/>
        <w:jc w:val="both"/>
      </w:pPr>
      <w:r w:rsidRPr="004249DA">
        <w:t xml:space="preserve">Dogui, K., Boiral, O. and Gendron, Y. (2013), “ISO auditing and the construction of trust in auditor independence”, </w:t>
      </w:r>
      <w:r w:rsidRPr="004249DA">
        <w:rPr>
          <w:i/>
          <w:iCs/>
        </w:rPr>
        <w:t>Accounting, Auditing &amp; Accountability Journal</w:t>
      </w:r>
      <w:r w:rsidRPr="004249DA">
        <w:t>, Vol. 26 No. 8, pp. 1279–1305.</w:t>
      </w:r>
    </w:p>
    <w:p w14:paraId="7A32B413" w14:textId="77777777" w:rsidR="00220EF0" w:rsidRDefault="00220EF0" w:rsidP="001D291B">
      <w:pPr>
        <w:spacing w:line="480" w:lineRule="auto"/>
        <w:ind w:left="567" w:hanging="567"/>
        <w:jc w:val="both"/>
      </w:pPr>
      <w:r w:rsidRPr="004249DA">
        <w:t xml:space="preserve">Donthu, N., Kumar, S., Mukherjee, D., Pandey, N. and Lim, W.M. (2021), “How to conduct a bibliometric analysis: an overview and guidelines”, </w:t>
      </w:r>
      <w:r w:rsidRPr="004249DA">
        <w:rPr>
          <w:i/>
          <w:iCs/>
        </w:rPr>
        <w:t>Journal of Business Research</w:t>
      </w:r>
      <w:r w:rsidRPr="004249DA">
        <w:t>, Vol. 133, pp. 285–296.</w:t>
      </w:r>
    </w:p>
    <w:p w14:paraId="06333F82" w14:textId="77777777" w:rsidR="00220EF0" w:rsidRPr="004249DA" w:rsidRDefault="00220EF0" w:rsidP="001D291B">
      <w:pPr>
        <w:spacing w:line="480" w:lineRule="auto"/>
        <w:ind w:left="567" w:hanging="567"/>
        <w:jc w:val="both"/>
      </w:pPr>
      <w:r w:rsidRPr="00AD46DC">
        <w:t xml:space="preserve">Douthit, J. D., Kachelmeier, S. J. and Van Landuyt, B. W. (2024), "Does auditor assurance of client prosocial activities affect subsequent reporter-auditor negotiations?", </w:t>
      </w:r>
      <w:r w:rsidRPr="00AD46DC">
        <w:rPr>
          <w:i/>
          <w:iCs/>
        </w:rPr>
        <w:t>Accounting, Organizations and Society</w:t>
      </w:r>
      <w:r w:rsidRPr="00AD46DC">
        <w:t>, Vol. 112, 101550.</w:t>
      </w:r>
    </w:p>
    <w:p w14:paraId="7718026A" w14:textId="77777777" w:rsidR="00220EF0" w:rsidRPr="004249DA" w:rsidRDefault="00220EF0" w:rsidP="001D291B">
      <w:pPr>
        <w:spacing w:line="480" w:lineRule="auto"/>
        <w:ind w:left="567" w:hanging="567"/>
        <w:jc w:val="both"/>
      </w:pPr>
      <w:r w:rsidRPr="004249DA">
        <w:t xml:space="preserve">Ekasingh, E., Simnett, R. and Green, W.J. (2019), “The effect of diversity and the mediating role of elaboration on multidisciplinary greenhouse gas assurance team effectiveness”, </w:t>
      </w:r>
      <w:r w:rsidRPr="004249DA">
        <w:rPr>
          <w:i/>
          <w:iCs/>
        </w:rPr>
        <w:t>Behavioral Research in Accounting</w:t>
      </w:r>
      <w:r w:rsidRPr="004249DA">
        <w:t>, Vol. 31 No. 2, pp. 81–96.</w:t>
      </w:r>
    </w:p>
    <w:p w14:paraId="6F219271" w14:textId="77777777" w:rsidR="00220EF0" w:rsidRPr="004249DA" w:rsidRDefault="00220EF0" w:rsidP="001D291B">
      <w:pPr>
        <w:spacing w:line="480" w:lineRule="auto"/>
        <w:ind w:left="567" w:hanging="567"/>
        <w:jc w:val="both"/>
      </w:pPr>
      <w:r w:rsidRPr="004249DA">
        <w:t xml:space="preserve">Emery, A.R.T. and Watson, M. (2003), “Eco-auditing and environmental liability: an international perspective”, </w:t>
      </w:r>
      <w:r w:rsidRPr="004249DA">
        <w:rPr>
          <w:i/>
          <w:iCs/>
        </w:rPr>
        <w:t>Managerial Auditing Journal</w:t>
      </w:r>
      <w:r w:rsidRPr="004249DA">
        <w:t>, Vol. 18 No. 8, pp. 631–636.</w:t>
      </w:r>
    </w:p>
    <w:p w14:paraId="75FBF5A7" w14:textId="77777777" w:rsidR="00220EF0" w:rsidRPr="004249DA" w:rsidRDefault="00220EF0" w:rsidP="001D291B">
      <w:pPr>
        <w:spacing w:line="480" w:lineRule="auto"/>
        <w:ind w:left="567" w:hanging="567"/>
        <w:jc w:val="both"/>
      </w:pPr>
      <w:r w:rsidRPr="004249DA">
        <w:t xml:space="preserve">English, L. (2003), “Emasculating public accountability in the name of competition: transformation of state audit in Victoria”, </w:t>
      </w:r>
      <w:r w:rsidRPr="004249DA">
        <w:rPr>
          <w:i/>
          <w:iCs/>
        </w:rPr>
        <w:t>Critical Perspectives on Accounting</w:t>
      </w:r>
      <w:r w:rsidRPr="004249DA">
        <w:t>, Vol. 14 Nos. 1/2, pp. 51–76.</w:t>
      </w:r>
    </w:p>
    <w:p w14:paraId="5E0C0A91" w14:textId="77777777" w:rsidR="00220EF0" w:rsidRPr="004249DA" w:rsidRDefault="00220EF0" w:rsidP="001D291B">
      <w:pPr>
        <w:spacing w:line="480" w:lineRule="auto"/>
        <w:ind w:left="567" w:hanging="567"/>
        <w:jc w:val="both"/>
      </w:pPr>
      <w:r w:rsidRPr="004249DA">
        <w:lastRenderedPageBreak/>
        <w:t xml:space="preserve">English, L.M. (2007), “Performance audit of Australian public–private partnerships: legitimising government policies or providing independent oversight?”, </w:t>
      </w:r>
      <w:r w:rsidRPr="004249DA">
        <w:rPr>
          <w:i/>
          <w:iCs/>
        </w:rPr>
        <w:t>Financial Accountability &amp; Management</w:t>
      </w:r>
      <w:r w:rsidRPr="004249DA">
        <w:t>, Vol. 23 No. 3, pp. 313–336.</w:t>
      </w:r>
    </w:p>
    <w:p w14:paraId="0EFE431B" w14:textId="77777777" w:rsidR="00220EF0" w:rsidRPr="004249DA" w:rsidRDefault="00220EF0" w:rsidP="001D291B">
      <w:pPr>
        <w:spacing w:line="480" w:lineRule="auto"/>
        <w:ind w:left="567" w:hanging="567"/>
        <w:jc w:val="both"/>
      </w:pPr>
      <w:r w:rsidRPr="004249DA">
        <w:t xml:space="preserve">Everett, J. (2003), “The politics of comprehensive auditing in fields of high outcome and cause uncertainty”, </w:t>
      </w:r>
      <w:r w:rsidRPr="004249DA">
        <w:rPr>
          <w:i/>
          <w:iCs/>
        </w:rPr>
        <w:t>Critical Perspectives on Accounting</w:t>
      </w:r>
      <w:r w:rsidRPr="004249DA">
        <w:t>, Vol. 14 Nos. 1/2, pp. 77–104.</w:t>
      </w:r>
    </w:p>
    <w:p w14:paraId="4B6121E6" w14:textId="77777777" w:rsidR="00220EF0" w:rsidRPr="004249DA" w:rsidRDefault="00220EF0" w:rsidP="001D291B">
      <w:pPr>
        <w:spacing w:line="480" w:lineRule="auto"/>
        <w:ind w:left="567" w:hanging="567"/>
        <w:jc w:val="both"/>
      </w:pPr>
      <w:r w:rsidRPr="004249DA">
        <w:t xml:space="preserve">Fan, D., Breslin, D., Callahan, J.L. and Iszatt-White, M. (2022), “Advancing literature review methodology through rigour, generativity, scope and transparency”, </w:t>
      </w:r>
      <w:r w:rsidRPr="004249DA">
        <w:rPr>
          <w:i/>
          <w:iCs/>
        </w:rPr>
        <w:t>International Journal of Management Reviews</w:t>
      </w:r>
      <w:r w:rsidRPr="004249DA">
        <w:t>, Vol. 24 No. 2, pp. 171–180.</w:t>
      </w:r>
    </w:p>
    <w:p w14:paraId="685E4C25" w14:textId="77777777" w:rsidR="00220EF0" w:rsidRPr="004249DA" w:rsidRDefault="00220EF0" w:rsidP="001D291B">
      <w:pPr>
        <w:spacing w:line="480" w:lineRule="auto"/>
        <w:ind w:left="567" w:hanging="567"/>
        <w:jc w:val="both"/>
      </w:pPr>
      <w:r w:rsidRPr="004249DA">
        <w:t xml:space="preserve">Farooq, M.B., Azantouti, A.S.A. and Zaman, R. (2023), “Non-financial information assurance: a review of the literature and directions for future research”, </w:t>
      </w:r>
      <w:r w:rsidRPr="004249DA">
        <w:rPr>
          <w:i/>
          <w:iCs/>
        </w:rPr>
        <w:t>Sustainability Accounting, Management and Policy Journal</w:t>
      </w:r>
      <w:r w:rsidRPr="004249DA">
        <w:t>, Vol. 15 No. 1, pp. 48–84.</w:t>
      </w:r>
    </w:p>
    <w:p w14:paraId="049C0E3F" w14:textId="77777777" w:rsidR="00220EF0" w:rsidRPr="004249DA" w:rsidRDefault="00220EF0" w:rsidP="001D291B">
      <w:pPr>
        <w:spacing w:line="480" w:lineRule="auto"/>
        <w:ind w:left="567" w:hanging="567"/>
        <w:jc w:val="both"/>
      </w:pPr>
      <w:r w:rsidRPr="004249DA">
        <w:t xml:space="preserve">Farooq, M.B. and De Villiers, C. (2019), “The shaping of sustainability assurance through the competition between accounting and non-accounting providers”, </w:t>
      </w:r>
      <w:r w:rsidRPr="004249DA">
        <w:rPr>
          <w:i/>
          <w:iCs/>
        </w:rPr>
        <w:t>Accounting, Auditing &amp; Accountability Journal</w:t>
      </w:r>
      <w:r w:rsidRPr="004249DA">
        <w:t>, Vol. 32 No. 2, pp. 307–336.</w:t>
      </w:r>
    </w:p>
    <w:p w14:paraId="71DB4274" w14:textId="77777777" w:rsidR="00220EF0" w:rsidRPr="004249DA" w:rsidRDefault="00220EF0" w:rsidP="001D291B">
      <w:pPr>
        <w:spacing w:line="480" w:lineRule="auto"/>
        <w:ind w:left="567" w:hanging="567"/>
        <w:jc w:val="both"/>
      </w:pPr>
      <w:r w:rsidRPr="004249DA">
        <w:t xml:space="preserve">Farooq, M.B. and De Villiers, C. (2020), “How sustainability assurance engagement scopes are determined, and its impact on capture and credibility enhancement”, </w:t>
      </w:r>
      <w:r w:rsidRPr="004249DA">
        <w:rPr>
          <w:i/>
          <w:iCs/>
        </w:rPr>
        <w:t>Accounting, Auditing &amp; Accountability Journal</w:t>
      </w:r>
      <w:r w:rsidRPr="004249DA">
        <w:t>, Vol. 33 No. 2, pp. 417–445.</w:t>
      </w:r>
    </w:p>
    <w:p w14:paraId="0391457E" w14:textId="77777777" w:rsidR="00220EF0" w:rsidRPr="004249DA" w:rsidRDefault="00220EF0" w:rsidP="001D291B">
      <w:pPr>
        <w:spacing w:line="480" w:lineRule="auto"/>
        <w:ind w:left="567" w:hanging="567"/>
        <w:jc w:val="both"/>
      </w:pPr>
      <w:r w:rsidRPr="004249DA">
        <w:t xml:space="preserve">Ferguson, A. and Pündrich, G. (2015), “Does industry specialist assurance of non-financial information matter to investors?”, </w:t>
      </w:r>
      <w:r w:rsidRPr="004249DA">
        <w:rPr>
          <w:i/>
          <w:iCs/>
        </w:rPr>
        <w:t>Auditing: A Journal of Practice &amp; Theory</w:t>
      </w:r>
      <w:r w:rsidRPr="004249DA">
        <w:t>, Vol. 34 No. 2, pp. 121–146.</w:t>
      </w:r>
    </w:p>
    <w:p w14:paraId="7723B53B" w14:textId="77777777" w:rsidR="00220EF0" w:rsidRPr="004249DA" w:rsidRDefault="00220EF0" w:rsidP="001D291B">
      <w:pPr>
        <w:spacing w:line="480" w:lineRule="auto"/>
        <w:ind w:left="567" w:hanging="567"/>
        <w:jc w:val="both"/>
      </w:pPr>
      <w:r w:rsidRPr="004249DA">
        <w:lastRenderedPageBreak/>
        <w:t xml:space="preserve">Free, C., Jones, S. and Tremblay, M.S. (2024), “Greenwashing and sustainability assurance: a review and call for future research”, </w:t>
      </w:r>
      <w:r w:rsidRPr="004249DA">
        <w:rPr>
          <w:i/>
          <w:iCs/>
        </w:rPr>
        <w:t>Journal of Accounting Literature</w:t>
      </w:r>
      <w:r w:rsidRPr="004249DA">
        <w:t xml:space="preserve">, </w:t>
      </w:r>
      <w:r w:rsidRPr="008555A6">
        <w:t>Vol. 4</w:t>
      </w:r>
      <w:r>
        <w:t>7</w:t>
      </w:r>
      <w:r w:rsidRPr="008555A6">
        <w:t xml:space="preserve"> No. </w:t>
      </w:r>
      <w:r>
        <w:t>4</w:t>
      </w:r>
      <w:r w:rsidRPr="008555A6">
        <w:t>, pp. 739–764.</w:t>
      </w:r>
    </w:p>
    <w:p w14:paraId="2FEC9D0F" w14:textId="77777777" w:rsidR="00220EF0" w:rsidRPr="004249DA" w:rsidRDefault="00220EF0" w:rsidP="001D291B">
      <w:pPr>
        <w:spacing w:line="480" w:lineRule="auto"/>
        <w:ind w:left="567" w:hanging="567"/>
        <w:jc w:val="both"/>
      </w:pPr>
      <w:r w:rsidRPr="004249DA">
        <w:t xml:space="preserve">Fuhrmann, S., Ott, C., Looks, E. and Guenther, T.W. (2017), “The contents of assurance statements for sustainability reports and information asymmetry”, </w:t>
      </w:r>
      <w:r w:rsidRPr="004249DA">
        <w:rPr>
          <w:i/>
          <w:iCs/>
        </w:rPr>
        <w:t>Accounting &amp; Business Research</w:t>
      </w:r>
      <w:r w:rsidRPr="004249DA">
        <w:t>, Vol. 47 No. 4, pp. 369–400.</w:t>
      </w:r>
    </w:p>
    <w:p w14:paraId="23520F69" w14:textId="77777777" w:rsidR="00220EF0" w:rsidRPr="004249DA" w:rsidRDefault="00220EF0" w:rsidP="001D291B">
      <w:pPr>
        <w:spacing w:line="480" w:lineRule="auto"/>
        <w:ind w:left="567" w:hanging="567"/>
        <w:jc w:val="both"/>
      </w:pPr>
      <w:r w:rsidRPr="004249DA">
        <w:t xml:space="preserve">Funnell, W. (2015), “Performance auditing and adjudicating political disputes”, </w:t>
      </w:r>
      <w:r w:rsidRPr="004249DA">
        <w:rPr>
          <w:i/>
          <w:iCs/>
        </w:rPr>
        <w:t>Financial Accountability &amp; Management</w:t>
      </w:r>
      <w:r w:rsidRPr="004249DA">
        <w:t>, Vol. 31 No. 1, pp. 92–111.</w:t>
      </w:r>
    </w:p>
    <w:p w14:paraId="1E25E326" w14:textId="77777777" w:rsidR="00220EF0" w:rsidRDefault="00220EF0" w:rsidP="001D291B">
      <w:pPr>
        <w:spacing w:line="480" w:lineRule="auto"/>
        <w:ind w:left="567" w:hanging="567"/>
        <w:jc w:val="both"/>
      </w:pPr>
      <w:r w:rsidRPr="004249DA">
        <w:t xml:space="preserve">Funnell, W. and Wade, M. (2012), “Negotiating the credibility of performance auditing”, </w:t>
      </w:r>
      <w:r w:rsidRPr="004249DA">
        <w:rPr>
          <w:i/>
          <w:iCs/>
        </w:rPr>
        <w:t>Critical Perspectives on Accounting</w:t>
      </w:r>
      <w:r w:rsidRPr="004249DA">
        <w:t>, Vol. 23 Nos. 4/5, pp. 434–450.</w:t>
      </w:r>
    </w:p>
    <w:p w14:paraId="2E87DE88" w14:textId="77777777" w:rsidR="00220EF0" w:rsidRDefault="00220EF0" w:rsidP="001D291B">
      <w:pPr>
        <w:spacing w:line="480" w:lineRule="auto"/>
        <w:ind w:left="567" w:hanging="567"/>
        <w:jc w:val="both"/>
      </w:pPr>
      <w:r w:rsidRPr="00306CE5">
        <w:t xml:space="preserve">Funnell, W., Wade, M. and Jupe, R. (2016), "Stakeholder perceptions of performance audit credibility", </w:t>
      </w:r>
      <w:r w:rsidRPr="00306CE5">
        <w:rPr>
          <w:i/>
          <w:iCs/>
        </w:rPr>
        <w:t>Accounting and Business Research</w:t>
      </w:r>
      <w:r w:rsidRPr="00306CE5">
        <w:t>, Vol. 46 No. 6, pp. 601-619.</w:t>
      </w:r>
    </w:p>
    <w:p w14:paraId="2D70C3F3" w14:textId="77777777" w:rsidR="00220EF0" w:rsidRPr="004249DA" w:rsidRDefault="00220EF0" w:rsidP="001D291B">
      <w:pPr>
        <w:spacing w:line="480" w:lineRule="auto"/>
        <w:ind w:left="567" w:hanging="567"/>
        <w:jc w:val="both"/>
      </w:pPr>
      <w:r w:rsidRPr="00B917FF">
        <w:t xml:space="preserve">Gaudy, C. and Malsch, B. (2023), "Auditors’ search for meaningfulness in sustainability assurance work", </w:t>
      </w:r>
      <w:r w:rsidRPr="00B917FF">
        <w:rPr>
          <w:i/>
          <w:iCs/>
        </w:rPr>
        <w:t>Qualitative Research in Accounting &amp; Management</w:t>
      </w:r>
      <w:r w:rsidRPr="00B917FF">
        <w:t>, Vol. 20 No. 2, pp. 257-277.</w:t>
      </w:r>
    </w:p>
    <w:p w14:paraId="5A1A1220" w14:textId="77777777" w:rsidR="00220EF0" w:rsidRPr="004249DA" w:rsidRDefault="00220EF0" w:rsidP="001D291B">
      <w:pPr>
        <w:spacing w:line="480" w:lineRule="auto"/>
        <w:ind w:left="567" w:hanging="567"/>
        <w:jc w:val="both"/>
      </w:pPr>
      <w:r w:rsidRPr="004249DA">
        <w:t xml:space="preserve">Gendron, Y. and Barrett, M. (2004), “Professionalisation in action: accountants’ attempt at building a network of support for the WebTrust seal of assurance”, </w:t>
      </w:r>
      <w:r w:rsidRPr="004249DA">
        <w:rPr>
          <w:i/>
          <w:iCs/>
        </w:rPr>
        <w:t>Contemporary Accounting Research</w:t>
      </w:r>
      <w:r w:rsidRPr="004249DA">
        <w:t>, Vol. 21 No. 3, pp. 563–602.</w:t>
      </w:r>
    </w:p>
    <w:p w14:paraId="35362F17" w14:textId="77777777" w:rsidR="00220EF0" w:rsidRPr="004249DA" w:rsidRDefault="00220EF0" w:rsidP="001D291B">
      <w:pPr>
        <w:spacing w:line="480" w:lineRule="auto"/>
        <w:ind w:left="567" w:hanging="567"/>
        <w:jc w:val="both"/>
      </w:pPr>
      <w:r w:rsidRPr="004249DA">
        <w:t xml:space="preserve">Gendron, Y., Cooper, D.J. and Townley, B. (2007), “The construction of auditing expertise in measuring government performance”, </w:t>
      </w:r>
      <w:r w:rsidRPr="004249DA">
        <w:rPr>
          <w:i/>
          <w:iCs/>
        </w:rPr>
        <w:t>Accounting, Organizations and Society</w:t>
      </w:r>
      <w:r w:rsidRPr="004249DA">
        <w:t>, Vol. 32 Nos. 1/2, pp. 101–129.</w:t>
      </w:r>
    </w:p>
    <w:p w14:paraId="7AB95A8C" w14:textId="77777777" w:rsidR="00220EF0" w:rsidRPr="004249DA" w:rsidRDefault="00220EF0" w:rsidP="001D291B">
      <w:pPr>
        <w:spacing w:line="480" w:lineRule="auto"/>
        <w:ind w:left="567" w:hanging="567"/>
        <w:jc w:val="both"/>
      </w:pPr>
      <w:r w:rsidRPr="004249DA">
        <w:lastRenderedPageBreak/>
        <w:t xml:space="preserve">Gillet-Monjarret, C. (2022), “Promoting sustainability assurance missions in the European directive regulatory context”, </w:t>
      </w:r>
      <w:r w:rsidRPr="004249DA">
        <w:rPr>
          <w:i/>
          <w:iCs/>
        </w:rPr>
        <w:t>Journal of Applied Accounting Research</w:t>
      </w:r>
      <w:r w:rsidRPr="004249DA">
        <w:t>, Vol. 23 No. 1, pp. 184–206.</w:t>
      </w:r>
    </w:p>
    <w:p w14:paraId="33D39ADB" w14:textId="77777777" w:rsidR="00220EF0" w:rsidRPr="004249DA" w:rsidRDefault="00220EF0" w:rsidP="001D291B">
      <w:pPr>
        <w:spacing w:line="480" w:lineRule="auto"/>
        <w:ind w:left="567" w:hanging="567"/>
        <w:jc w:val="both"/>
      </w:pPr>
      <w:r w:rsidRPr="004249DA">
        <w:t xml:space="preserve">Gipper, B., Ross, S. and Shi, S.X. (2025), “ESG assurance in the United States”, </w:t>
      </w:r>
      <w:r w:rsidRPr="004249DA">
        <w:rPr>
          <w:i/>
          <w:iCs/>
        </w:rPr>
        <w:t>Review of Accounting Studies</w:t>
      </w:r>
      <w:r w:rsidRPr="004249DA">
        <w:t>, Vol. 30 No. 2, pp. 1753–1803.</w:t>
      </w:r>
    </w:p>
    <w:p w14:paraId="57E88FE9" w14:textId="77777777" w:rsidR="00220EF0" w:rsidRPr="004249DA" w:rsidRDefault="00220EF0" w:rsidP="001D291B">
      <w:pPr>
        <w:spacing w:line="480" w:lineRule="auto"/>
        <w:ind w:left="567" w:hanging="567"/>
        <w:jc w:val="both"/>
      </w:pPr>
      <w:r w:rsidRPr="004249DA">
        <w:t xml:space="preserve">Green, W. and Li, Q. (2011), “Evidence of an expectation gap for greenhouse gas emissions assurance”, </w:t>
      </w:r>
      <w:r w:rsidRPr="004249DA">
        <w:rPr>
          <w:i/>
          <w:iCs/>
        </w:rPr>
        <w:t>Accounting, Auditing &amp; Accountability Journal</w:t>
      </w:r>
      <w:r w:rsidRPr="004249DA">
        <w:t>, Vol. 25 No. 1, pp. 146–173.</w:t>
      </w:r>
    </w:p>
    <w:p w14:paraId="0FE5BB02" w14:textId="77777777" w:rsidR="00220EF0" w:rsidRDefault="00220EF0" w:rsidP="001D291B">
      <w:pPr>
        <w:spacing w:line="480" w:lineRule="auto"/>
        <w:ind w:left="567" w:hanging="567"/>
        <w:jc w:val="both"/>
      </w:pPr>
      <w:r w:rsidRPr="004249DA">
        <w:t xml:space="preserve">Green, W. and Taylor, S. (2013), “Factors that influence perceptions of greenhouse gas assurance provider quality”, </w:t>
      </w:r>
      <w:r w:rsidRPr="004249DA">
        <w:rPr>
          <w:i/>
          <w:iCs/>
        </w:rPr>
        <w:t>International Journal of Auditing</w:t>
      </w:r>
      <w:r w:rsidRPr="004249DA">
        <w:t>, Vol. 17 No. 3, pp. 288–307.</w:t>
      </w:r>
    </w:p>
    <w:p w14:paraId="7B43FBA3" w14:textId="77777777" w:rsidR="00220EF0" w:rsidRDefault="00220EF0" w:rsidP="001D291B">
      <w:pPr>
        <w:spacing w:line="480" w:lineRule="auto"/>
        <w:ind w:left="567" w:hanging="567"/>
        <w:jc w:val="both"/>
      </w:pPr>
      <w:r w:rsidRPr="00EC4BBA">
        <w:t xml:space="preserve">Green, W., Taylor, S. and Wu, J. (2017), "Determinants of greenhouse gas assurance provider choice", </w:t>
      </w:r>
      <w:r w:rsidRPr="00EC4BBA">
        <w:rPr>
          <w:i/>
          <w:iCs/>
        </w:rPr>
        <w:t>Meditari Accountancy Research</w:t>
      </w:r>
      <w:r w:rsidRPr="00EC4BBA">
        <w:t>, Vol. 25 No. 1, pp. 114-135.</w:t>
      </w:r>
    </w:p>
    <w:p w14:paraId="7A199A17" w14:textId="77777777" w:rsidR="00220EF0" w:rsidRPr="004249DA" w:rsidRDefault="00220EF0" w:rsidP="001D291B">
      <w:pPr>
        <w:spacing w:line="480" w:lineRule="auto"/>
        <w:ind w:left="567" w:hanging="567"/>
        <w:jc w:val="both"/>
      </w:pPr>
      <w:r w:rsidRPr="00EC4BBA">
        <w:t xml:space="preserve">Gu, Y., Dai, J. and Vasarhelyi, M. A. (2023), "Audit 4.0-based ESG assurance: an example of using satellite images on GHG emissions", </w:t>
      </w:r>
      <w:r w:rsidRPr="00EC4BBA">
        <w:rPr>
          <w:i/>
          <w:iCs/>
        </w:rPr>
        <w:t>International Journal of Accounting Information Systems</w:t>
      </w:r>
      <w:r w:rsidRPr="00EC4BBA">
        <w:t>, Vol. 50, 100625.</w:t>
      </w:r>
    </w:p>
    <w:p w14:paraId="43396A8D" w14:textId="77777777" w:rsidR="00220EF0" w:rsidRPr="004249DA" w:rsidRDefault="00220EF0" w:rsidP="001D291B">
      <w:pPr>
        <w:spacing w:line="480" w:lineRule="auto"/>
        <w:ind w:left="567" w:hanging="567"/>
        <w:jc w:val="both"/>
      </w:pPr>
      <w:r w:rsidRPr="004249DA">
        <w:t xml:space="preserve">Guthrie, J.E. and Parker, L.D. (1999), “A quarter of a century of performance auditing in the Australian federal public sector: a malleable masque”, </w:t>
      </w:r>
      <w:r w:rsidRPr="004249DA">
        <w:rPr>
          <w:i/>
          <w:iCs/>
        </w:rPr>
        <w:t>Abacus</w:t>
      </w:r>
      <w:r w:rsidRPr="004249DA">
        <w:t>, Vol. 35 No. 3, pp. 302–332.</w:t>
      </w:r>
    </w:p>
    <w:p w14:paraId="0CB9895A" w14:textId="77777777" w:rsidR="00220EF0" w:rsidRPr="004249DA" w:rsidRDefault="00220EF0" w:rsidP="001D291B">
      <w:pPr>
        <w:spacing w:line="480" w:lineRule="auto"/>
        <w:ind w:left="567" w:hanging="567"/>
        <w:jc w:val="both"/>
      </w:pPr>
      <w:r w:rsidRPr="004249DA">
        <w:t xml:space="preserve">Haji, A.A., Coram, P. and Troshani, I. (2022), “Consequences of CSR reporting regulations worldwide: a review and research agenda”, </w:t>
      </w:r>
      <w:r w:rsidRPr="004249DA">
        <w:rPr>
          <w:i/>
          <w:iCs/>
        </w:rPr>
        <w:t>Accounting, Auditing &amp; Accountability Journal</w:t>
      </w:r>
      <w:r w:rsidRPr="004249DA">
        <w:t>, Vol. 36 No. 1, pp. 177–208.</w:t>
      </w:r>
    </w:p>
    <w:p w14:paraId="44D70B46" w14:textId="77777777" w:rsidR="00220EF0" w:rsidRDefault="00220EF0" w:rsidP="001D291B">
      <w:pPr>
        <w:spacing w:line="480" w:lineRule="auto"/>
        <w:ind w:left="567" w:hanging="567"/>
        <w:jc w:val="both"/>
      </w:pPr>
      <w:r w:rsidRPr="004249DA">
        <w:lastRenderedPageBreak/>
        <w:t>Hasan, M., Maijoor, S., Mock, T.</w:t>
      </w:r>
      <w:r>
        <w:t xml:space="preserve"> </w:t>
      </w:r>
      <w:r w:rsidRPr="004249DA">
        <w:t xml:space="preserve">J., Roebuck, P., Simnett, R. and Vanstraelen, A. (2005), “The different types of assurance services and levels of assurance provided”, </w:t>
      </w:r>
      <w:r w:rsidRPr="004249DA">
        <w:rPr>
          <w:i/>
          <w:iCs/>
        </w:rPr>
        <w:t>International Journal of Auditing</w:t>
      </w:r>
      <w:r w:rsidRPr="004249DA">
        <w:t>, Vol. 9 No. 2, pp. 91–102.</w:t>
      </w:r>
    </w:p>
    <w:p w14:paraId="08D86482" w14:textId="77777777" w:rsidR="00220EF0" w:rsidRPr="004249DA" w:rsidRDefault="00220EF0" w:rsidP="001D291B">
      <w:pPr>
        <w:spacing w:line="480" w:lineRule="auto"/>
        <w:ind w:left="567" w:hanging="567"/>
        <w:jc w:val="both"/>
      </w:pPr>
      <w:r w:rsidRPr="00AB52C9">
        <w:t xml:space="preserve">Hazgui, M., Triantafillou, P. and Elmer Christensen, S. (2022), "On the legitimacy and apoliticality of public sector performance audit: exploratory evidence from </w:t>
      </w:r>
      <w:r>
        <w:t>C</w:t>
      </w:r>
      <w:r w:rsidRPr="00AB52C9">
        <w:t xml:space="preserve">anada and </w:t>
      </w:r>
      <w:r>
        <w:t>D</w:t>
      </w:r>
      <w:r w:rsidRPr="00AB52C9">
        <w:t xml:space="preserve">enmark", </w:t>
      </w:r>
      <w:r w:rsidRPr="00AB52C9">
        <w:rPr>
          <w:i/>
          <w:iCs/>
        </w:rPr>
        <w:t>Accounting, Auditing &amp; Accountability Journal</w:t>
      </w:r>
      <w:r w:rsidRPr="00AB52C9">
        <w:t>, Vol. 35 No. 6, pp. 1375-1401.</w:t>
      </w:r>
    </w:p>
    <w:p w14:paraId="70948E2A" w14:textId="77777777" w:rsidR="00220EF0" w:rsidRPr="004249DA" w:rsidRDefault="00220EF0" w:rsidP="001D291B">
      <w:pPr>
        <w:spacing w:line="480" w:lineRule="auto"/>
        <w:ind w:left="567" w:hanging="567"/>
        <w:jc w:val="both"/>
      </w:pPr>
      <w:r w:rsidRPr="004249DA">
        <w:t xml:space="preserve">Hillary, R. (1998), “Environmental auditing: concepts, methods and developments”, </w:t>
      </w:r>
      <w:r w:rsidRPr="004249DA">
        <w:rPr>
          <w:i/>
          <w:iCs/>
        </w:rPr>
        <w:t>International Journal of Auditing</w:t>
      </w:r>
      <w:r w:rsidRPr="004249DA">
        <w:t>, Vol. 2 No. 1, pp. 71–85.</w:t>
      </w:r>
    </w:p>
    <w:p w14:paraId="0E1ED147" w14:textId="77777777" w:rsidR="00220EF0" w:rsidRPr="004249DA" w:rsidRDefault="00220EF0" w:rsidP="001D291B">
      <w:pPr>
        <w:spacing w:line="480" w:lineRule="auto"/>
        <w:ind w:left="567" w:hanging="567"/>
        <w:jc w:val="both"/>
      </w:pPr>
      <w:r w:rsidRPr="004249DA">
        <w:t xml:space="preserve">Hoang, H. and Trotman, K.T. (2021), “The effect of CSR assurance and explicit assessment on investor valuation judgments”, </w:t>
      </w:r>
      <w:r w:rsidRPr="004249DA">
        <w:rPr>
          <w:i/>
          <w:iCs/>
        </w:rPr>
        <w:t>Auditing: A Journal of Practice &amp; Theory</w:t>
      </w:r>
      <w:r w:rsidRPr="004249DA">
        <w:t>, Vol. 40 No. 1, pp. 19–33.</w:t>
      </w:r>
    </w:p>
    <w:p w14:paraId="4F4F598C" w14:textId="77777777" w:rsidR="00220EF0" w:rsidRPr="004249DA" w:rsidRDefault="00220EF0" w:rsidP="001D291B">
      <w:pPr>
        <w:spacing w:line="480" w:lineRule="auto"/>
        <w:ind w:left="567" w:hanging="567"/>
        <w:jc w:val="both"/>
      </w:pPr>
      <w:r w:rsidRPr="004249DA">
        <w:t xml:space="preserve">Humphrey, C. (2008), “Auditing research: a review across the disciplines”, </w:t>
      </w:r>
      <w:r w:rsidRPr="004249DA">
        <w:rPr>
          <w:i/>
          <w:iCs/>
        </w:rPr>
        <w:t>International Journal of Auditing</w:t>
      </w:r>
      <w:r w:rsidRPr="004249DA">
        <w:t>, Vol. 12 No. 3, pp. 171–203.</w:t>
      </w:r>
    </w:p>
    <w:p w14:paraId="322B3803" w14:textId="77777777" w:rsidR="00220EF0" w:rsidRPr="004249DA" w:rsidRDefault="00220EF0" w:rsidP="001D291B">
      <w:pPr>
        <w:spacing w:line="480" w:lineRule="auto"/>
        <w:ind w:left="567" w:hanging="567"/>
        <w:jc w:val="both"/>
      </w:pPr>
      <w:r w:rsidRPr="004249DA">
        <w:t xml:space="preserve">Humphrey, C. and Miller, P. (2012), “Rethinking reform and judicial reform: the case of the audit of the audit”, </w:t>
      </w:r>
      <w:r w:rsidRPr="004249DA">
        <w:rPr>
          <w:i/>
          <w:iCs/>
        </w:rPr>
        <w:t>Critical Perspectives on Accounting</w:t>
      </w:r>
      <w:r w:rsidRPr="004249DA">
        <w:t>, Vol. 23 Nos. 4/5, pp. 321–328.</w:t>
      </w:r>
    </w:p>
    <w:p w14:paraId="3F109100" w14:textId="77777777" w:rsidR="00220EF0" w:rsidRPr="004249DA" w:rsidRDefault="00220EF0" w:rsidP="001D291B">
      <w:pPr>
        <w:spacing w:line="480" w:lineRule="auto"/>
        <w:ind w:left="567" w:hanging="567"/>
        <w:jc w:val="both"/>
      </w:pPr>
      <w:r w:rsidRPr="004249DA">
        <w:t xml:space="preserve">Humphreys, K.A. and Trotman, K.T. (2022), “Judgment and decision-making research on CSR reporting in the COVID-19 pandemic environment”, </w:t>
      </w:r>
      <w:r w:rsidRPr="004249DA">
        <w:rPr>
          <w:i/>
          <w:iCs/>
        </w:rPr>
        <w:t>Accounting &amp; Finance</w:t>
      </w:r>
      <w:r w:rsidRPr="004249DA">
        <w:t>, Vol. 62 No. 1, pp. 739–765.</w:t>
      </w:r>
    </w:p>
    <w:p w14:paraId="79977288" w14:textId="77777777" w:rsidR="00220EF0" w:rsidRPr="004249DA" w:rsidRDefault="00220EF0" w:rsidP="001D291B">
      <w:pPr>
        <w:spacing w:line="480" w:lineRule="auto"/>
        <w:ind w:left="567" w:hanging="567"/>
        <w:jc w:val="both"/>
      </w:pPr>
      <w:r w:rsidRPr="004249DA">
        <w:lastRenderedPageBreak/>
        <w:t xml:space="preserve">Hummel, K., Schlick, C. and Fifka, M. (2019), “The role of sustainability performance and accounting assurors in sustainability assurance engagements”, </w:t>
      </w:r>
      <w:r w:rsidRPr="004249DA">
        <w:rPr>
          <w:i/>
          <w:iCs/>
        </w:rPr>
        <w:t>Journal of Business Ethics</w:t>
      </w:r>
      <w:r w:rsidRPr="004249DA">
        <w:t>, Vol. 154 No. 3, pp. 733–757.</w:t>
      </w:r>
    </w:p>
    <w:p w14:paraId="4211BAD3" w14:textId="77777777" w:rsidR="00220EF0" w:rsidRPr="004249DA" w:rsidRDefault="00220EF0" w:rsidP="001D291B">
      <w:pPr>
        <w:spacing w:line="480" w:lineRule="auto"/>
        <w:ind w:left="567" w:hanging="567"/>
        <w:jc w:val="both"/>
      </w:pPr>
      <w:r w:rsidRPr="004249DA">
        <w:t xml:space="preserve">Islam, M.A., Deegan, C. and Gray, R. (2018), “Social compliance audits and multinational corporation supply chain: evidence from a study of the rituals of social audits”, </w:t>
      </w:r>
      <w:r w:rsidRPr="004249DA">
        <w:rPr>
          <w:i/>
          <w:iCs/>
        </w:rPr>
        <w:t>Accounting &amp; Business Research</w:t>
      </w:r>
      <w:r w:rsidRPr="004249DA">
        <w:t>, Vol. 48 No. 2, pp. 190–224.</w:t>
      </w:r>
    </w:p>
    <w:p w14:paraId="3D390E63" w14:textId="77777777" w:rsidR="00220EF0" w:rsidRPr="004249DA" w:rsidRDefault="00220EF0" w:rsidP="001D291B">
      <w:pPr>
        <w:spacing w:line="480" w:lineRule="auto"/>
        <w:ind w:left="567" w:hanging="567"/>
        <w:jc w:val="both"/>
      </w:pPr>
      <w:r w:rsidRPr="004249DA">
        <w:t xml:space="preserve">Justesen, L. and Skærbæk, P. (2010), “Performance auditing and the narrating of a new auditee identity”, </w:t>
      </w:r>
      <w:r w:rsidRPr="004249DA">
        <w:rPr>
          <w:i/>
          <w:iCs/>
        </w:rPr>
        <w:t>Financial Accountability &amp; Management</w:t>
      </w:r>
      <w:r w:rsidRPr="004249DA">
        <w:t>, Vol. 26 No. 3, pp. 325–343.</w:t>
      </w:r>
    </w:p>
    <w:p w14:paraId="50E9CEB8" w14:textId="77777777" w:rsidR="00220EF0" w:rsidRDefault="00220EF0" w:rsidP="001D291B">
      <w:pPr>
        <w:spacing w:line="480" w:lineRule="auto"/>
        <w:ind w:left="567" w:hanging="567"/>
        <w:jc w:val="both"/>
      </w:pPr>
      <w:r w:rsidRPr="004249DA">
        <w:t xml:space="preserve">Kim, S., Green, W.J. and Johnstone, K.M. (2016), “Biased evidence processing by multidisciplinary greenhouse gas assurance teams”, </w:t>
      </w:r>
      <w:r w:rsidRPr="004249DA">
        <w:rPr>
          <w:i/>
          <w:iCs/>
        </w:rPr>
        <w:t>Auditing: A Journal of Practice &amp; Theory</w:t>
      </w:r>
      <w:r w:rsidRPr="004249DA">
        <w:t>, Vol. 35 No. 3, pp. 119–139.</w:t>
      </w:r>
    </w:p>
    <w:p w14:paraId="34AC521E" w14:textId="77777777" w:rsidR="00220EF0" w:rsidRPr="004249DA" w:rsidRDefault="00220EF0" w:rsidP="001D291B">
      <w:pPr>
        <w:spacing w:line="480" w:lineRule="auto"/>
        <w:ind w:left="567" w:hanging="567"/>
        <w:jc w:val="both"/>
      </w:pPr>
      <w:r w:rsidRPr="008A33A5">
        <w:t xml:space="preserve">Kastberg, G. and Ek Österberg, E. (2017), "Transforming social sector auditing – they audited more, but scrutinized less", </w:t>
      </w:r>
      <w:r w:rsidRPr="008A33A5">
        <w:rPr>
          <w:i/>
          <w:iCs/>
        </w:rPr>
        <w:t>Financial Accountability &amp; Management</w:t>
      </w:r>
      <w:r w:rsidRPr="008A33A5">
        <w:t>, Vol. 33 No. 3, pp. 284-298.</w:t>
      </w:r>
    </w:p>
    <w:p w14:paraId="51D72A9B" w14:textId="77777777" w:rsidR="00220EF0" w:rsidRPr="004249DA" w:rsidRDefault="00220EF0" w:rsidP="001D291B">
      <w:pPr>
        <w:spacing w:line="480" w:lineRule="auto"/>
        <w:ind w:left="567" w:hanging="567"/>
        <w:jc w:val="both"/>
      </w:pPr>
      <w:r w:rsidRPr="004249DA">
        <w:t xml:space="preserve">Krasodomska, J., Simnett, R. and Street, D.L. (2021), “Extended external reporting assurance: current practices and challenges”, </w:t>
      </w:r>
      <w:r w:rsidRPr="004249DA">
        <w:rPr>
          <w:i/>
          <w:iCs/>
        </w:rPr>
        <w:t>Journal of International Financial Management &amp; Accounting</w:t>
      </w:r>
      <w:r w:rsidRPr="004249DA">
        <w:t>, Vol. 32 No. 1, pp. 104–142.</w:t>
      </w:r>
    </w:p>
    <w:p w14:paraId="468A50C1" w14:textId="77777777" w:rsidR="00220EF0" w:rsidRPr="004249DA" w:rsidRDefault="00220EF0" w:rsidP="001D291B">
      <w:pPr>
        <w:spacing w:line="480" w:lineRule="auto"/>
        <w:ind w:left="567" w:hanging="567"/>
        <w:jc w:val="both"/>
      </w:pPr>
      <w:r w:rsidRPr="004249DA">
        <w:t xml:space="preserve">Lapsley, I. and Vakkuri, J. (2002), “Performance measurement and management in local government”, </w:t>
      </w:r>
      <w:r w:rsidRPr="004249DA">
        <w:rPr>
          <w:i/>
          <w:iCs/>
        </w:rPr>
        <w:t>Accounting, Auditing &amp; Accountability Journal</w:t>
      </w:r>
      <w:r w:rsidRPr="004249DA">
        <w:t>, Vol. 15 No. 3, pp. 404–431.</w:t>
      </w:r>
    </w:p>
    <w:p w14:paraId="4348CACA" w14:textId="77777777" w:rsidR="00220EF0" w:rsidRPr="004249DA" w:rsidRDefault="00220EF0" w:rsidP="001D291B">
      <w:pPr>
        <w:spacing w:line="480" w:lineRule="auto"/>
        <w:ind w:left="567" w:hanging="567"/>
        <w:jc w:val="both"/>
      </w:pPr>
      <w:r w:rsidRPr="004249DA">
        <w:lastRenderedPageBreak/>
        <w:t xml:space="preserve">Larrinaga, C., Rossi, A., Luque-Vílchez, M. and Núñez-Solidoro, S.T. (2018), “The role of independent assurance in sustainability reporting”, </w:t>
      </w:r>
      <w:r w:rsidRPr="004249DA">
        <w:rPr>
          <w:i/>
          <w:iCs/>
        </w:rPr>
        <w:t>Sustainability</w:t>
      </w:r>
      <w:r w:rsidRPr="004249DA">
        <w:t>, Vol. 10 No. 4.</w:t>
      </w:r>
    </w:p>
    <w:p w14:paraId="5A987695" w14:textId="77777777" w:rsidR="00220EF0" w:rsidRPr="004249DA" w:rsidRDefault="00220EF0" w:rsidP="001D291B">
      <w:pPr>
        <w:spacing w:line="480" w:lineRule="auto"/>
        <w:ind w:left="567" w:hanging="567"/>
        <w:jc w:val="both"/>
      </w:pPr>
      <w:r w:rsidRPr="004249DA">
        <w:t xml:space="preserve">Liao, L., Teng, L. and Zhang, Y. (2018), “Corporate board and corporate social responsibility assurance: evidence from China”, </w:t>
      </w:r>
      <w:r w:rsidRPr="004249DA">
        <w:rPr>
          <w:i/>
          <w:iCs/>
        </w:rPr>
        <w:t>Journal of Business Ethics</w:t>
      </w:r>
      <w:r w:rsidRPr="004249DA">
        <w:t>, Vol. 150 No. 1, pp. 211–225.</w:t>
      </w:r>
    </w:p>
    <w:p w14:paraId="260A0BBF" w14:textId="77777777" w:rsidR="00220EF0" w:rsidRPr="004249DA" w:rsidRDefault="00220EF0" w:rsidP="001D291B">
      <w:pPr>
        <w:spacing w:line="480" w:lineRule="auto"/>
        <w:ind w:left="567" w:hanging="567"/>
        <w:jc w:val="both"/>
      </w:pPr>
      <w:r w:rsidRPr="004249DA">
        <w:t xml:space="preserve">Linnenluecke, M.K., Marrone, M. and Singh, A.K. (2020), “Conducting systematic literature reviews and bibliometric analyses”, </w:t>
      </w:r>
      <w:r w:rsidRPr="004249DA">
        <w:rPr>
          <w:i/>
          <w:iCs/>
        </w:rPr>
        <w:t>Australian Journal of Management</w:t>
      </w:r>
      <w:r w:rsidRPr="004249DA">
        <w:t>, Vol. 45 No. 2, pp. 175–194.</w:t>
      </w:r>
    </w:p>
    <w:p w14:paraId="6A715B27" w14:textId="77777777" w:rsidR="00220EF0" w:rsidRPr="004249DA" w:rsidRDefault="00220EF0" w:rsidP="001D291B">
      <w:pPr>
        <w:spacing w:line="480" w:lineRule="auto"/>
        <w:ind w:left="567" w:hanging="567"/>
        <w:jc w:val="both"/>
      </w:pPr>
      <w:r w:rsidRPr="004249DA">
        <w:t xml:space="preserve">Maltby, J. (1995), “Environmental audit: theory and practices”, </w:t>
      </w:r>
      <w:r w:rsidRPr="004249DA">
        <w:rPr>
          <w:i/>
          <w:iCs/>
        </w:rPr>
        <w:t>Managerial Auditing Journal</w:t>
      </w:r>
      <w:r w:rsidRPr="004249DA">
        <w:t>, Vol. 10 No. 6, pp. 15–20.</w:t>
      </w:r>
    </w:p>
    <w:p w14:paraId="19C2CCEC" w14:textId="77777777" w:rsidR="00220EF0" w:rsidRDefault="00220EF0" w:rsidP="001D291B">
      <w:pPr>
        <w:spacing w:line="480" w:lineRule="auto"/>
        <w:ind w:left="567" w:hanging="567"/>
        <w:jc w:val="both"/>
      </w:pPr>
      <w:r w:rsidRPr="004249DA">
        <w:t xml:space="preserve">Martínez-Ferrero, J. and García-Sánchez, I.-M. (2018), “The level of sustainability assurance: the effects of brand reputation and industry specialisation of assurance providers”, </w:t>
      </w:r>
      <w:r w:rsidRPr="004249DA">
        <w:rPr>
          <w:i/>
          <w:iCs/>
        </w:rPr>
        <w:t>Journal of Business Ethics</w:t>
      </w:r>
      <w:r w:rsidRPr="004249DA">
        <w:t>, Vol. 150 No. 4, pp. 971–990.</w:t>
      </w:r>
    </w:p>
    <w:p w14:paraId="613C46D5" w14:textId="77777777" w:rsidR="00220EF0" w:rsidRPr="004249DA" w:rsidRDefault="00220EF0" w:rsidP="001D291B">
      <w:pPr>
        <w:spacing w:line="480" w:lineRule="auto"/>
        <w:ind w:left="567" w:hanging="567"/>
        <w:jc w:val="both"/>
      </w:pPr>
      <w:r w:rsidRPr="00D611A0">
        <w:t xml:space="preserve">Martínez-Ferrero, J., Sánchez-Sancho, M. and García-Meca, E. (2025), "The paradigm of female directors in the managerial capture of sustainability assurance: an analysis supported by natural language processing methods", </w:t>
      </w:r>
      <w:r w:rsidRPr="00D611A0">
        <w:rPr>
          <w:i/>
          <w:iCs/>
        </w:rPr>
        <w:t>Meditari Accountancy Research</w:t>
      </w:r>
      <w:r w:rsidRPr="00D611A0">
        <w:t>, Vol. 33 No. 6, pp. 1397-1421.</w:t>
      </w:r>
    </w:p>
    <w:p w14:paraId="6076560F" w14:textId="77777777" w:rsidR="00220EF0" w:rsidRDefault="00220EF0" w:rsidP="001D291B">
      <w:pPr>
        <w:spacing w:line="480" w:lineRule="auto"/>
        <w:ind w:left="567" w:hanging="567"/>
        <w:jc w:val="both"/>
      </w:pPr>
      <w:r w:rsidRPr="004249DA">
        <w:t xml:space="preserve">Massaro, M., Dumay, J. and Guthrie, J. (2016), “On the shoulders of giants: undertaking a structured literature review in accounting”, </w:t>
      </w:r>
      <w:r w:rsidRPr="004249DA">
        <w:rPr>
          <w:i/>
          <w:iCs/>
        </w:rPr>
        <w:t>Accounting, Auditing &amp; Accountability Journal</w:t>
      </w:r>
      <w:r w:rsidRPr="004249DA">
        <w:t>, Vol. 29 No. 5, pp. 767–801.</w:t>
      </w:r>
    </w:p>
    <w:p w14:paraId="36D060E1" w14:textId="77777777" w:rsidR="00220EF0" w:rsidRPr="004249DA" w:rsidRDefault="00220EF0" w:rsidP="001D291B">
      <w:pPr>
        <w:spacing w:line="480" w:lineRule="auto"/>
        <w:ind w:left="567" w:hanging="567"/>
        <w:jc w:val="both"/>
      </w:pPr>
      <w:r w:rsidRPr="00D611A0">
        <w:lastRenderedPageBreak/>
        <w:t xml:space="preserve">Mnif, Y. and Kchaou, J. (2025), "Sustainability assurance joint provision and assurance statement readability: does the assurance provider gender diversity matter?", </w:t>
      </w:r>
      <w:r w:rsidRPr="00D611A0">
        <w:rPr>
          <w:i/>
          <w:iCs/>
        </w:rPr>
        <w:t>Journal of Applied Accounting Research</w:t>
      </w:r>
      <w:r w:rsidRPr="00D611A0">
        <w:t>, Vol. 26 No. 1, pp. 1-27.</w:t>
      </w:r>
    </w:p>
    <w:p w14:paraId="73217300" w14:textId="77777777" w:rsidR="00220EF0" w:rsidRPr="004249DA" w:rsidRDefault="00220EF0" w:rsidP="001D291B">
      <w:pPr>
        <w:spacing w:line="480" w:lineRule="auto"/>
        <w:ind w:left="567" w:hanging="567"/>
        <w:jc w:val="both"/>
      </w:pPr>
      <w:r w:rsidRPr="004249DA">
        <w:t xml:space="preserve">Miller, P. and Power, M. (2013), “Accounting, organising and economising: connecting accounting research and organisation theory”, </w:t>
      </w:r>
      <w:r w:rsidRPr="004249DA">
        <w:rPr>
          <w:i/>
          <w:iCs/>
        </w:rPr>
        <w:t>Academy of Management Annals</w:t>
      </w:r>
      <w:r w:rsidRPr="004249DA">
        <w:t>, Vol. 7 No. 1, pp. 557–605.</w:t>
      </w:r>
    </w:p>
    <w:p w14:paraId="6545A9FA" w14:textId="77777777" w:rsidR="00220EF0" w:rsidRPr="004249DA" w:rsidRDefault="00220EF0" w:rsidP="001D291B">
      <w:pPr>
        <w:spacing w:line="480" w:lineRule="auto"/>
        <w:ind w:left="567" w:hanging="567"/>
        <w:jc w:val="both"/>
      </w:pPr>
      <w:r w:rsidRPr="004249DA">
        <w:t xml:space="preserve">Morimoto, R., Ash, J. and Hope, C. (2005), “Corporate social responsibility audit: from theory to practice”, </w:t>
      </w:r>
      <w:r w:rsidRPr="004249DA">
        <w:rPr>
          <w:i/>
          <w:iCs/>
        </w:rPr>
        <w:t>Journal of Business Ethics</w:t>
      </w:r>
      <w:r w:rsidRPr="004249DA">
        <w:t>, Vol. 62 No. 4, pp. 315–325.</w:t>
      </w:r>
    </w:p>
    <w:p w14:paraId="3C96DA13" w14:textId="77777777" w:rsidR="00220EF0" w:rsidRPr="004249DA" w:rsidRDefault="00220EF0" w:rsidP="001D291B">
      <w:pPr>
        <w:spacing w:line="480" w:lineRule="auto"/>
        <w:ind w:left="567" w:hanging="567"/>
        <w:jc w:val="both"/>
      </w:pPr>
      <w:r w:rsidRPr="004249DA">
        <w:t xml:space="preserve">Morin, D. (2011), “Serving as magistrate at the French Cour des comptes”, </w:t>
      </w:r>
      <w:r w:rsidRPr="004249DA">
        <w:rPr>
          <w:i/>
          <w:iCs/>
        </w:rPr>
        <w:t>Accounting, Auditing &amp; Accountability Journal</w:t>
      </w:r>
      <w:r w:rsidRPr="004249DA">
        <w:t>, Vol. 24 No. 6, pp. 718–750.</w:t>
      </w:r>
    </w:p>
    <w:p w14:paraId="0238E738" w14:textId="77777777" w:rsidR="00220EF0" w:rsidRPr="004249DA" w:rsidRDefault="00220EF0" w:rsidP="001D291B">
      <w:pPr>
        <w:spacing w:line="480" w:lineRule="auto"/>
        <w:ind w:left="567" w:hanging="567"/>
        <w:jc w:val="both"/>
      </w:pPr>
      <w:r w:rsidRPr="004249DA">
        <w:t xml:space="preserve">Morin, D. (2016), “Democratic accountability and public sector performance auditing”, </w:t>
      </w:r>
      <w:r w:rsidRPr="004249DA">
        <w:rPr>
          <w:i/>
          <w:iCs/>
        </w:rPr>
        <w:t>Public Money &amp; Management</w:t>
      </w:r>
      <w:r w:rsidRPr="004249DA">
        <w:t>, Vol. 36 No. 5, pp. 341–348.</w:t>
      </w:r>
    </w:p>
    <w:p w14:paraId="5C0AFA6D" w14:textId="77777777" w:rsidR="00220EF0" w:rsidRPr="004249DA" w:rsidRDefault="00220EF0" w:rsidP="001D291B">
      <w:pPr>
        <w:spacing w:line="480" w:lineRule="auto"/>
        <w:ind w:left="567" w:hanging="567"/>
        <w:jc w:val="both"/>
      </w:pPr>
      <w:r w:rsidRPr="004249DA">
        <w:t xml:space="preserve">Moroney, R., Windsor, C. and Aw, Y.T. (2012), “Evidence of assurance enhancing the quality of voluntary environmental disclosures: an empirical analysis”, </w:t>
      </w:r>
      <w:r w:rsidRPr="004249DA">
        <w:rPr>
          <w:i/>
          <w:iCs/>
        </w:rPr>
        <w:t>Accounting &amp; Finance</w:t>
      </w:r>
      <w:r w:rsidRPr="004249DA">
        <w:t>, Vol. 52 No. 3, pp. 903–939.</w:t>
      </w:r>
    </w:p>
    <w:p w14:paraId="2C361273" w14:textId="77777777" w:rsidR="00220EF0" w:rsidRPr="00F82D5D" w:rsidRDefault="00220EF0" w:rsidP="001D291B">
      <w:pPr>
        <w:spacing w:line="480" w:lineRule="auto"/>
        <w:ind w:left="567" w:hanging="567"/>
        <w:jc w:val="both"/>
      </w:pPr>
      <w:r w:rsidRPr="004249DA">
        <w:t xml:space="preserve">Moroney, R., Campbell, F., Hamilton, J. and Warren, V. (2020), </w:t>
      </w:r>
      <w:r w:rsidRPr="004249DA">
        <w:rPr>
          <w:i/>
          <w:iCs/>
        </w:rPr>
        <w:t>Auditing: A Practical Approach</w:t>
      </w:r>
      <w:r w:rsidRPr="004249DA">
        <w:t>, Wiley, Hoboken, NJ.</w:t>
      </w:r>
    </w:p>
    <w:p w14:paraId="316E9102" w14:textId="77777777" w:rsidR="00220EF0" w:rsidRPr="004249DA" w:rsidRDefault="00220EF0" w:rsidP="001D291B">
      <w:pPr>
        <w:spacing w:line="480" w:lineRule="auto"/>
        <w:ind w:left="567" w:hanging="567"/>
        <w:jc w:val="both"/>
      </w:pPr>
      <w:r w:rsidRPr="00F82D5D">
        <w:t xml:space="preserve">Nath, N., Othman, R. and Laswad, F. (2019), "External performance audit in new zealand public health: a legitimacy perspective", </w:t>
      </w:r>
      <w:r w:rsidRPr="00F82D5D">
        <w:rPr>
          <w:i/>
          <w:iCs/>
        </w:rPr>
        <w:t>Qualitative Research in Accounting &amp; Management</w:t>
      </w:r>
      <w:r w:rsidRPr="00F82D5D">
        <w:t>, Vol. 17 No. 2, pp. 145-175.</w:t>
      </w:r>
    </w:p>
    <w:p w14:paraId="79BDBB49" w14:textId="77777777" w:rsidR="00220EF0" w:rsidRPr="004249DA" w:rsidRDefault="00220EF0" w:rsidP="001D291B">
      <w:pPr>
        <w:spacing w:line="480" w:lineRule="auto"/>
        <w:ind w:left="567" w:hanging="567"/>
        <w:jc w:val="both"/>
      </w:pPr>
      <w:r w:rsidRPr="004249DA">
        <w:t xml:space="preserve">O’Dwyer, B. (2011), “The case of sustainability assurance: constructing a new assurance service”, </w:t>
      </w:r>
      <w:r w:rsidRPr="004249DA">
        <w:rPr>
          <w:i/>
          <w:iCs/>
        </w:rPr>
        <w:t>Contemporary Accounting Research</w:t>
      </w:r>
      <w:r w:rsidRPr="004249DA">
        <w:t>, Vol. 28 No. 4, pp. 1230–1266.</w:t>
      </w:r>
    </w:p>
    <w:p w14:paraId="7EC6DD3F" w14:textId="77777777" w:rsidR="00220EF0" w:rsidRPr="004249DA" w:rsidRDefault="00220EF0" w:rsidP="001D291B">
      <w:pPr>
        <w:spacing w:line="480" w:lineRule="auto"/>
        <w:ind w:left="567" w:hanging="567"/>
        <w:jc w:val="both"/>
      </w:pPr>
      <w:r w:rsidRPr="004249DA">
        <w:lastRenderedPageBreak/>
        <w:t xml:space="preserve">O’Dwyer, B. and Owen, D.L. (2005), “Assurance statement practice in environmental, social and sustainability reporting: a critical evaluation”, </w:t>
      </w:r>
      <w:r w:rsidRPr="004249DA">
        <w:rPr>
          <w:i/>
          <w:iCs/>
        </w:rPr>
        <w:t>The British Accounting Review</w:t>
      </w:r>
      <w:r w:rsidRPr="004249DA">
        <w:t>, Vol. 37 No. 2, pp. 205–229.</w:t>
      </w:r>
    </w:p>
    <w:p w14:paraId="2E22B24C" w14:textId="77777777" w:rsidR="00220EF0" w:rsidRPr="004249DA" w:rsidRDefault="00220EF0" w:rsidP="001D291B">
      <w:pPr>
        <w:spacing w:line="480" w:lineRule="auto"/>
        <w:ind w:left="567" w:hanging="567"/>
        <w:jc w:val="both"/>
      </w:pPr>
      <w:r w:rsidRPr="004249DA">
        <w:t xml:space="preserve">O’Dwyer, B., Owen, D. and Unerman, J. (2011), “Seeking legitimacy for new assurance forms”, </w:t>
      </w:r>
      <w:r w:rsidRPr="004249DA">
        <w:rPr>
          <w:i/>
          <w:iCs/>
        </w:rPr>
        <w:t>Accounting, Organizations and Society</w:t>
      </w:r>
      <w:r w:rsidRPr="004249DA">
        <w:t>, Vol. 36 No. 1, pp. 31–52.</w:t>
      </w:r>
    </w:p>
    <w:p w14:paraId="041EE38E" w14:textId="77777777" w:rsidR="00220EF0" w:rsidRPr="004249DA" w:rsidRDefault="00220EF0" w:rsidP="001D291B">
      <w:pPr>
        <w:spacing w:line="480" w:lineRule="auto"/>
        <w:ind w:left="567" w:hanging="567"/>
        <w:jc w:val="both"/>
      </w:pPr>
      <w:r w:rsidRPr="004249DA">
        <w:t xml:space="preserve">Okoli, C. (2015), “A guide to conducting a standalone systematic literature review”, </w:t>
      </w:r>
      <w:r w:rsidRPr="004249DA">
        <w:rPr>
          <w:i/>
          <w:iCs/>
        </w:rPr>
        <w:t>Communications of the Association for Information Systems</w:t>
      </w:r>
      <w:r w:rsidRPr="004249DA">
        <w:t>, Vol. 37, Article 43.</w:t>
      </w:r>
    </w:p>
    <w:p w14:paraId="300C7F2D" w14:textId="77777777" w:rsidR="00220EF0" w:rsidRPr="004249DA" w:rsidRDefault="00220EF0" w:rsidP="001D291B">
      <w:pPr>
        <w:spacing w:line="480" w:lineRule="auto"/>
        <w:ind w:left="567" w:hanging="567"/>
        <w:jc w:val="both"/>
      </w:pPr>
      <w:r w:rsidRPr="004249DA">
        <w:t xml:space="preserve">Oware, K.M. and Appiah, K. (2022), “CSR assurance practice and financial distress likelihood: evidence from India”, </w:t>
      </w:r>
      <w:r w:rsidRPr="004249DA">
        <w:rPr>
          <w:i/>
          <w:iCs/>
        </w:rPr>
        <w:t>Meditari Accountancy Research</w:t>
      </w:r>
      <w:r w:rsidRPr="004249DA">
        <w:t>, Vol. 30 No. 6, pp. 1470–1492.</w:t>
      </w:r>
    </w:p>
    <w:p w14:paraId="6A77AADA" w14:textId="77777777" w:rsidR="00220EF0" w:rsidRPr="004249DA" w:rsidRDefault="00220EF0" w:rsidP="001D291B">
      <w:pPr>
        <w:spacing w:line="480" w:lineRule="auto"/>
        <w:ind w:left="567" w:hanging="567"/>
        <w:jc w:val="both"/>
      </w:pPr>
      <w:r w:rsidRPr="004249DA">
        <w:t xml:space="preserve">Owen, D.L., Swift, T.A., Humphrey, C. and Bowerman, M. (2000), “The new social audits: accountability, managerial capture or the agenda of social champions?”, </w:t>
      </w:r>
      <w:r w:rsidRPr="004249DA">
        <w:rPr>
          <w:i/>
          <w:iCs/>
        </w:rPr>
        <w:t>European Accounting Review</w:t>
      </w:r>
      <w:r w:rsidRPr="004249DA">
        <w:t>, Vol. 9 No. 1, pp. 81–98.</w:t>
      </w:r>
    </w:p>
    <w:p w14:paraId="0BE24E4E" w14:textId="77777777" w:rsidR="00220EF0" w:rsidRDefault="00220EF0" w:rsidP="001D291B">
      <w:pPr>
        <w:spacing w:line="480" w:lineRule="auto"/>
        <w:ind w:left="567" w:hanging="567"/>
        <w:jc w:val="both"/>
      </w:pPr>
      <w:r w:rsidRPr="004249DA">
        <w:t xml:space="preserve">Parker, L.D. and Guthrie, J. (1991), “Performance auditing: the jurisdiction of the Australian Auditor-General—de jure or de facto?”, </w:t>
      </w:r>
      <w:r w:rsidRPr="004249DA">
        <w:rPr>
          <w:i/>
          <w:iCs/>
        </w:rPr>
        <w:t>Financial Accountability &amp; Management</w:t>
      </w:r>
      <w:r w:rsidRPr="004249DA">
        <w:t>, Vol. 7 No. 2, p. 107.</w:t>
      </w:r>
    </w:p>
    <w:p w14:paraId="03E2C967" w14:textId="77777777" w:rsidR="00220EF0" w:rsidRPr="004249DA" w:rsidRDefault="00220EF0" w:rsidP="001D291B">
      <w:pPr>
        <w:spacing w:line="480" w:lineRule="auto"/>
        <w:ind w:left="567" w:hanging="567"/>
        <w:jc w:val="both"/>
      </w:pPr>
      <w:r w:rsidRPr="00B917FF">
        <w:t xml:space="preserve">Parker, L. D., Jacobs, K. and Schmitz, J. (2019), "New public management and the rise of public sector performance audit: evidence from the Australian case", </w:t>
      </w:r>
      <w:r w:rsidRPr="00B917FF">
        <w:rPr>
          <w:i/>
          <w:iCs/>
        </w:rPr>
        <w:t>Accounting, Auditing &amp; Accountability Journal</w:t>
      </w:r>
      <w:r w:rsidRPr="00B917FF">
        <w:t>, Vol. 32 No. 1, pp. 280-306.</w:t>
      </w:r>
    </w:p>
    <w:p w14:paraId="2E551756" w14:textId="77777777" w:rsidR="00220EF0" w:rsidRPr="004249DA" w:rsidRDefault="00220EF0" w:rsidP="001D291B">
      <w:pPr>
        <w:spacing w:line="480" w:lineRule="auto"/>
        <w:ind w:left="567" w:hanging="567"/>
        <w:jc w:val="both"/>
      </w:pPr>
      <w:r w:rsidRPr="004249DA">
        <w:t xml:space="preserve">Parker, L.D., Schmitz, J. and Jacobs, K. (2021), “Auditor and auditee engagement with public sector performance audit: an institutional logics perspective”, </w:t>
      </w:r>
      <w:r w:rsidRPr="004249DA">
        <w:rPr>
          <w:i/>
          <w:iCs/>
        </w:rPr>
        <w:t>Financial Accountability &amp; Management</w:t>
      </w:r>
      <w:r w:rsidRPr="004249DA">
        <w:t>, Vol. 37 No. 2, pp. 142–162.</w:t>
      </w:r>
    </w:p>
    <w:p w14:paraId="116D0A73" w14:textId="77777777" w:rsidR="00220EF0" w:rsidRPr="004249DA" w:rsidRDefault="00220EF0" w:rsidP="001D291B">
      <w:pPr>
        <w:spacing w:line="480" w:lineRule="auto"/>
        <w:ind w:left="567" w:hanging="567"/>
        <w:jc w:val="both"/>
      </w:pPr>
      <w:r w:rsidRPr="004249DA">
        <w:lastRenderedPageBreak/>
        <w:t xml:space="preserve">Perego, P. and Kolk, A. (2012), “Multinationals’ accountability on sustainability: the evolution of third-party assurance of reports”, </w:t>
      </w:r>
      <w:r w:rsidRPr="004249DA">
        <w:rPr>
          <w:i/>
          <w:iCs/>
        </w:rPr>
        <w:t>Journal of Business Ethics</w:t>
      </w:r>
      <w:r w:rsidRPr="004249DA">
        <w:t>, Vol. 110 No. 2, pp. 173–190.</w:t>
      </w:r>
    </w:p>
    <w:p w14:paraId="1F3686D7" w14:textId="77777777" w:rsidR="00220EF0" w:rsidRPr="004249DA" w:rsidRDefault="00220EF0" w:rsidP="001D291B">
      <w:pPr>
        <w:spacing w:line="480" w:lineRule="auto"/>
        <w:ind w:left="567" w:hanging="567"/>
        <w:jc w:val="both"/>
      </w:pPr>
      <w:r w:rsidRPr="004249DA">
        <w:t xml:space="preserve">Pinnuck, M., Simnett, R., Soderstrom, N. and Zhou, S. (2021), “CSR reporting and earnings properties”, </w:t>
      </w:r>
      <w:r w:rsidRPr="004249DA">
        <w:rPr>
          <w:i/>
          <w:iCs/>
        </w:rPr>
        <w:t>Contemporary Accounting Research</w:t>
      </w:r>
      <w:r w:rsidRPr="004249DA">
        <w:t>, Vol. 38 No. 1, pp. 52–85.</w:t>
      </w:r>
    </w:p>
    <w:p w14:paraId="09DFAE44" w14:textId="77777777" w:rsidR="00220EF0" w:rsidRPr="004249DA" w:rsidRDefault="00220EF0" w:rsidP="001D291B">
      <w:pPr>
        <w:spacing w:line="480" w:lineRule="auto"/>
        <w:ind w:left="567" w:hanging="567"/>
        <w:jc w:val="both"/>
      </w:pPr>
      <w:r w:rsidRPr="004249DA">
        <w:t xml:space="preserve">Pollitt, C. (2003), “Performance audit in Western Europe: trends and choices”, </w:t>
      </w:r>
      <w:r w:rsidRPr="004249DA">
        <w:rPr>
          <w:i/>
          <w:iCs/>
        </w:rPr>
        <w:t>Critical Perspectives on Accounting</w:t>
      </w:r>
      <w:r w:rsidRPr="004249DA">
        <w:t>, Vol. 14 Nos. 1/2, pp. 157–163.</w:t>
      </w:r>
    </w:p>
    <w:p w14:paraId="652D171B" w14:textId="77777777" w:rsidR="00220EF0" w:rsidRPr="004249DA" w:rsidRDefault="00220EF0" w:rsidP="001D291B">
      <w:pPr>
        <w:spacing w:line="480" w:lineRule="auto"/>
        <w:ind w:left="567" w:hanging="567"/>
        <w:jc w:val="both"/>
      </w:pPr>
      <w:r w:rsidRPr="004249DA">
        <w:t xml:space="preserve">Power, M. (1994), </w:t>
      </w:r>
      <w:r w:rsidRPr="004249DA">
        <w:rPr>
          <w:i/>
          <w:iCs/>
        </w:rPr>
        <w:t>The Audit Explosion</w:t>
      </w:r>
      <w:r w:rsidRPr="004249DA">
        <w:t>, Demos, London.</w:t>
      </w:r>
    </w:p>
    <w:p w14:paraId="0DDC4DB0" w14:textId="77777777" w:rsidR="00220EF0" w:rsidRPr="004249DA" w:rsidRDefault="00220EF0" w:rsidP="001D291B">
      <w:pPr>
        <w:spacing w:line="480" w:lineRule="auto"/>
        <w:ind w:left="567" w:hanging="567"/>
        <w:jc w:val="both"/>
      </w:pPr>
      <w:r w:rsidRPr="004249DA">
        <w:t xml:space="preserve">Power, M. (1996), “Making things auditable”, </w:t>
      </w:r>
      <w:r w:rsidRPr="004249DA">
        <w:rPr>
          <w:i/>
          <w:iCs/>
        </w:rPr>
        <w:t>Accounting, Organizations and Society</w:t>
      </w:r>
      <w:r w:rsidRPr="004249DA">
        <w:t>, Vol. 21 Nos. 2/3, pp. 289–315.</w:t>
      </w:r>
    </w:p>
    <w:p w14:paraId="579D1B79" w14:textId="77777777" w:rsidR="00220EF0" w:rsidRPr="004249DA" w:rsidRDefault="00220EF0" w:rsidP="001D291B">
      <w:pPr>
        <w:spacing w:line="480" w:lineRule="auto"/>
        <w:ind w:left="567" w:hanging="567"/>
        <w:jc w:val="both"/>
      </w:pPr>
      <w:r w:rsidRPr="004249DA">
        <w:t xml:space="preserve">Power, M. (1997a), </w:t>
      </w:r>
      <w:r w:rsidRPr="004249DA">
        <w:rPr>
          <w:i/>
          <w:iCs/>
        </w:rPr>
        <w:t>The Audit Society: Rituals of Verification</w:t>
      </w:r>
      <w:r w:rsidRPr="004249DA">
        <w:t>, Oxford University Press, Oxford.</w:t>
      </w:r>
    </w:p>
    <w:p w14:paraId="4133D62F" w14:textId="77777777" w:rsidR="00220EF0" w:rsidRPr="004249DA" w:rsidRDefault="00220EF0" w:rsidP="001D291B">
      <w:pPr>
        <w:spacing w:line="480" w:lineRule="auto"/>
        <w:ind w:left="567" w:hanging="567"/>
        <w:jc w:val="both"/>
      </w:pPr>
      <w:r w:rsidRPr="004249DA">
        <w:t xml:space="preserve">Power, M. (1997b), “Expertise and the construction of relevance: accountants and environmental audit”, </w:t>
      </w:r>
      <w:r w:rsidRPr="004249DA">
        <w:rPr>
          <w:i/>
          <w:iCs/>
        </w:rPr>
        <w:t>Accounting, Organizations and Society</w:t>
      </w:r>
      <w:r w:rsidRPr="004249DA">
        <w:t>, Vol. 22 No. 2, pp. 123–146.</w:t>
      </w:r>
    </w:p>
    <w:p w14:paraId="7CACB21F" w14:textId="77777777" w:rsidR="00220EF0" w:rsidRPr="004249DA" w:rsidRDefault="00220EF0" w:rsidP="001D291B">
      <w:pPr>
        <w:spacing w:line="480" w:lineRule="auto"/>
        <w:ind w:left="567" w:hanging="567"/>
        <w:jc w:val="both"/>
      </w:pPr>
      <w:r w:rsidRPr="004249DA">
        <w:t xml:space="preserve">Power, M. (2003a), “Auditing and the production of legitimacy”, </w:t>
      </w:r>
      <w:r w:rsidRPr="004249DA">
        <w:rPr>
          <w:i/>
          <w:iCs/>
        </w:rPr>
        <w:t>Accounting, Organizations and Society</w:t>
      </w:r>
      <w:r w:rsidRPr="004249DA">
        <w:t>, Vol. 28 No. 4, pp. 379–394.</w:t>
      </w:r>
    </w:p>
    <w:p w14:paraId="083A426E" w14:textId="77777777" w:rsidR="00220EF0" w:rsidRPr="004249DA" w:rsidRDefault="00220EF0" w:rsidP="001D291B">
      <w:pPr>
        <w:spacing w:line="480" w:lineRule="auto"/>
        <w:ind w:left="567" w:hanging="567"/>
        <w:jc w:val="both"/>
      </w:pPr>
      <w:r w:rsidRPr="004249DA">
        <w:t xml:space="preserve">Power, M. (2003b), “Evaluating the audit explosion”, </w:t>
      </w:r>
      <w:r w:rsidRPr="004249DA">
        <w:rPr>
          <w:i/>
          <w:iCs/>
        </w:rPr>
        <w:t>Law &amp; Policy</w:t>
      </w:r>
      <w:r w:rsidRPr="004249DA">
        <w:t>, Vol. 25 No. 3, pp. 185–202.</w:t>
      </w:r>
    </w:p>
    <w:p w14:paraId="3E13307B" w14:textId="77777777" w:rsidR="00220EF0" w:rsidRPr="004249DA" w:rsidRDefault="00220EF0" w:rsidP="001D291B">
      <w:pPr>
        <w:spacing w:line="480" w:lineRule="auto"/>
        <w:ind w:left="567" w:hanging="567"/>
        <w:jc w:val="both"/>
      </w:pPr>
      <w:r w:rsidRPr="004249DA">
        <w:t xml:space="preserve">Power, M. (2004), “Counting, control and calculation: reflections on measuring and management”, </w:t>
      </w:r>
      <w:r w:rsidRPr="004249DA">
        <w:rPr>
          <w:i/>
          <w:iCs/>
        </w:rPr>
        <w:t>Human Relations</w:t>
      </w:r>
      <w:r w:rsidRPr="004249DA">
        <w:t>, Vol. 57 No. 6, pp. 765–783.</w:t>
      </w:r>
    </w:p>
    <w:p w14:paraId="0137B335" w14:textId="77777777" w:rsidR="00220EF0" w:rsidRPr="004249DA" w:rsidRDefault="00220EF0" w:rsidP="001D291B">
      <w:pPr>
        <w:spacing w:line="480" w:lineRule="auto"/>
        <w:ind w:left="567" w:hanging="567"/>
        <w:jc w:val="both"/>
      </w:pPr>
      <w:r w:rsidRPr="004249DA">
        <w:lastRenderedPageBreak/>
        <w:t xml:space="preserve">Power, M. (2005), “The invention of operational risk”, </w:t>
      </w:r>
      <w:r w:rsidRPr="004249DA">
        <w:rPr>
          <w:i/>
          <w:iCs/>
        </w:rPr>
        <w:t>Review of International Political Economy</w:t>
      </w:r>
      <w:r w:rsidRPr="004249DA">
        <w:t>, Vol. 12 No. 4, pp. 577–599.</w:t>
      </w:r>
    </w:p>
    <w:p w14:paraId="50E2A788" w14:textId="77777777" w:rsidR="00220EF0" w:rsidRPr="004249DA" w:rsidRDefault="00220EF0" w:rsidP="001D291B">
      <w:pPr>
        <w:spacing w:line="480" w:lineRule="auto"/>
        <w:ind w:left="567" w:hanging="567"/>
        <w:jc w:val="both"/>
      </w:pPr>
      <w:r w:rsidRPr="004249DA">
        <w:t xml:space="preserve">Power, M. (2021), “Modelling the micro-foundations of the audit society: organisations and the logic of the audit trail”, </w:t>
      </w:r>
      <w:r w:rsidRPr="004249DA">
        <w:rPr>
          <w:i/>
          <w:iCs/>
        </w:rPr>
        <w:t>Academy of Management Review</w:t>
      </w:r>
      <w:r w:rsidRPr="004249DA">
        <w:t>, Vol. 46 No. 1, pp. 6–32.</w:t>
      </w:r>
    </w:p>
    <w:p w14:paraId="2241FDDA" w14:textId="77777777" w:rsidR="00220EF0" w:rsidRPr="004249DA" w:rsidRDefault="00220EF0" w:rsidP="001D291B">
      <w:pPr>
        <w:spacing w:line="480" w:lineRule="auto"/>
        <w:ind w:left="567" w:hanging="567"/>
        <w:jc w:val="both"/>
      </w:pPr>
      <w:r w:rsidRPr="004249DA">
        <w:t xml:space="preserve">Quick, R. and Inwinkl, P. (2020), “Assurance on CSR reports: impact on the credibility perceptions of non-financial information by bank directors”, </w:t>
      </w:r>
      <w:r w:rsidRPr="004249DA">
        <w:rPr>
          <w:i/>
          <w:iCs/>
        </w:rPr>
        <w:t>Meditari Accountancy Research</w:t>
      </w:r>
      <w:r w:rsidRPr="004249DA">
        <w:t>, Vol. 28 No. 5, pp. 833–862.</w:t>
      </w:r>
    </w:p>
    <w:p w14:paraId="58B45349" w14:textId="77777777" w:rsidR="00220EF0" w:rsidRPr="004249DA" w:rsidRDefault="00220EF0" w:rsidP="001D291B">
      <w:pPr>
        <w:spacing w:line="480" w:lineRule="auto"/>
        <w:ind w:left="567" w:hanging="567"/>
        <w:jc w:val="both"/>
      </w:pPr>
      <w:r w:rsidRPr="004249DA">
        <w:t xml:space="preserve">Radcliffe, V.S. (2008), “Public secrecy in auditing: what government auditors cannot know”, </w:t>
      </w:r>
      <w:r w:rsidRPr="004249DA">
        <w:rPr>
          <w:i/>
          <w:iCs/>
        </w:rPr>
        <w:t>Critical Perspectives on Accounting</w:t>
      </w:r>
      <w:r w:rsidRPr="004249DA">
        <w:t>, Vol. 19 No. 1, pp. 99–126.</w:t>
      </w:r>
    </w:p>
    <w:p w14:paraId="18EBEF1D" w14:textId="77777777" w:rsidR="00220EF0" w:rsidRPr="004249DA" w:rsidRDefault="00220EF0" w:rsidP="001D291B">
      <w:pPr>
        <w:spacing w:line="480" w:lineRule="auto"/>
        <w:ind w:left="567" w:hanging="567"/>
        <w:jc w:val="both"/>
      </w:pPr>
      <w:r w:rsidRPr="004249DA">
        <w:t xml:space="preserve">Rika, N. and Jacobs, K. (2019), “Reputational risk and environmental performance auditing: a study in the Australian Commonwealth public sector”, </w:t>
      </w:r>
      <w:r w:rsidRPr="004249DA">
        <w:rPr>
          <w:i/>
          <w:iCs/>
        </w:rPr>
        <w:t>Financial Accountability &amp; Management</w:t>
      </w:r>
      <w:r w:rsidRPr="004249DA">
        <w:t>, Vol. 35 No. 2, pp. 182–198.</w:t>
      </w:r>
    </w:p>
    <w:p w14:paraId="2E40EBFA" w14:textId="77777777" w:rsidR="00220EF0" w:rsidRPr="004249DA" w:rsidRDefault="00220EF0" w:rsidP="001D291B">
      <w:pPr>
        <w:spacing w:line="480" w:lineRule="auto"/>
        <w:ind w:left="567" w:hanging="567"/>
        <w:jc w:val="both"/>
      </w:pPr>
      <w:r w:rsidRPr="004249DA">
        <w:t xml:space="preserve">Rohani, A., Jabbour, M. and Aliyu, S. (2023), “Corporate incentives for higher carbon assurance”, </w:t>
      </w:r>
      <w:r w:rsidRPr="004249DA">
        <w:rPr>
          <w:i/>
          <w:iCs/>
        </w:rPr>
        <w:t>Journal of Applied Accounting Research</w:t>
      </w:r>
      <w:r w:rsidRPr="004249DA">
        <w:t>, Vol. 24 No. 4, pp. 701–725.</w:t>
      </w:r>
    </w:p>
    <w:p w14:paraId="0BA99164" w14:textId="77777777" w:rsidR="00220EF0" w:rsidRPr="004249DA" w:rsidRDefault="00220EF0" w:rsidP="001D291B">
      <w:pPr>
        <w:spacing w:line="480" w:lineRule="auto"/>
        <w:ind w:left="567" w:hanging="567"/>
        <w:jc w:val="both"/>
      </w:pPr>
      <w:r w:rsidRPr="004249DA">
        <w:t xml:space="preserve">Sánchez-Sancho, M., Martínez-Ferrero, J. and Perote-Peña, J. (2025), “Sustainability assurance practice diversity”, </w:t>
      </w:r>
      <w:r w:rsidRPr="004249DA">
        <w:rPr>
          <w:i/>
          <w:iCs/>
        </w:rPr>
        <w:t>Accounting &amp; Finance</w:t>
      </w:r>
      <w:r w:rsidRPr="004249DA">
        <w:t>, Vol. 65 No. 1, pp. 153–189.</w:t>
      </w:r>
    </w:p>
    <w:p w14:paraId="033B6C51" w14:textId="77777777" w:rsidR="00220EF0" w:rsidRPr="004249DA" w:rsidRDefault="00220EF0" w:rsidP="001D291B">
      <w:pPr>
        <w:spacing w:line="480" w:lineRule="auto"/>
        <w:ind w:left="567" w:hanging="567"/>
        <w:jc w:val="both"/>
      </w:pPr>
      <w:r w:rsidRPr="004249DA">
        <w:t xml:space="preserve">Shen, H., Wu, H. and Chand, P. (2017), “The impact of corporate social responsibility assurance on investor decisions: Chinese evidence”, </w:t>
      </w:r>
      <w:r w:rsidRPr="004249DA">
        <w:rPr>
          <w:i/>
          <w:iCs/>
        </w:rPr>
        <w:t>International Journal of Auditing</w:t>
      </w:r>
      <w:r w:rsidRPr="004249DA">
        <w:t>, Vol. 21 No. 3, pp. 271–287.</w:t>
      </w:r>
    </w:p>
    <w:p w14:paraId="19B721BD" w14:textId="77777777" w:rsidR="00220EF0" w:rsidRPr="004249DA" w:rsidRDefault="00220EF0" w:rsidP="001D291B">
      <w:pPr>
        <w:spacing w:line="480" w:lineRule="auto"/>
        <w:ind w:left="567" w:hanging="567"/>
        <w:jc w:val="both"/>
      </w:pPr>
      <w:r w:rsidRPr="004249DA">
        <w:lastRenderedPageBreak/>
        <w:t xml:space="preserve">Silvola, H. and Vinnari, E. (2021), “The limits of institutional work: a field study on auditors’ efforts to promote sustainability assurance in a trust society”, </w:t>
      </w:r>
      <w:r w:rsidRPr="004249DA">
        <w:rPr>
          <w:i/>
          <w:iCs/>
        </w:rPr>
        <w:t>Accounting, Auditing &amp; Accountability Journal</w:t>
      </w:r>
      <w:r w:rsidRPr="004249DA">
        <w:t>, Vol. 34 No. 1, pp. 1–30.</w:t>
      </w:r>
    </w:p>
    <w:p w14:paraId="21961FFD" w14:textId="77777777" w:rsidR="00220EF0" w:rsidRPr="004249DA" w:rsidRDefault="00220EF0" w:rsidP="001D291B">
      <w:pPr>
        <w:spacing w:line="480" w:lineRule="auto"/>
        <w:ind w:left="567" w:hanging="567"/>
        <w:jc w:val="both"/>
      </w:pPr>
      <w:r w:rsidRPr="004249DA">
        <w:t xml:space="preserve">Simnett, R., Nugent, M. and Huggins, A.L. (2009), “Developing an international assurance standard on greenhouse gas statements”, </w:t>
      </w:r>
      <w:r w:rsidRPr="004249DA">
        <w:rPr>
          <w:i/>
          <w:iCs/>
        </w:rPr>
        <w:t>Accounting Horizons</w:t>
      </w:r>
      <w:r w:rsidRPr="004249DA">
        <w:t>, Vol. 23 No. 4, pp. 347–363.</w:t>
      </w:r>
    </w:p>
    <w:p w14:paraId="1755EC9A" w14:textId="77777777" w:rsidR="00220EF0" w:rsidRPr="004249DA" w:rsidRDefault="00220EF0" w:rsidP="001D291B">
      <w:pPr>
        <w:spacing w:line="480" w:lineRule="auto"/>
        <w:ind w:left="567" w:hanging="567"/>
        <w:jc w:val="both"/>
      </w:pPr>
      <w:r w:rsidRPr="004249DA">
        <w:t xml:space="preserve">Simnett, R., Vanstraelen, A. and Chua, W.F. (2009), “Assurance on general purpose non-financial reports: an international comparison”, </w:t>
      </w:r>
      <w:r w:rsidRPr="004249DA">
        <w:rPr>
          <w:i/>
          <w:iCs/>
        </w:rPr>
        <w:t>The Accounting Review</w:t>
      </w:r>
      <w:r w:rsidRPr="004249DA">
        <w:t>, Vol. 84 No. 3, pp. 937–967.</w:t>
      </w:r>
    </w:p>
    <w:p w14:paraId="5662928E" w14:textId="77777777" w:rsidR="00220EF0" w:rsidRPr="004249DA" w:rsidRDefault="00220EF0" w:rsidP="001D291B">
      <w:pPr>
        <w:spacing w:line="480" w:lineRule="auto"/>
        <w:ind w:left="567" w:hanging="567"/>
        <w:jc w:val="both"/>
      </w:pPr>
      <w:r w:rsidRPr="004249DA">
        <w:t xml:space="preserve">Skærbæk, P. (2009), “Public sector auditor identities in making efficiency auditable: the National Audit Office of Denmark as independent auditor and moderniser”, </w:t>
      </w:r>
      <w:r w:rsidRPr="004249DA">
        <w:rPr>
          <w:i/>
          <w:iCs/>
        </w:rPr>
        <w:t>Accounting, Organizations and Society</w:t>
      </w:r>
      <w:r w:rsidRPr="004249DA">
        <w:t>, Vol. 34 No. 8, p. 971.</w:t>
      </w:r>
    </w:p>
    <w:p w14:paraId="1E9D3DC9" w14:textId="77777777" w:rsidR="00220EF0" w:rsidRPr="004249DA" w:rsidRDefault="00220EF0" w:rsidP="001D291B">
      <w:pPr>
        <w:spacing w:line="480" w:lineRule="auto"/>
        <w:ind w:left="567" w:hanging="567"/>
        <w:jc w:val="both"/>
      </w:pPr>
      <w:r w:rsidRPr="004249DA">
        <w:t xml:space="preserve">Skærbæk, P. and Christensen, M. (2015), “Auditing and the purification of blame”, </w:t>
      </w:r>
      <w:r w:rsidRPr="004249DA">
        <w:rPr>
          <w:i/>
          <w:iCs/>
        </w:rPr>
        <w:t>Contemporary Accounting Research</w:t>
      </w:r>
      <w:r w:rsidRPr="004249DA">
        <w:t>, Vol. 32 No. 4, pp. 1263–1284.</w:t>
      </w:r>
    </w:p>
    <w:p w14:paraId="11580696" w14:textId="77777777" w:rsidR="00220EF0" w:rsidRPr="004249DA" w:rsidRDefault="00220EF0" w:rsidP="001D291B">
      <w:pPr>
        <w:spacing w:line="480" w:lineRule="auto"/>
        <w:ind w:left="567" w:hanging="567"/>
        <w:jc w:val="both"/>
      </w:pPr>
      <w:r w:rsidRPr="004249DA">
        <w:t xml:space="preserve">Snyder, H. (2019), “Literature review as a research methodology: an overview and guidelines”, </w:t>
      </w:r>
      <w:r w:rsidRPr="004249DA">
        <w:rPr>
          <w:i/>
          <w:iCs/>
        </w:rPr>
        <w:t>Journal of Business Research</w:t>
      </w:r>
      <w:r w:rsidRPr="004249DA">
        <w:t>, Vol. 104, pp. 333–339.</w:t>
      </w:r>
    </w:p>
    <w:p w14:paraId="790175AA" w14:textId="77777777" w:rsidR="00220EF0" w:rsidRPr="004249DA" w:rsidRDefault="00220EF0" w:rsidP="001D291B">
      <w:pPr>
        <w:spacing w:line="480" w:lineRule="auto"/>
        <w:ind w:left="567" w:hanging="567"/>
        <w:jc w:val="both"/>
      </w:pPr>
      <w:r w:rsidRPr="004249DA">
        <w:t xml:space="preserve">Songini, L., Pistoni, A., Comerio, N. and Tettamanzi, P. (2023), “A decade of integrated reporting studies: state of the art and future research implications”, </w:t>
      </w:r>
      <w:r w:rsidRPr="004249DA">
        <w:rPr>
          <w:i/>
          <w:iCs/>
        </w:rPr>
        <w:t>Accounting, Auditing &amp; Accountability Journal</w:t>
      </w:r>
      <w:r w:rsidRPr="004249DA">
        <w:t>, Vol. 36 No. 1, pp. 226–252.</w:t>
      </w:r>
    </w:p>
    <w:p w14:paraId="480BFE68" w14:textId="77777777" w:rsidR="00220EF0" w:rsidRPr="004249DA" w:rsidRDefault="00220EF0" w:rsidP="001D291B">
      <w:pPr>
        <w:spacing w:line="480" w:lineRule="auto"/>
        <w:ind w:left="567" w:hanging="567"/>
        <w:jc w:val="both"/>
      </w:pPr>
      <w:r w:rsidRPr="004249DA">
        <w:t xml:space="preserve">Sonnerfeldt, A.L.L. and Pontoppidan, C.A. (2020), “The challenges of assurance on non-financial reporting”, </w:t>
      </w:r>
      <w:r w:rsidRPr="004249DA">
        <w:rPr>
          <w:i/>
          <w:iCs/>
        </w:rPr>
        <w:t>Accounting, Economics and Law: A Convivium</w:t>
      </w:r>
      <w:r w:rsidRPr="004249DA">
        <w:t>, Vol. 10 No. 2.</w:t>
      </w:r>
      <w:r>
        <w:t xml:space="preserve"> </w:t>
      </w:r>
      <w:r w:rsidRPr="008555A6">
        <w:t>20180050.</w:t>
      </w:r>
    </w:p>
    <w:p w14:paraId="0F2BBB2B" w14:textId="77777777" w:rsidR="00220EF0" w:rsidRDefault="00220EF0" w:rsidP="001D291B">
      <w:pPr>
        <w:spacing w:line="480" w:lineRule="auto"/>
        <w:ind w:left="567" w:hanging="567"/>
        <w:jc w:val="both"/>
      </w:pPr>
      <w:r w:rsidRPr="004249DA">
        <w:lastRenderedPageBreak/>
        <w:t xml:space="preserve">Steinmeier, M. and Stich, M. (2019), “Does sustainability assurance improve managerial investment decisions?”, </w:t>
      </w:r>
      <w:r w:rsidRPr="004249DA">
        <w:rPr>
          <w:i/>
          <w:iCs/>
        </w:rPr>
        <w:t>European Accounting Review</w:t>
      </w:r>
      <w:r w:rsidRPr="004249DA">
        <w:t>, Vol. 28 No. 1, pp. 177–209.</w:t>
      </w:r>
    </w:p>
    <w:p w14:paraId="1BB81CDE" w14:textId="77777777" w:rsidR="00220EF0" w:rsidRPr="004249DA" w:rsidRDefault="00220EF0" w:rsidP="001D291B">
      <w:pPr>
        <w:spacing w:line="480" w:lineRule="auto"/>
        <w:ind w:left="567" w:hanging="567"/>
        <w:jc w:val="both"/>
      </w:pPr>
      <w:r w:rsidRPr="00F82D5D">
        <w:t xml:space="preserve">Tetteh, L. A., Agyenim-Boateng, C. and Simpson, S. N. Y. (2023), "Institutional pressures and strategic response to auditing implementation of sustainable development goals: the role of public sector auditors", </w:t>
      </w:r>
      <w:r w:rsidRPr="00F82D5D">
        <w:rPr>
          <w:i/>
          <w:iCs/>
        </w:rPr>
        <w:t>Journal of Applied Accounting Research</w:t>
      </w:r>
      <w:r w:rsidRPr="00F82D5D">
        <w:t>, Vol. 24 No. 2, pp. 403-423.</w:t>
      </w:r>
    </w:p>
    <w:p w14:paraId="013825A0" w14:textId="77777777" w:rsidR="00220EF0" w:rsidRPr="004249DA" w:rsidRDefault="00220EF0" w:rsidP="001D291B">
      <w:pPr>
        <w:spacing w:line="480" w:lineRule="auto"/>
        <w:ind w:left="567" w:hanging="567"/>
        <w:jc w:val="both"/>
      </w:pPr>
      <w:r w:rsidRPr="004249DA">
        <w:t xml:space="preserve">Taylor, D.W., Sulaiman, M. and Sheahan, M. (2001), “Auditing of environmental management systems: a legitimacy theory perspective”, </w:t>
      </w:r>
      <w:r w:rsidRPr="004249DA">
        <w:rPr>
          <w:i/>
          <w:iCs/>
        </w:rPr>
        <w:t>Managerial Auditing Journal</w:t>
      </w:r>
      <w:r w:rsidRPr="004249DA">
        <w:t>, Vol. 16 No. 7, pp. 411–422.</w:t>
      </w:r>
    </w:p>
    <w:p w14:paraId="62082EB5" w14:textId="77777777" w:rsidR="00220EF0" w:rsidRPr="004249DA" w:rsidRDefault="00220EF0" w:rsidP="001D291B">
      <w:pPr>
        <w:spacing w:line="480" w:lineRule="auto"/>
        <w:ind w:left="567" w:hanging="567"/>
        <w:jc w:val="both"/>
      </w:pPr>
      <w:r w:rsidRPr="004249DA">
        <w:t xml:space="preserve">Tillema, S. and Ter Bogt, H.J. (2010), “Performance auditing: improving the quality of political and democratic processes?”, </w:t>
      </w:r>
      <w:r w:rsidRPr="004249DA">
        <w:rPr>
          <w:i/>
          <w:iCs/>
        </w:rPr>
        <w:t>Critical Perspectives on Accounting</w:t>
      </w:r>
      <w:r w:rsidRPr="004249DA">
        <w:t>, Vol. 21 No. 8, pp. 754–769.</w:t>
      </w:r>
    </w:p>
    <w:p w14:paraId="6EF4CFD0" w14:textId="77777777" w:rsidR="00220EF0" w:rsidRPr="004249DA" w:rsidRDefault="00220EF0" w:rsidP="001D291B">
      <w:pPr>
        <w:spacing w:line="480" w:lineRule="auto"/>
        <w:ind w:left="567" w:hanging="567"/>
        <w:jc w:val="both"/>
      </w:pPr>
      <w:r w:rsidRPr="004249DA">
        <w:t xml:space="preserve">Tranfield, D., Denyer, D. and Smart, P. (2003), “Towards a methodology for developing evidence-informed management knowledge by means of systematic review”, </w:t>
      </w:r>
      <w:r w:rsidRPr="004249DA">
        <w:rPr>
          <w:i/>
          <w:iCs/>
        </w:rPr>
        <w:t>British Journal of Management</w:t>
      </w:r>
      <w:r w:rsidRPr="004249DA">
        <w:t>, Vol. 14 No. 3, pp. 207–222.</w:t>
      </w:r>
    </w:p>
    <w:p w14:paraId="40D53FBF" w14:textId="77777777" w:rsidR="00220EF0" w:rsidRPr="004249DA" w:rsidRDefault="00220EF0" w:rsidP="001D291B">
      <w:pPr>
        <w:spacing w:line="480" w:lineRule="auto"/>
        <w:ind w:left="567" w:hanging="567"/>
        <w:jc w:val="both"/>
      </w:pPr>
      <w:r w:rsidRPr="004249DA">
        <w:t xml:space="preserve">Vasarhelyi, M.A., Alles, M.G. and Williams, K.T. (2015), “Continuous assurance for the now economy”, </w:t>
      </w:r>
      <w:r w:rsidRPr="004249DA">
        <w:rPr>
          <w:i/>
          <w:iCs/>
        </w:rPr>
        <w:t>Journal of Information Systems</w:t>
      </w:r>
      <w:r w:rsidRPr="004249DA">
        <w:t>, Vol. 29 No. 2, pp. 1–10.</w:t>
      </w:r>
    </w:p>
    <w:p w14:paraId="4FFB4C7D" w14:textId="77777777" w:rsidR="00220EF0" w:rsidRPr="004249DA" w:rsidRDefault="00220EF0" w:rsidP="001D291B">
      <w:pPr>
        <w:spacing w:line="480" w:lineRule="auto"/>
        <w:ind w:left="567" w:hanging="567"/>
        <w:jc w:val="both"/>
      </w:pPr>
      <w:r w:rsidRPr="004249DA">
        <w:t xml:space="preserve">Vera-Muñoz, S.C., Gaynor, L.M. and Kinney, W.R. (2020), “Communicating assurance using practitioner-customised procedures: an experiment and emerging research opportunities”, </w:t>
      </w:r>
      <w:r w:rsidRPr="004249DA">
        <w:rPr>
          <w:i/>
          <w:iCs/>
        </w:rPr>
        <w:t>Auditing: A Journal of Practice &amp; Theory</w:t>
      </w:r>
      <w:r w:rsidRPr="004249DA">
        <w:t>, Vol. 39 No. 3, pp. 201–222.</w:t>
      </w:r>
    </w:p>
    <w:p w14:paraId="76B249E6" w14:textId="77777777" w:rsidR="00220EF0" w:rsidRDefault="00220EF0" w:rsidP="001D291B">
      <w:pPr>
        <w:spacing w:line="480" w:lineRule="auto"/>
        <w:ind w:left="567" w:hanging="567"/>
        <w:jc w:val="both"/>
      </w:pPr>
      <w:r w:rsidRPr="004249DA">
        <w:t xml:space="preserve">Wang, S., Scells, H., Koopman, B. and Zuccon, G. (2023), “Can ChatGPT write a good boolean query for systematic review literature search?”, in </w:t>
      </w:r>
      <w:r w:rsidRPr="004249DA">
        <w:rPr>
          <w:i/>
          <w:iCs/>
        </w:rPr>
        <w:t xml:space="preserve">Proceedings of the 46th </w:t>
      </w:r>
      <w:r w:rsidRPr="004249DA">
        <w:rPr>
          <w:i/>
          <w:iCs/>
        </w:rPr>
        <w:lastRenderedPageBreak/>
        <w:t>International ACM SIGIR Conference on Research and Development in Information Retrieval</w:t>
      </w:r>
      <w:r w:rsidRPr="004249DA">
        <w:t>, ACM, New York, NY, pp. 1426–1436.</w:t>
      </w:r>
    </w:p>
    <w:p w14:paraId="30C9EB60" w14:textId="77777777" w:rsidR="00220EF0" w:rsidRPr="004249DA" w:rsidRDefault="00220EF0" w:rsidP="001D291B">
      <w:pPr>
        <w:spacing w:line="480" w:lineRule="auto"/>
        <w:ind w:left="567" w:hanging="567"/>
        <w:jc w:val="both"/>
      </w:pPr>
      <w:r w:rsidRPr="00EC4BBA">
        <w:t xml:space="preserve">Xing, C., Shan, Y. G., Yang, F. and Zhang, Y. (2025), "The effect of csr assurance on subsequent corporate greenwashing: suggestion acquisition or opinion shopping?", </w:t>
      </w:r>
      <w:r w:rsidRPr="00EC4BBA">
        <w:rPr>
          <w:i/>
          <w:iCs/>
        </w:rPr>
        <w:t>The British Accounting Review</w:t>
      </w:r>
      <w:r w:rsidRPr="00EC4BBA">
        <w:t>, Vol. 57 No. 1, 101744.</w:t>
      </w:r>
    </w:p>
    <w:p w14:paraId="4D578E3A" w14:textId="77777777" w:rsidR="00220EF0" w:rsidRPr="004249DA" w:rsidRDefault="00220EF0" w:rsidP="001D291B">
      <w:pPr>
        <w:spacing w:line="480" w:lineRule="auto"/>
        <w:ind w:left="567" w:hanging="567"/>
        <w:jc w:val="both"/>
      </w:pPr>
      <w:r w:rsidRPr="004249DA">
        <w:t xml:space="preserve">Xu, S.G. and Andrew, B. (2021), “Competing for the leading role: trials in categorising greenhouse and energy auditors”, </w:t>
      </w:r>
      <w:r w:rsidRPr="004249DA">
        <w:rPr>
          <w:i/>
          <w:iCs/>
        </w:rPr>
        <w:t>Critical Perspectives on Accounting</w:t>
      </w:r>
      <w:r w:rsidRPr="004249DA">
        <w:t>, Vol. 77, 102236.</w:t>
      </w:r>
    </w:p>
    <w:p w14:paraId="32F8246F" w14:textId="77777777" w:rsidR="00220EF0" w:rsidRPr="002421FF" w:rsidRDefault="00220EF0" w:rsidP="001D291B">
      <w:pPr>
        <w:spacing w:line="480" w:lineRule="auto"/>
        <w:ind w:left="567" w:hanging="567"/>
        <w:jc w:val="both"/>
      </w:pPr>
      <w:r w:rsidRPr="00BE1447">
        <w:t xml:space="preserve">Yang, M. and Maresova, P. (2025), "The effects of corporate social responsibility assurance and the choice of assurer on stock price crash risk: evidence from china", </w:t>
      </w:r>
      <w:r w:rsidRPr="00BE1447">
        <w:rPr>
          <w:i/>
          <w:iCs/>
        </w:rPr>
        <w:t xml:space="preserve">International </w:t>
      </w:r>
      <w:r w:rsidRPr="002421FF">
        <w:rPr>
          <w:i/>
          <w:iCs/>
        </w:rPr>
        <w:t>Journal of Auditing</w:t>
      </w:r>
      <w:r w:rsidRPr="002421FF">
        <w:t>, Vol. 29 No. 3, pp. 376-399.</w:t>
      </w:r>
    </w:p>
    <w:p w14:paraId="749A763C" w14:textId="77777777" w:rsidR="00220EF0" w:rsidRPr="002421FF" w:rsidRDefault="00220EF0" w:rsidP="001D291B">
      <w:pPr>
        <w:spacing w:line="480" w:lineRule="auto"/>
        <w:ind w:left="567" w:hanging="567"/>
        <w:jc w:val="both"/>
      </w:pPr>
      <w:r w:rsidRPr="002421FF">
        <w:t xml:space="preserve">Zhou, S., Simnett, R. and Green, W. J. (2016), "Assuring a new market: the interplay between country-level and company-level factors on the demand for greenhouse gas (ghg) information assurance and the choice of assurance provider", </w:t>
      </w:r>
      <w:r w:rsidRPr="002421FF">
        <w:rPr>
          <w:i/>
          <w:iCs/>
        </w:rPr>
        <w:t>Auditing: A Journal of Practice &amp; Theory</w:t>
      </w:r>
      <w:r w:rsidRPr="002421FF">
        <w:t>, Vol. 35 No. 3, pp. 141-168.</w:t>
      </w:r>
    </w:p>
    <w:p w14:paraId="6FC04D4A" w14:textId="77777777" w:rsidR="00220EF0" w:rsidRPr="00220EF0" w:rsidRDefault="00220EF0" w:rsidP="00220EF0"/>
    <w:sectPr w:rsidR="00220EF0" w:rsidRPr="00220EF0" w:rsidSect="00220EF0">
      <w:pgSz w:w="11906" w:h="16838"/>
      <w:pgMar w:top="1440" w:right="1440" w:bottom="1440" w:left="1440" w:header="851" w:footer="992"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E7"/>
    <w:multiLevelType w:val="hybridMultilevel"/>
    <w:tmpl w:val="CA525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3"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 w15:restartNumberingAfterBreak="0">
    <w:nsid w:val="2C8061C2"/>
    <w:multiLevelType w:val="multilevel"/>
    <w:tmpl w:val="34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D4F8F"/>
    <w:multiLevelType w:val="hybridMultilevel"/>
    <w:tmpl w:val="E3FC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870375">
    <w:abstractNumId w:val="5"/>
  </w:num>
  <w:num w:numId="2" w16cid:durableId="289359669">
    <w:abstractNumId w:val="2"/>
  </w:num>
  <w:num w:numId="3" w16cid:durableId="1687559043">
    <w:abstractNumId w:val="3"/>
  </w:num>
  <w:num w:numId="4" w16cid:durableId="2055693667">
    <w:abstractNumId w:val="1"/>
  </w:num>
  <w:num w:numId="5" w16cid:durableId="2058360771">
    <w:abstractNumId w:val="6"/>
  </w:num>
  <w:num w:numId="6" w16cid:durableId="1399355699">
    <w:abstractNumId w:val="7"/>
  </w:num>
  <w:num w:numId="7" w16cid:durableId="168717285">
    <w:abstractNumId w:val="0"/>
  </w:num>
  <w:num w:numId="8" w16cid:durableId="132405146">
    <w:abstractNumId w:val="8"/>
  </w:num>
  <w:num w:numId="9" w16cid:durableId="138309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F0"/>
    <w:rsid w:val="001838A8"/>
    <w:rsid w:val="00220EF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09444"/>
  <w15:chartTrackingRefBased/>
  <w15:docId w15:val="{3098E16B-88B5-4C83-9E61-CA31F706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F0"/>
    <w:rPr>
      <w:rFonts w:eastAsiaTheme="majorEastAsia" w:cstheme="majorBidi"/>
      <w:color w:val="272727" w:themeColor="text1" w:themeTint="D8"/>
    </w:rPr>
  </w:style>
  <w:style w:type="paragraph" w:styleId="Title">
    <w:name w:val="Title"/>
    <w:basedOn w:val="Normal"/>
    <w:next w:val="Normal"/>
    <w:link w:val="TitleChar"/>
    <w:uiPriority w:val="10"/>
    <w:qFormat/>
    <w:rsid w:val="00220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F0"/>
    <w:pPr>
      <w:spacing w:before="160"/>
      <w:jc w:val="center"/>
    </w:pPr>
    <w:rPr>
      <w:i/>
      <w:iCs/>
      <w:color w:val="404040" w:themeColor="text1" w:themeTint="BF"/>
    </w:rPr>
  </w:style>
  <w:style w:type="character" w:customStyle="1" w:styleId="QuoteChar">
    <w:name w:val="Quote Char"/>
    <w:basedOn w:val="DefaultParagraphFont"/>
    <w:link w:val="Quote"/>
    <w:uiPriority w:val="29"/>
    <w:rsid w:val="00220EF0"/>
    <w:rPr>
      <w:i/>
      <w:iCs/>
      <w:color w:val="404040" w:themeColor="text1" w:themeTint="BF"/>
    </w:rPr>
  </w:style>
  <w:style w:type="paragraph" w:styleId="ListParagraph">
    <w:name w:val="List Paragraph"/>
    <w:basedOn w:val="Normal"/>
    <w:link w:val="ListParagraphChar"/>
    <w:uiPriority w:val="34"/>
    <w:qFormat/>
    <w:rsid w:val="00220EF0"/>
    <w:pPr>
      <w:ind w:left="720"/>
      <w:contextualSpacing/>
    </w:pPr>
  </w:style>
  <w:style w:type="character" w:styleId="IntenseEmphasis">
    <w:name w:val="Intense Emphasis"/>
    <w:basedOn w:val="DefaultParagraphFont"/>
    <w:uiPriority w:val="21"/>
    <w:qFormat/>
    <w:rsid w:val="00220EF0"/>
    <w:rPr>
      <w:i/>
      <w:iCs/>
      <w:color w:val="0F4761" w:themeColor="accent1" w:themeShade="BF"/>
    </w:rPr>
  </w:style>
  <w:style w:type="paragraph" w:styleId="IntenseQuote">
    <w:name w:val="Intense Quote"/>
    <w:basedOn w:val="Normal"/>
    <w:next w:val="Normal"/>
    <w:link w:val="IntenseQuoteChar"/>
    <w:uiPriority w:val="30"/>
    <w:qFormat/>
    <w:rsid w:val="00220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EF0"/>
    <w:rPr>
      <w:i/>
      <w:iCs/>
      <w:color w:val="0F4761" w:themeColor="accent1" w:themeShade="BF"/>
    </w:rPr>
  </w:style>
  <w:style w:type="character" w:styleId="IntenseReference">
    <w:name w:val="Intense Reference"/>
    <w:basedOn w:val="DefaultParagraphFont"/>
    <w:uiPriority w:val="32"/>
    <w:qFormat/>
    <w:rsid w:val="00220EF0"/>
    <w:rPr>
      <w:b/>
      <w:bCs/>
      <w:smallCaps/>
      <w:color w:val="0F4761" w:themeColor="accent1" w:themeShade="BF"/>
      <w:spacing w:val="5"/>
    </w:rPr>
  </w:style>
  <w:style w:type="paragraph" w:styleId="Header">
    <w:name w:val="header"/>
    <w:basedOn w:val="Normal"/>
    <w:link w:val="HeaderChar"/>
    <w:uiPriority w:val="99"/>
    <w:unhideWhenUsed/>
    <w:rsid w:val="00220EF0"/>
    <w:pPr>
      <w:tabs>
        <w:tab w:val="center" w:pos="4153"/>
        <w:tab w:val="right" w:pos="8306"/>
      </w:tabs>
      <w:snapToGrid w:val="0"/>
      <w:spacing w:after="0" w:line="240" w:lineRule="auto"/>
      <w:jc w:val="center"/>
    </w:pPr>
    <w:rPr>
      <w:rFonts w:ascii="Times New Roman" w:eastAsia="Times New Roman" w:hAnsi="Times New Roman" w:cs="Times New Roman"/>
      <w:kern w:val="0"/>
      <w:sz w:val="18"/>
      <w:szCs w:val="18"/>
      <w14:ligatures w14:val="none"/>
    </w:rPr>
  </w:style>
  <w:style w:type="character" w:customStyle="1" w:styleId="HeaderChar">
    <w:name w:val="Header Char"/>
    <w:basedOn w:val="DefaultParagraphFont"/>
    <w:link w:val="Header"/>
    <w:uiPriority w:val="99"/>
    <w:rsid w:val="00220EF0"/>
    <w:rPr>
      <w:rFonts w:ascii="Times New Roman" w:eastAsia="Times New Roman" w:hAnsi="Times New Roman" w:cs="Times New Roman"/>
      <w:kern w:val="0"/>
      <w:sz w:val="18"/>
      <w:szCs w:val="18"/>
      <w14:ligatures w14:val="none"/>
    </w:rPr>
  </w:style>
  <w:style w:type="paragraph" w:styleId="Footer">
    <w:name w:val="footer"/>
    <w:basedOn w:val="Normal"/>
    <w:link w:val="FooterChar"/>
    <w:uiPriority w:val="99"/>
    <w:unhideWhenUsed/>
    <w:rsid w:val="00220EF0"/>
    <w:pPr>
      <w:tabs>
        <w:tab w:val="center" w:pos="4153"/>
        <w:tab w:val="right" w:pos="8306"/>
      </w:tabs>
      <w:snapToGrid w:val="0"/>
      <w:spacing w:after="0" w:line="240" w:lineRule="auto"/>
    </w:pPr>
    <w:rPr>
      <w:rFonts w:ascii="Times New Roman" w:eastAsia="Times New Roman" w:hAnsi="Times New Roman" w:cs="Times New Roman"/>
      <w:kern w:val="0"/>
      <w:sz w:val="18"/>
      <w:szCs w:val="18"/>
      <w14:ligatures w14:val="none"/>
    </w:rPr>
  </w:style>
  <w:style w:type="character" w:customStyle="1" w:styleId="FooterChar">
    <w:name w:val="Footer Char"/>
    <w:basedOn w:val="DefaultParagraphFont"/>
    <w:link w:val="Footer"/>
    <w:uiPriority w:val="99"/>
    <w:rsid w:val="00220EF0"/>
    <w:rPr>
      <w:rFonts w:ascii="Times New Roman" w:eastAsia="Times New Roman" w:hAnsi="Times New Roman" w:cs="Times New Roman"/>
      <w:kern w:val="0"/>
      <w:sz w:val="18"/>
      <w:szCs w:val="18"/>
      <w14:ligatures w14:val="none"/>
    </w:rPr>
  </w:style>
  <w:style w:type="character" w:styleId="CommentReference">
    <w:name w:val="annotation reference"/>
    <w:basedOn w:val="DefaultParagraphFont"/>
    <w:uiPriority w:val="99"/>
    <w:semiHidden/>
    <w:unhideWhenUsed/>
    <w:rsid w:val="00220EF0"/>
    <w:rPr>
      <w:sz w:val="21"/>
      <w:szCs w:val="21"/>
    </w:rPr>
  </w:style>
  <w:style w:type="paragraph" w:styleId="CommentText">
    <w:name w:val="annotation text"/>
    <w:basedOn w:val="Normal"/>
    <w:link w:val="CommentTextChar"/>
    <w:uiPriority w:val="99"/>
    <w:unhideWhenUsed/>
    <w:rsid w:val="00220EF0"/>
    <w:pPr>
      <w:spacing w:after="0" w:line="240" w:lineRule="auto"/>
    </w:pPr>
    <w:rPr>
      <w:rFonts w:ascii="Times New Roman" w:eastAsia="Times New Roman" w:hAnsi="Times New Roman" w:cs="Times New Roman"/>
      <w:kern w:val="0"/>
      <w14:ligatures w14:val="none"/>
    </w:rPr>
  </w:style>
  <w:style w:type="character" w:customStyle="1" w:styleId="CommentTextChar">
    <w:name w:val="Comment Text Char"/>
    <w:basedOn w:val="DefaultParagraphFont"/>
    <w:link w:val="CommentText"/>
    <w:uiPriority w:val="99"/>
    <w:rsid w:val="00220EF0"/>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220EF0"/>
    <w:rPr>
      <w:b/>
      <w:bCs/>
    </w:rPr>
  </w:style>
  <w:style w:type="character" w:customStyle="1" w:styleId="CommentSubjectChar">
    <w:name w:val="Comment Subject Char"/>
    <w:basedOn w:val="CommentTextChar"/>
    <w:link w:val="CommentSubject"/>
    <w:uiPriority w:val="99"/>
    <w:semiHidden/>
    <w:rsid w:val="00220EF0"/>
    <w:rPr>
      <w:rFonts w:ascii="Times New Roman" w:eastAsia="Times New Roman" w:hAnsi="Times New Roman" w:cs="Times New Roman"/>
      <w:b/>
      <w:bCs/>
      <w:kern w:val="0"/>
      <w14:ligatures w14:val="none"/>
    </w:rPr>
  </w:style>
  <w:style w:type="paragraph" w:styleId="BodyText">
    <w:name w:val="Body Text"/>
    <w:aliases w:val="Body text"/>
    <w:basedOn w:val="Normal"/>
    <w:link w:val="BodyTextChar"/>
    <w:qFormat/>
    <w:rsid w:val="00220EF0"/>
    <w:pPr>
      <w:spacing w:after="120" w:line="240" w:lineRule="auto"/>
    </w:pPr>
    <w:rPr>
      <w:rFonts w:ascii="Times New Roman" w:eastAsia="Times New Roman" w:hAnsi="Times New Roman" w:cs="Times New Roman"/>
      <w:kern w:val="0"/>
      <w:lang w:eastAsia="en-AU"/>
      <w14:ligatures w14:val="none"/>
    </w:rPr>
  </w:style>
  <w:style w:type="character" w:customStyle="1" w:styleId="BodyTextChar">
    <w:name w:val="Body Text Char"/>
    <w:aliases w:val="Body text Char"/>
    <w:basedOn w:val="DefaultParagraphFont"/>
    <w:link w:val="BodyText"/>
    <w:rsid w:val="00220EF0"/>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220EF0"/>
    <w:rPr>
      <w:color w:val="467886"/>
      <w:u w:val="single"/>
    </w:rPr>
  </w:style>
  <w:style w:type="paragraph" w:customStyle="1" w:styleId="Bullet1stlevel">
    <w:name w:val="Bullet 1st level"/>
    <w:basedOn w:val="BodyText"/>
    <w:link w:val="Bullet1stlevelChar"/>
    <w:qFormat/>
    <w:rsid w:val="00220EF0"/>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220EF0"/>
    <w:rPr>
      <w:rFonts w:ascii="Arial" w:eastAsia="Calibri" w:hAnsi="Arial" w:cs="Times New Roman"/>
      <w:kern w:val="0"/>
      <w:sz w:val="20"/>
      <w:szCs w:val="22"/>
      <w:lang w:eastAsia="en-US"/>
      <w14:ligatures w14:val="none"/>
    </w:rPr>
  </w:style>
  <w:style w:type="paragraph" w:styleId="NormalWeb">
    <w:name w:val="Normal (Web)"/>
    <w:basedOn w:val="Normal"/>
    <w:uiPriority w:val="99"/>
    <w:semiHidden/>
    <w:unhideWhenUsed/>
    <w:rsid w:val="00220EF0"/>
    <w:pPr>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220EF0"/>
    <w:pPr>
      <w:spacing w:after="0" w:line="240" w:lineRule="auto"/>
    </w:pPr>
    <w:rPr>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20EF0"/>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paragraph" w:customStyle="1" w:styleId="EndNoteBibliographyTitle">
    <w:name w:val="EndNote Bibliography Title"/>
    <w:basedOn w:val="Normal"/>
    <w:link w:val="EndNoteBibliographyTitle0"/>
    <w:rsid w:val="00220EF0"/>
    <w:pPr>
      <w:spacing w:after="0" w:line="240" w:lineRule="auto"/>
      <w:jc w:val="center"/>
    </w:pPr>
    <w:rPr>
      <w:rFonts w:ascii="DengXian" w:eastAsia="DengXian" w:hAnsi="DengXian" w:cs="Times New Roman"/>
      <w:noProof/>
      <w:kern w:val="0"/>
      <w14:ligatures w14:val="none"/>
    </w:rPr>
  </w:style>
  <w:style w:type="character" w:customStyle="1" w:styleId="ListParagraphChar">
    <w:name w:val="List Paragraph Char"/>
    <w:basedOn w:val="DefaultParagraphFont"/>
    <w:link w:val="ListParagraph"/>
    <w:uiPriority w:val="34"/>
    <w:rsid w:val="00220EF0"/>
  </w:style>
  <w:style w:type="character" w:customStyle="1" w:styleId="EndNoteBibliographyTitle0">
    <w:name w:val="EndNote Bibliography Title 字符"/>
    <w:basedOn w:val="ListParagraphChar"/>
    <w:link w:val="EndNoteBibliographyTitle"/>
    <w:rsid w:val="00220EF0"/>
    <w:rPr>
      <w:rFonts w:ascii="DengXian" w:eastAsia="DengXian" w:hAnsi="DengXian" w:cs="Times New Roman"/>
      <w:noProof/>
      <w:kern w:val="0"/>
      <w14:ligatures w14:val="none"/>
    </w:rPr>
  </w:style>
  <w:style w:type="paragraph" w:customStyle="1" w:styleId="EndNoteBibliography">
    <w:name w:val="EndNote Bibliography"/>
    <w:basedOn w:val="Normal"/>
    <w:link w:val="EndNoteBibliography0"/>
    <w:rsid w:val="00220EF0"/>
    <w:pPr>
      <w:spacing w:after="0" w:line="240" w:lineRule="auto"/>
    </w:pPr>
    <w:rPr>
      <w:rFonts w:ascii="DengXian" w:eastAsia="DengXian" w:hAnsi="DengXian" w:cs="Times New Roman"/>
      <w:noProof/>
      <w:kern w:val="0"/>
      <w14:ligatures w14:val="none"/>
    </w:rPr>
  </w:style>
  <w:style w:type="character" w:customStyle="1" w:styleId="EndNoteBibliography0">
    <w:name w:val="EndNote Bibliography 字符"/>
    <w:basedOn w:val="ListParagraphChar"/>
    <w:link w:val="EndNoteBibliography"/>
    <w:rsid w:val="00220EF0"/>
    <w:rPr>
      <w:rFonts w:ascii="DengXian" w:eastAsia="DengXian" w:hAnsi="DengXian" w:cs="Times New Roman"/>
      <w:noProof/>
      <w:kern w:val="0"/>
      <w14:ligatures w14:val="none"/>
    </w:rPr>
  </w:style>
  <w:style w:type="table" w:styleId="GridTable1Light">
    <w:name w:val="Grid Table 1 Light"/>
    <w:basedOn w:val="TableNormal"/>
    <w:uiPriority w:val="46"/>
    <w:rsid w:val="00220EF0"/>
    <w:pPr>
      <w:spacing w:after="0" w:line="240" w:lineRule="auto"/>
    </w:pPr>
    <w:rPr>
      <w:sz w:val="22"/>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220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hart" Target="charts/chart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9DB2-424C-89A6-E89BDA0797EB}"/>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9DB2-424C-89A6-E89BDA0797EB}"/>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9DB2-424C-89A6-E89BDA0797EB}"/>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9DB2-424C-89A6-E89BDA0797EB}"/>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77</Pages>
  <Words>15857</Words>
  <Characters>90386</Characters>
  <Application>Microsoft Office Word</Application>
  <DocSecurity>0</DocSecurity>
  <Lines>753</Lines>
  <Paragraphs>212</Paragraphs>
  <ScaleCrop>false</ScaleCrop>
  <Company/>
  <LinksUpToDate>false</LinksUpToDate>
  <CharactersWithSpaces>106031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1</cp:revision>
  <dcterms:created xsi:type="dcterms:W3CDTF">2026-04-30T10:54:00Z</dcterms:created>
  <dcterms:modified xsi:type="dcterms:W3CDTF">2026-04-30T10:54:00Z</dcterms:modified>
</cp:coreProperties>
</file>