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CE05" w14:textId="77777777" w:rsidR="004E4F5C" w:rsidRPr="004E4F5C" w:rsidRDefault="004E4F5C" w:rsidP="004E4F5C">
      <w:pPr>
        <w:spacing w:after="0" w:line="240" w:lineRule="auto"/>
        <w:jc w:val="center"/>
        <w:rPr>
          <w:rFonts w:ascii="Times New Roman" w:eastAsia="Times New Roman" w:hAnsi="Times New Roman" w:cs="Times New Roman"/>
          <w:b/>
          <w:bCs/>
          <w:kern w:val="0"/>
          <w:sz w:val="36"/>
          <w:szCs w:val="36"/>
          <w14:ligatures w14:val="none"/>
        </w:rPr>
      </w:pPr>
      <w:r w:rsidRPr="004E4F5C">
        <w:rPr>
          <w:rFonts w:ascii="Times New Roman" w:eastAsia="Times New Roman" w:hAnsi="Times New Roman" w:cs="Times New Roman"/>
          <w:b/>
          <w:bCs/>
          <w:kern w:val="0"/>
          <w:sz w:val="36"/>
          <w:szCs w:val="36"/>
          <w14:ligatures w14:val="none"/>
        </w:rPr>
        <w:t>From ‘audit society’ to ‘audit planet’</w:t>
      </w:r>
    </w:p>
    <w:p w14:paraId="67155C3F" w14:textId="77777777" w:rsidR="004E4F5C" w:rsidRPr="004E4F5C" w:rsidRDefault="004E4F5C" w:rsidP="004E4F5C">
      <w:pPr>
        <w:spacing w:after="0" w:line="240" w:lineRule="auto"/>
        <w:jc w:val="center"/>
        <w:rPr>
          <w:rFonts w:ascii="Times New Roman" w:eastAsia="Times New Roman" w:hAnsi="Times New Roman" w:cs="Times New Roman"/>
          <w:kern w:val="0"/>
          <w:sz w:val="36"/>
          <w:szCs w:val="36"/>
          <w14:ligatures w14:val="none"/>
        </w:rPr>
      </w:pPr>
      <w:r w:rsidRPr="004E4F5C">
        <w:rPr>
          <w:rFonts w:ascii="Times New Roman" w:eastAsia="Times New Roman" w:hAnsi="Times New Roman" w:cs="Times New Roman"/>
          <w:kern w:val="0"/>
          <w:sz w:val="36"/>
          <w:szCs w:val="36"/>
          <w14:ligatures w14:val="none"/>
        </w:rPr>
        <w:t>A systematic review of the non-financial information assurance literature (1990 – 2025)</w:t>
      </w:r>
    </w:p>
    <w:p w14:paraId="3980D333" w14:textId="77777777" w:rsidR="004E4F5C" w:rsidRPr="004E4F5C" w:rsidRDefault="004E4F5C" w:rsidP="004E4F5C">
      <w:pPr>
        <w:spacing w:after="0" w:line="240" w:lineRule="auto"/>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Abstract</w:t>
      </w:r>
    </w:p>
    <w:p w14:paraId="1E331E1A" w14:textId="77777777" w:rsidR="004E4F5C" w:rsidRPr="004E4F5C" w:rsidRDefault="004E4F5C" w:rsidP="004E4F5C">
      <w:pPr>
        <w:spacing w:after="0" w:line="240" w:lineRule="auto"/>
        <w:rPr>
          <w:rFonts w:ascii="Times New Roman" w:eastAsia="Times New Roman" w:hAnsi="Times New Roman" w:cs="Times New Roman"/>
          <w:b/>
          <w:bCs/>
          <w:kern w:val="0"/>
          <w:sz w:val="20"/>
          <w:szCs w:val="20"/>
          <w14:ligatures w14:val="none"/>
        </w:rPr>
      </w:pPr>
    </w:p>
    <w:p w14:paraId="2A16855E"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Purpose</w:t>
      </w:r>
    </w:p>
    <w:p w14:paraId="3D072A49"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56EE02C4"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Design/methodology/approach</w:t>
      </w:r>
    </w:p>
    <w:p w14:paraId="03ED07A7"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374B3B1B"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Findings</w:t>
      </w:r>
    </w:p>
    <w:p w14:paraId="5C273F71"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68B9BA93"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Research limitations/implications</w:t>
      </w:r>
    </w:p>
    <w:p w14:paraId="38378227"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By integrating previously siloed assurance domains, the review identifies persistent blind spots, particularly in early-stage auditability construction, political and managerial mediation, and carbon and climate assurance</w:t>
      </w:r>
    </w:p>
    <w:p w14:paraId="4488E976"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Originality/value </w:t>
      </w:r>
    </w:p>
    <w:p w14:paraId="53711ECB"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5B7442A"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p>
    <w:p w14:paraId="52BEC0BF"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Keywords </w:t>
      </w:r>
    </w:p>
    <w:p w14:paraId="7AF52FC8"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Non-financial information assurance; systematic literature review; audit society; sustainability assurance; performance audit; carbon assurance</w:t>
      </w:r>
    </w:p>
    <w:p w14:paraId="2B37080A" w14:textId="77777777" w:rsidR="004E4F5C" w:rsidRPr="004E4F5C" w:rsidRDefault="004E4F5C" w:rsidP="004E4F5C">
      <w:pPr>
        <w:spacing w:after="0" w:line="240" w:lineRule="auto"/>
        <w:jc w:val="both"/>
        <w:rPr>
          <w:rFonts w:ascii="Times New Roman" w:eastAsia="Times New Roman" w:hAnsi="Times New Roman" w:cs="Times New Roman"/>
          <w:b/>
          <w:bCs/>
          <w:kern w:val="0"/>
          <w:sz w:val="20"/>
          <w:szCs w:val="20"/>
          <w14:ligatures w14:val="none"/>
        </w:rPr>
      </w:pPr>
      <w:r w:rsidRPr="004E4F5C">
        <w:rPr>
          <w:rFonts w:ascii="Times New Roman" w:eastAsia="Times New Roman" w:hAnsi="Times New Roman" w:cs="Times New Roman"/>
          <w:b/>
          <w:bCs/>
          <w:kern w:val="0"/>
          <w:sz w:val="20"/>
          <w:szCs w:val="20"/>
          <w14:ligatures w14:val="none"/>
        </w:rPr>
        <w:t xml:space="preserve">Paper type </w:t>
      </w:r>
    </w:p>
    <w:p w14:paraId="793C2F30" w14:textId="77777777" w:rsidR="004E4F5C" w:rsidRPr="004E4F5C" w:rsidRDefault="004E4F5C" w:rsidP="004E4F5C">
      <w:pPr>
        <w:spacing w:after="0" w:line="240" w:lineRule="auto"/>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Literature Review</w:t>
      </w:r>
    </w:p>
    <w:p w14:paraId="14EB3030" w14:textId="77777777" w:rsidR="004E4F5C" w:rsidRPr="004E4F5C" w:rsidRDefault="004E4F5C" w:rsidP="004E4F5C">
      <w:pPr>
        <w:spacing w:after="0" w:line="240" w:lineRule="auto"/>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1DA45CB5"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Introduction</w:t>
      </w:r>
    </w:p>
    <w:p w14:paraId="4585593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Over the past three decades, auditing has moved well beyond financial statements and become a pervasive mode of verification shaping how organisations, markets and governments are governed (Dalla Via &amp; Perego, 2020; Power, 1996; Power, 2003a). Across public-sector performance, corporate sustainability, climate risk and ESG reporting, verification is viewed as infrastructure (Aquino, Lino, Azevedo and Silva, 2022; Power, 1996); in practice, however, its reach is uneven and constrained by mandate, scope and access to evidence (Ackers &amp; Eccles, 2015; Bouten &amp; Hoozée, 2025; English, 2007; Funnell &amp; Wade, 2012). Independent non-financial information assurance (NFIA) increasingly underpins how social, environmental and organisational processes are made visible and comparable across jurisdictions. (Perego &amp; Kolk, 2012; Simnett, Vanstraelen and Chua, 2009). Taken together, these developments point to a significant shift in the nature of audit itself: from a bounded professional practice into a globally dispersed system of verification operating across public and private domains, increasingly embedded within data architectures (Gu, Dai and Vasarhelyi, 2023; Vasarhelyi, Alles and Williams, 2015), management systems (Dogui, Boiral and Gendron, 2013; Morimoto, Ash and Hope, 2005), and regulatory routines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2022; Kastberg &amp; Ek Österberg, 2017).</w:t>
      </w:r>
    </w:p>
    <w:p w14:paraId="27BCFF3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substantial empirical literature has documented this expansion of non-financial assurance (Ackers, 2009; Ackers &amp; Eccles, 2015; Dalla Via &amp; Perego, 2020; Gipper, Ross and Shi, 2025; Simnett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2009). Prior studies consistently show that NFIA is characterised by the dominance of large accounting firms, the use of standardised assurance </w:t>
      </w:r>
      <w:r w:rsidRPr="004E4F5C">
        <w:rPr>
          <w:rFonts w:ascii="Times New Roman" w:eastAsia="Times New Roman" w:hAnsi="Times New Roman" w:cs="Times New Roman"/>
          <w:kern w:val="0"/>
          <w14:ligatures w14:val="none"/>
        </w:rPr>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(Green, Taylor and Wu, 2017; Xing, Shan, Yang and Zhang, 2025). Overall, the literature indicates that NFIA has moved closer to the centre of accountability practice, while the substance of what is verified remains selectively delimited (Boiral, Heras-Saizarbitoria, Brotherton and Bernard, 2019; Bouten &amp; Hoozée, 2025; Hummel, Schlick and Fifka, 2019; Morin, 2011; O’Dwyer, Owen and Unerman, 2011).</w:t>
      </w:r>
    </w:p>
    <w:p w14:paraId="1898494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At the same time, existing reviews and empirical syntheses tend to examine NFIA through narrowly defined subdomains—such as sustainability and integrated reporting assurance or greenwashing-related assurance—rather than synthesising the longitudinal development of NFIA as a field (Farooq, Azantouti and Zaman, 2023; Free, Jones &amp; Tremblay, 2024; Massaro, Dumay and Guthrie, 2016; Linnenluecke, Marrone and Singh, 2020; Fan, Breslin, Callahan and Iszatt-White, 2022). While these studies provide valuable domain-specific insights, they remain conceptually siloed, offering limited engagement with the shared institutional logics that connect public-sector performance auditing, CSR assurance, ESG verification, and emerging carbon assurance practices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Bouten &amp; Hoozée, 2025; Parker, Schmitz and Jacobs, 2021; Silvola &amp; Vinnari, 2021).</w:t>
      </w:r>
    </w:p>
    <w:p w14:paraId="253F461D"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This fragmentation matters because it hides the extent to which similar assurance logics are being reproduced across otherwise disconnected domains. Analysing NFIA subdomains in isolation obscures the systemic transformation of verification practices across governance domains (Humphrey &amp; Miller, 2012; Power, 1996; Power, 2003b). The expansion of assurance into social and atmospheric domains is not merely a technical extension of audit, but a fundamental reconfiguration of how legitimacy and professional authority are produced (Power, 2003a). Without an integrated analytical lens, much of the empirical NFIA literature documents proliferation without diagnosis—capturing the spread of assurance practices while leaving their broader governance implications under-theorised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Humphrey, 2008;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2011; Radcliffe, 2008). As a result, the literature struggles to explain how diverse assurance practices collectively contribute to new forms of regulation, responsibility, and accountability (Ackers &amp; Eccles, 2015; Farooq &amp; de Villiers, 2020; Humphrey &amp; Miller, 2012; Morin, 2011), or how they reshape professional identities and organisational behaviour across sectors (Channuntapipat, Samsonova-Taddei and Turley, 2019; Gaudy &amp; Malsch, 2023; Justesen &amp; Skærbæk, 2010; Skærbæk, 2009).</w:t>
      </w:r>
    </w:p>
    <w:p w14:paraId="077197E9"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study draws on Michael Power’s later refinements of the audit society to address this gap. While Power’s original diagnosis of an expanding “audit society” highlighted the proliferation of verification practices (Power, 1997a), his subsequent work shifted attention towards the mechanisms through which audit produces legitimacy, governs at a distance, and increasingly focuses on the “control of control” rather than first-order activities (Power, </w:t>
      </w:r>
      <w:r w:rsidRPr="004E4F5C">
        <w:rPr>
          <w:rFonts w:ascii="Times New Roman" w:eastAsia="Times New Roman" w:hAnsi="Times New Roman" w:cs="Times New Roman"/>
          <w:kern w:val="0"/>
          <w14:ligatures w14:val="none"/>
        </w:rPr>
        <w:lastRenderedPageBreak/>
        <w:t xml:space="preserve">2003a; Power, 2003b). These refinements place emphasis on procedural legitimacy, symbolic verification, system-based governance and the construction of audit subjectivities—concerns that resonate strongly with contemporary NFIA practices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Kastberg &amp; Ek Österberg, 2017;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2011)</w:t>
      </w:r>
    </w:p>
    <w:p w14:paraId="2BDD832A"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Yet, despite their relevance, Power’s later refinements remain only unevenly engaged in review-based syntheses of NFIA. Recent reviews typically concentrate on particular assurance domains—such as sustainability and integrated reporting assurance or greenwashing-related assurance—rather than systematically examining the longitudinal development of NFIA as a field through Power’s audit society refinements (Farooq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Free, Jones &amp; Tremblay, 2024). As a result</w:t>
      </w:r>
      <w:r w:rsidRPr="004E4F5C">
        <w:rPr>
          <w:rFonts w:ascii="Times New Roman" w:eastAsia="Times New Roman" w:hAnsi="Times New Roman" w:cs="Times New Roman"/>
          <w:b/>
          <w:bCs/>
          <w:kern w:val="0"/>
          <w14:ligatures w14:val="none"/>
        </w:rPr>
        <w:t>,</w:t>
      </w:r>
      <w:r w:rsidRPr="004E4F5C">
        <w:rPr>
          <w:rFonts w:ascii="Times New Roman" w:eastAsia="Times New Roman" w:hAnsi="Times New Roman" w:cs="Times New Roman"/>
          <w:kern w:val="0"/>
          <w14:ligatures w14:val="none"/>
        </w:rPr>
        <w:t xml:space="preserve"> NFIA represents a privileged site for revisiting and empirically evaluating these theoretical claims. Unlike financial auditing, which has become stabilised and largely blackboxed (Humphrey, 2008; Power, 1996), NFIA remains visibly “in the making” (Boiral, Heras-Saizarbitoria and Brotherton, 2020; Power, 1996; Xu &amp; Andrew, 2021), marked by contested standards, hybrid expertise, and uneven institutionalisation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Bouten &amp; Hoozée, 2025; Channuntapipat, Samsonova-Taddei and Turley, 2020; Xu &amp; Andrew, 2021). Examining NFIA through this lens enables a field-level assessment of how contemporary verification practices contribute to legitimacy production, symbolic reassurance, governance and control, and the reshaping of professional identities in an increasingly audit-saturated world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Justesen &amp; Skærbæk, 2010; Power, 2003a; Skærbæk, 2009).</w:t>
      </w:r>
    </w:p>
    <w:p w14:paraId="6BFD9A9A"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In light of these developments, a systematic re-examination of the empirical NFIA literature is warranted to assess both how the field has evolved and how it engages with the later theoretical refinements of the audit society (Power, 2003a, 2003b). Against this background, the review asks two practical questions about how NFIA research has evolved and what it actually explains:</w:t>
      </w:r>
    </w:p>
    <w:p w14:paraId="7B20F68F"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RQ1.</w:t>
      </w:r>
      <w:r w:rsidRPr="004E4F5C">
        <w:rPr>
          <w:rFonts w:ascii="Times New Roman" w:eastAsia="Times New Roman" w:hAnsi="Times New Roman" w:cs="Times New Roman"/>
          <w:kern w:val="0"/>
          <w14:ligatures w14:val="none"/>
        </w:rPr>
        <w:t xml:space="preserve"> How has the empirical literature on NFIA developed over the past 35 years?</w:t>
      </w:r>
    </w:p>
    <w:p w14:paraId="3A9FCC74"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RQ2.</w:t>
      </w:r>
      <w:r w:rsidRPr="004E4F5C">
        <w:rPr>
          <w:rFonts w:ascii="Times New Roman" w:eastAsia="Times New Roman" w:hAnsi="Times New Roman" w:cs="Times New Roman"/>
          <w:kern w:val="0"/>
          <w14:ligatures w14:val="none"/>
        </w:rPr>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1F734566"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(Hasan, Maijoor, Mock, Roebuck, Simnett and Vanstraelen, 2005; Moroney, Campbell, Hamilton and Warren, 2020).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4E4F5C">
        <w:rPr>
          <w:rFonts w:ascii="Times New Roman" w:eastAsia="Times New Roman" w:hAnsi="Times New Roman" w:cs="Times New Roman"/>
          <w:kern w:val="0"/>
          <w14:ligatures w14:val="none"/>
        </w:rPr>
        <w:lastRenderedPageBreak/>
        <w:t>assurance as analytically connected practices within a shared verification regime, the review situates NFIA within a continuous tradition of non-financial verification rather than as a collection of discrete service types (O'Dwyer, 2011; Power, 1996).</w:t>
      </w:r>
    </w:p>
    <w:p w14:paraId="243A29EE"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review makes three contributions aimed at clarifying how NFIA operates in practice rather than how it is typically described. 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 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 Third, the review advances the conceptual proposition of an audit planet to capture the infrastructural, generative, and world-making role of contemporary verification. By identifying persistent tensions, blind spots and under-explored domains—particularly in emerging areas such as carbon and climate assurance—the review develops a future </w:t>
      </w:r>
      <w:r w:rsidRPr="004E4F5C">
        <w:rPr>
          <w:rFonts w:ascii="Times New Roman" w:eastAsia="Times New Roman" w:hAnsi="Times New Roman" w:cs="Times New Roman"/>
          <w:kern w:val="0"/>
          <w14:ligatures w14:val="none"/>
        </w:rPr>
        <w:lastRenderedPageBreak/>
        <w:t>research agenda that shifts attention from documenting audit expansion to critically analysing how audit reshapes governance, responsibility, and professional authority at scale.</w:t>
      </w:r>
    </w:p>
    <w:p w14:paraId="66675B10"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261D5938"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p>
    <w:p w14:paraId="4EF47C1B"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Conceptual Foundations: The Evolution of the Audit Society</w:t>
      </w:r>
    </w:p>
    <w:p w14:paraId="1449EB95"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conceptualisation of auditing as a pervasive social and organisational phenomenon is most commonly traced to Michael Power (1997a)’s concept of</w:t>
      </w:r>
      <w:r w:rsidRPr="004E4F5C">
        <w:rPr>
          <w:rFonts w:ascii="Times New Roman" w:eastAsia="Times New Roman" w:hAnsi="Times New Roman" w:cs="Times New Roman"/>
          <w:i/>
          <w:iCs/>
          <w:kern w:val="0"/>
          <w14:ligatures w14:val="none"/>
        </w:rPr>
        <w:t xml:space="preserve"> Audit Society</w:t>
      </w:r>
      <w:r w:rsidRPr="004E4F5C">
        <w:rPr>
          <w:rFonts w:ascii="Times New Roman" w:eastAsia="Times New Roman" w:hAnsi="Times New Roman" w:cs="Times New Roman"/>
          <w:kern w:val="0"/>
          <w14:ligatures w14:val="none"/>
        </w:rPr>
        <w:t xml:space="preserve"> (Funnell &amp; Wade, 2012; Humphrey &amp; Miller, 2012; Morin, 2011). In this seminal work, Power challenged conventional understandings of audit as a neutral, technical practice by situating it within a broader regulatory and cultural context characterised by heightened demands for verification, transparency and control. However, while the book established the now-canonical diagnosis of an expanding “audit society” (Power, 1997a), a fuller understanding of this theoretical trajectory requires deeper engagement with Power’s </w:t>
      </w:r>
      <w:r w:rsidRPr="004E4F5C">
        <w:rPr>
          <w:rFonts w:ascii="Times New Roman" w:eastAsia="Times New Roman" w:hAnsi="Times New Roman" w:cs="Times New Roman"/>
          <w:kern w:val="0"/>
          <w14:ligatures w14:val="none"/>
        </w:rPr>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2DF697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theoretical foundations of this programme were laid in </w:t>
      </w:r>
      <w:r w:rsidRPr="004E4F5C">
        <w:rPr>
          <w:rFonts w:ascii="Times New Roman" w:eastAsia="Times New Roman" w:hAnsi="Times New Roman" w:cs="Times New Roman"/>
          <w:i/>
          <w:iCs/>
          <w:kern w:val="0"/>
          <w14:ligatures w14:val="none"/>
        </w:rPr>
        <w:t>Making Things Auditable</w:t>
      </w:r>
      <w:r w:rsidRPr="004E4F5C">
        <w:rPr>
          <w:rFonts w:ascii="Times New Roman" w:eastAsia="Times New Roman" w:hAnsi="Times New Roman" w:cs="Times New Roman"/>
          <w:kern w:val="0"/>
          <w14:ligatures w14:val="none"/>
        </w:rPr>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1997b),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7FDD5510"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6915436B"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constructivist insight was subsequently generalised in </w:t>
      </w:r>
      <w:r w:rsidRPr="004E4F5C">
        <w:rPr>
          <w:rFonts w:ascii="Times New Roman" w:eastAsia="Times New Roman" w:hAnsi="Times New Roman" w:cs="Times New Roman"/>
          <w:i/>
          <w:iCs/>
          <w:kern w:val="0"/>
          <w14:ligatures w14:val="none"/>
        </w:rPr>
        <w:t>The Audit Society</w:t>
      </w:r>
      <w:r w:rsidRPr="004E4F5C">
        <w:rPr>
          <w:rFonts w:ascii="Times New Roman" w:eastAsia="Times New Roman" w:hAnsi="Times New Roman" w:cs="Times New Roman"/>
          <w:kern w:val="0"/>
          <w14:ligatures w14:val="none"/>
        </w:rPr>
        <w:t xml:space="preserve"> (Power, 1997a), where the diffusion of financial audit logics into non-financial domains was characterised as an “audit explosion”. Power (1997a)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4E4F5C">
        <w:rPr>
          <w:rFonts w:ascii="Times New Roman" w:eastAsia="Times New Roman" w:hAnsi="Times New Roman" w:cs="Times New Roman"/>
          <w:kern w:val="0"/>
          <w14:ligatures w14:val="none"/>
        </w:rPr>
        <w:lastRenderedPageBreak/>
        <w:t xml:space="preserve">activities to be auditable increasingly converges with the requirement for them to be </w:t>
      </w:r>
      <w:r w:rsidRPr="004E4F5C">
        <w:rPr>
          <w:rFonts w:ascii="Times New Roman" w:eastAsia="Times New Roman" w:hAnsi="Times New Roman" w:cs="Times New Roman"/>
          <w:i/>
          <w:iCs/>
          <w:kern w:val="0"/>
          <w14:ligatures w14:val="none"/>
        </w:rPr>
        <w:t>seen</w:t>
      </w:r>
      <w:r w:rsidRPr="004E4F5C">
        <w:rPr>
          <w:rFonts w:ascii="Times New Roman" w:eastAsia="Times New Roman" w:hAnsi="Times New Roman" w:cs="Times New Roman"/>
          <w:kern w:val="0"/>
          <w14:ligatures w14:val="none"/>
        </w:rPr>
        <w:t xml:space="preserve"> to be auditable, loosening the connection between verification practices and underlying organisational performance.</w:t>
      </w:r>
    </w:p>
    <w:p w14:paraId="6FC83C68"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6FC24821"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complementary perspective is provided in </w:t>
      </w:r>
      <w:r w:rsidRPr="004E4F5C">
        <w:rPr>
          <w:rFonts w:ascii="Times New Roman" w:eastAsia="Times New Roman" w:hAnsi="Times New Roman" w:cs="Times New Roman"/>
          <w:i/>
          <w:iCs/>
          <w:kern w:val="0"/>
          <w14:ligatures w14:val="none"/>
        </w:rPr>
        <w:t>Evaluating the Audit Explosion</w:t>
      </w:r>
      <w:r w:rsidRPr="004E4F5C">
        <w:rPr>
          <w:rFonts w:ascii="Times New Roman" w:eastAsia="Times New Roman" w:hAnsi="Times New Roman" w:cs="Times New Roman"/>
          <w:kern w:val="0"/>
          <w14:ligatures w14:val="none"/>
        </w:rPr>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4E4F5C">
        <w:rPr>
          <w:rFonts w:ascii="Times New Roman" w:eastAsia="Times New Roman" w:hAnsi="Times New Roman" w:cs="Times New Roman"/>
          <w:kern w:val="0"/>
          <w14:ligatures w14:val="none"/>
        </w:rPr>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B561EFD"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(Sonnerfeldt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(Sonnerfeldt &amp; Pontoppidan, 2020).</w:t>
      </w:r>
    </w:p>
    <w:p w14:paraId="01EF9346"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5EF1A338"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p>
    <w:p w14:paraId="770F7D6D" w14:textId="77777777" w:rsidR="004E4F5C" w:rsidRPr="004E4F5C" w:rsidRDefault="004E4F5C" w:rsidP="004E4F5C">
      <w:pPr>
        <w:spacing w:after="0" w:line="48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Review Design and Methodology</w:t>
      </w:r>
    </w:p>
    <w:p w14:paraId="284BA68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To address the NFIA literature's breadth and theoretical density, the review proceeds in stages, combining systematic searching with bibliometric mapping and close reading of full texts. First, a systematic literature review (SLR) ensures transparent identification of the field's boundaries. Subsequent descriptive and narrative abstract analyses map 35 years of research, identifying longitudinal patterns in journals, topics, and jurisdictions to address RQ1. </w:t>
      </w:r>
      <w:r w:rsidRPr="004E4F5C">
        <w:rPr>
          <w:rFonts w:ascii="Times New Roman" w:eastAsia="Times New Roman" w:hAnsi="Times New Roman" w:cs="Times New Roman"/>
          <w:kern w:val="0"/>
          <w14:ligatures w14:val="none"/>
        </w:rPr>
        <w:lastRenderedPageBreak/>
        <w:t>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analyzed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79403A1E"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30029021"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Systematic Literature Review</w:t>
      </w:r>
    </w:p>
    <w:p w14:paraId="6D6005F2"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Standalone literature reviews are increasingly recognised as rigorous research methods capable of generating novel insights through systematic synthesis (Tranfield, Denyer and Smart, 2003; Okoli, 2015). Drawing on the miner–prospector continuum (Breslin &amp; Gatrell, 2023), this review adopts a "prospector" approach, seeking to consolidate and problematize fragmented empirical findings while preparing the ground for theoretically informed analysis.</w:t>
      </w:r>
    </w:p>
    <w:p w14:paraId="17D10B7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SLR aligns with established benchmarks for impact: rigor, generativity, scope, and transparency (Fan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By following best-practice protocols to minimize bias and subjectivity (Snyder, 2019; Linnenluecke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this approach reflects how SLRs are now used in accounting research to consolidate dispersed empirical findings rather than to test hypotheses (Massaro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2016). Adhering to the core attributes of reproducibility and comprehensive scope (Okoli, 2015), this design is particularly effective given the study’s well-</w:t>
      </w:r>
      <w:r w:rsidRPr="004E4F5C">
        <w:rPr>
          <w:rFonts w:ascii="Times New Roman" w:eastAsia="Times New Roman" w:hAnsi="Times New Roman" w:cs="Times New Roman"/>
          <w:kern w:val="0"/>
          <w14:ligatures w14:val="none"/>
        </w:rPr>
        <w:lastRenderedPageBreak/>
        <w:t xml:space="preserve">defined parameters and manageable dataset (Donthu, Kumar, Mukherjee, Pandey and Lim, 2021). To identify NFIA literature from 1990 to 2025, we applied a systematic keyword strategy across major databases. Search terms were developed using Boolean operators (Wang, Scells, Koopman and Zuccon, 2023) and informed by professional auditing frameworks and literature (Hasan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2005; Moroney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2020). This inclusive set of keywords, summarized in Table 1, ensures coverage across all primary NFIA domains.</w:t>
      </w:r>
    </w:p>
    <w:p w14:paraId="49B12267" w14:textId="77777777" w:rsidR="004E4F5C" w:rsidRPr="004E4F5C" w:rsidRDefault="004E4F5C" w:rsidP="004E4F5C">
      <w:pPr>
        <w:spacing w:after="0" w:line="240" w:lineRule="auto"/>
        <w:ind w:firstLine="420"/>
        <w:jc w:val="both"/>
        <w:rPr>
          <w:rFonts w:ascii="Times New Roman" w:eastAsia="Times New Roman" w:hAnsi="Times New Roman" w:cs="Times New Roman"/>
          <w:kern w:val="0"/>
          <w14:ligatures w14:val="none"/>
        </w:rPr>
      </w:pPr>
    </w:p>
    <w:tbl>
      <w:tblPr>
        <w:tblStyle w:val="TableGrid"/>
        <w:tblW w:w="7513" w:type="dxa"/>
        <w:tblInd w:w="562" w:type="dxa"/>
        <w:tblLook w:val="04A0" w:firstRow="1" w:lastRow="0" w:firstColumn="1" w:lastColumn="0" w:noHBand="0" w:noVBand="1"/>
      </w:tblPr>
      <w:tblGrid>
        <w:gridCol w:w="2765"/>
        <w:gridCol w:w="4748"/>
      </w:tblGrid>
      <w:tr w:rsidR="004E4F5C" w:rsidRPr="004E4F5C" w14:paraId="63D1B7FE" w14:textId="77777777" w:rsidTr="00B44024">
        <w:tc>
          <w:tcPr>
            <w:tcW w:w="2765" w:type="dxa"/>
          </w:tcPr>
          <w:p w14:paraId="2B81AB47"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NFIA subject domains</w:t>
            </w:r>
          </w:p>
        </w:tc>
        <w:tc>
          <w:tcPr>
            <w:tcW w:w="4748" w:type="dxa"/>
          </w:tcPr>
          <w:p w14:paraId="28947ED0"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t>Keywords</w:t>
            </w:r>
          </w:p>
        </w:tc>
      </w:tr>
      <w:tr w:rsidR="004E4F5C" w:rsidRPr="004E4F5C" w14:paraId="53DE883F" w14:textId="77777777" w:rsidTr="00B44024">
        <w:tc>
          <w:tcPr>
            <w:tcW w:w="2765" w:type="dxa"/>
          </w:tcPr>
          <w:p w14:paraId="7F8C8195"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Environment(al)</w:t>
            </w:r>
          </w:p>
        </w:tc>
        <w:tc>
          <w:tcPr>
            <w:tcW w:w="4748" w:type="dxa"/>
            <w:vAlign w:val="center"/>
          </w:tcPr>
          <w:p w14:paraId="4C542A1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environmental audit, environmental assurance, externality audit, pollution audit</w:t>
            </w:r>
          </w:p>
        </w:tc>
      </w:tr>
      <w:tr w:rsidR="004E4F5C" w:rsidRPr="004E4F5C" w14:paraId="21B0CDB5" w14:textId="77777777" w:rsidTr="00B44024">
        <w:tc>
          <w:tcPr>
            <w:tcW w:w="2765" w:type="dxa"/>
          </w:tcPr>
          <w:p w14:paraId="1B1DA9F6"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Compliance</w:t>
            </w:r>
          </w:p>
        </w:tc>
        <w:tc>
          <w:tcPr>
            <w:tcW w:w="4748" w:type="dxa"/>
            <w:vAlign w:val="center"/>
          </w:tcPr>
          <w:p w14:paraId="5C0E0A5F"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 xml:space="preserve">compliance audit, compliance assurance </w:t>
            </w:r>
          </w:p>
        </w:tc>
      </w:tr>
      <w:tr w:rsidR="004E4F5C" w:rsidRPr="004E4F5C" w14:paraId="64CA6F25" w14:textId="77777777" w:rsidTr="00B44024">
        <w:tc>
          <w:tcPr>
            <w:tcW w:w="2765" w:type="dxa"/>
          </w:tcPr>
          <w:p w14:paraId="16D06183"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Performance</w:t>
            </w:r>
          </w:p>
        </w:tc>
        <w:tc>
          <w:tcPr>
            <w:tcW w:w="4748" w:type="dxa"/>
            <w:vAlign w:val="center"/>
          </w:tcPr>
          <w:p w14:paraId="5339A06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performance audit, efficiency audit, effectiveness audit, government program audit</w:t>
            </w:r>
          </w:p>
        </w:tc>
      </w:tr>
      <w:tr w:rsidR="004E4F5C" w:rsidRPr="004E4F5C" w14:paraId="10BA150F" w14:textId="77777777" w:rsidTr="00B44024">
        <w:tc>
          <w:tcPr>
            <w:tcW w:w="2765" w:type="dxa"/>
          </w:tcPr>
          <w:p w14:paraId="4516CA5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ISO</w:t>
            </w:r>
          </w:p>
        </w:tc>
        <w:tc>
          <w:tcPr>
            <w:tcW w:w="4748" w:type="dxa"/>
            <w:vAlign w:val="center"/>
          </w:tcPr>
          <w:p w14:paraId="165D34AA"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ISO audit, ISO assurance</w:t>
            </w:r>
          </w:p>
        </w:tc>
      </w:tr>
      <w:tr w:rsidR="004E4F5C" w:rsidRPr="004E4F5C" w14:paraId="33EE6C1D" w14:textId="77777777" w:rsidTr="00B44024">
        <w:tc>
          <w:tcPr>
            <w:tcW w:w="2765" w:type="dxa"/>
          </w:tcPr>
          <w:p w14:paraId="4DC695DF"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Webtrust</w:t>
            </w:r>
          </w:p>
        </w:tc>
        <w:tc>
          <w:tcPr>
            <w:tcW w:w="4748" w:type="dxa"/>
            <w:vAlign w:val="center"/>
          </w:tcPr>
          <w:p w14:paraId="56707968"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WebTrust assurance, WebTrust audit, e-commerce assurance</w:t>
            </w:r>
          </w:p>
        </w:tc>
      </w:tr>
      <w:tr w:rsidR="004E4F5C" w:rsidRPr="004E4F5C" w14:paraId="454DBEFB" w14:textId="77777777" w:rsidTr="00B44024">
        <w:tc>
          <w:tcPr>
            <w:tcW w:w="2765" w:type="dxa"/>
          </w:tcPr>
          <w:p w14:paraId="5CB66C80"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Sustainability</w:t>
            </w:r>
          </w:p>
        </w:tc>
        <w:tc>
          <w:tcPr>
            <w:tcW w:w="4748" w:type="dxa"/>
            <w:vAlign w:val="center"/>
          </w:tcPr>
          <w:p w14:paraId="5D6D4DC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sustainability audit, sustainability assurance</w:t>
            </w:r>
          </w:p>
        </w:tc>
      </w:tr>
      <w:tr w:rsidR="004E4F5C" w:rsidRPr="004E4F5C" w14:paraId="7E921B37" w14:textId="77777777" w:rsidTr="00B44024">
        <w:tc>
          <w:tcPr>
            <w:tcW w:w="2765" w:type="dxa"/>
          </w:tcPr>
          <w:p w14:paraId="52A48E68"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CSR</w:t>
            </w:r>
          </w:p>
        </w:tc>
        <w:tc>
          <w:tcPr>
            <w:tcW w:w="4748" w:type="dxa"/>
            <w:vAlign w:val="center"/>
          </w:tcPr>
          <w:p w14:paraId="0DF802DA"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corporate social responsibility audit, CSR assurance, CSR audit, social responsibility assurance, corporate citizenship audit</w:t>
            </w:r>
          </w:p>
        </w:tc>
      </w:tr>
      <w:tr w:rsidR="004E4F5C" w:rsidRPr="004E4F5C" w14:paraId="4834BDDA" w14:textId="77777777" w:rsidTr="00B44024">
        <w:tc>
          <w:tcPr>
            <w:tcW w:w="2765" w:type="dxa"/>
          </w:tcPr>
          <w:p w14:paraId="462B0BC2"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ESG</w:t>
            </w:r>
          </w:p>
        </w:tc>
        <w:tc>
          <w:tcPr>
            <w:tcW w:w="4748" w:type="dxa"/>
            <w:vAlign w:val="center"/>
          </w:tcPr>
          <w:p w14:paraId="7C6EF833"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environmental, social, and governance audit, ESG assurance, ESG performance audit, ESG performance assurance</w:t>
            </w:r>
          </w:p>
        </w:tc>
      </w:tr>
      <w:tr w:rsidR="004E4F5C" w:rsidRPr="004E4F5C" w14:paraId="52CD8A13" w14:textId="77777777" w:rsidTr="00B44024">
        <w:tc>
          <w:tcPr>
            <w:tcW w:w="2765" w:type="dxa"/>
          </w:tcPr>
          <w:p w14:paraId="2A6441D1"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Carbon (GHG)</w:t>
            </w:r>
          </w:p>
        </w:tc>
        <w:tc>
          <w:tcPr>
            <w:tcW w:w="4748" w:type="dxa"/>
            <w:vAlign w:val="center"/>
          </w:tcPr>
          <w:p w14:paraId="633DBECC"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DengXian" w:hAnsi="Times New Roman" w:cs="Times New Roman"/>
                <w:color w:val="000000"/>
                <w:kern w:val="0"/>
                <w14:ligatures w14:val="none"/>
              </w:rPr>
              <w:t>greenhouse gas emission audit, carbon audit, emissions assurance, GHG audit, GHG assurance, carbon verification</w:t>
            </w:r>
          </w:p>
        </w:tc>
      </w:tr>
    </w:tbl>
    <w:p w14:paraId="3236DF4F" w14:textId="77777777" w:rsidR="004E4F5C" w:rsidRPr="004E4F5C" w:rsidRDefault="004E4F5C" w:rsidP="004E4F5C">
      <w:pPr>
        <w:spacing w:after="0" w:line="240" w:lineRule="auto"/>
        <w:ind w:leftChars="257" w:left="617"/>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Table 1. NFIA subject domains and associated search keywords</w:t>
      </w:r>
      <w:r w:rsidRPr="004E4F5C">
        <w:rPr>
          <w:rFonts w:ascii="Times New Roman" w:eastAsia="Times New Roman" w:hAnsi="Times New Roman" w:cs="Times New Roman"/>
          <w:b/>
          <w:bCs/>
          <w:kern w:val="0"/>
          <w14:ligatures w14:val="none"/>
        </w:rPr>
        <w:br/>
      </w:r>
      <w:r w:rsidRPr="004E4F5C">
        <w:rPr>
          <w:rFonts w:ascii="Times New Roman" w:eastAsia="Times New Roman" w:hAnsi="Times New Roman" w:cs="Times New Roman"/>
          <w:i/>
          <w:iCs/>
          <w:kern w:val="0"/>
          <w14:ligatures w14:val="none"/>
        </w:rPr>
        <w:t>Source: Developed by the author using Boolean search strategies informed by Wang et al. (2023), Hasan et al. (2005), and Moroney et al. (2020)</w:t>
      </w:r>
    </w:p>
    <w:p w14:paraId="7E219C75"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i/>
          <w:iCs/>
          <w:kern w:val="0"/>
          <w14:ligatures w14:val="none"/>
        </w:rPr>
      </w:pPr>
    </w:p>
    <w:p w14:paraId="6A7C2EA3"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To ensure a comprehensive, high-quality corpus covering 1990–2025, we searched Scopus, EBSCO, Web of Science, and ProQuest. Study selection followed a transparent protocol based on four predefined criteria:</w:t>
      </w:r>
    </w:p>
    <w:p w14:paraId="3916000D"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Quality: Peer-reviewed articles from "A" or "A*" accounting/auditing journals (2022 ABDC list).</w:t>
      </w:r>
    </w:p>
    <w:p w14:paraId="1C0CCE96"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Language: English-only publications.</w:t>
      </w:r>
    </w:p>
    <w:p w14:paraId="325E1E7E"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Nature: Empirical studies (conceptual papers and policy commentaries excluded).</w:t>
      </w:r>
    </w:p>
    <w:p w14:paraId="5FC4A4FC" w14:textId="77777777" w:rsidR="004E4F5C" w:rsidRPr="004E4F5C" w:rsidRDefault="004E4F5C" w:rsidP="004E4F5C">
      <w:pPr>
        <w:numPr>
          <w:ilvl w:val="0"/>
          <w:numId w:val="5"/>
        </w:numPr>
        <w:spacing w:after="0" w:line="480" w:lineRule="auto"/>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Relevance: Substantive engagement with auditing or assurance.</w:t>
      </w:r>
    </w:p>
    <w:p w14:paraId="15FA2FE4"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We identified 41 target journals from the ABDC list by screening for titles containing “accounting” or “audit,” while including relevant exceptions such as </w:t>
      </w:r>
      <w:r w:rsidRPr="004E4F5C">
        <w:rPr>
          <w:rFonts w:ascii="Times New Roman" w:eastAsia="Times New Roman" w:hAnsi="Times New Roman" w:cs="Times New Roman"/>
          <w:i/>
          <w:iCs/>
          <w:kern w:val="0"/>
          <w14:ligatures w14:val="none"/>
        </w:rPr>
        <w:t>Abacus</w:t>
      </w:r>
      <w:r w:rsidRPr="004E4F5C">
        <w:rPr>
          <w:rFonts w:ascii="Times New Roman" w:eastAsia="Times New Roman" w:hAnsi="Times New Roman" w:cs="Times New Roman"/>
          <w:kern w:val="0"/>
          <w14:ligatures w14:val="none"/>
        </w:rPr>
        <w:t xml:space="preserve"> and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4E4F5C" w:rsidRPr="004E4F5C" w14:paraId="7E8D2786" w14:textId="77777777" w:rsidTr="00B44024">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3A0BF73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781824CA"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148467A"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5CC4A22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2022 rating</w:t>
            </w:r>
          </w:p>
        </w:tc>
      </w:tr>
      <w:tr w:rsidR="004E4F5C" w:rsidRPr="004E4F5C" w14:paraId="6833E18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83247D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856" w:type="dxa"/>
            <w:tcBorders>
              <w:top w:val="nil"/>
              <w:left w:val="nil"/>
              <w:bottom w:val="nil"/>
              <w:right w:val="nil"/>
            </w:tcBorders>
            <w:shd w:val="clear" w:color="000000" w:fill="FFFFFF"/>
            <w:noWrap/>
            <w:hideMark/>
          </w:tcPr>
          <w:p w14:paraId="0BFA452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Auditing and Accountability Journal</w:t>
            </w:r>
          </w:p>
        </w:tc>
        <w:tc>
          <w:tcPr>
            <w:tcW w:w="1356" w:type="dxa"/>
            <w:tcBorders>
              <w:top w:val="nil"/>
              <w:left w:val="nil"/>
              <w:bottom w:val="nil"/>
              <w:right w:val="nil"/>
            </w:tcBorders>
            <w:shd w:val="clear" w:color="000000" w:fill="FFFFFF"/>
            <w:noWrap/>
            <w:hideMark/>
          </w:tcPr>
          <w:p w14:paraId="1B3B479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1988 </w:t>
            </w:r>
          </w:p>
        </w:tc>
        <w:tc>
          <w:tcPr>
            <w:tcW w:w="1608" w:type="dxa"/>
            <w:tcBorders>
              <w:top w:val="nil"/>
              <w:left w:val="nil"/>
              <w:bottom w:val="nil"/>
              <w:right w:val="single" w:sz="8" w:space="0" w:color="auto"/>
            </w:tcBorders>
            <w:shd w:val="clear" w:color="000000" w:fill="FFFFFF"/>
            <w:noWrap/>
            <w:hideMark/>
          </w:tcPr>
          <w:p w14:paraId="4C36AA6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02B4637"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95F9CA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5856" w:type="dxa"/>
            <w:tcBorders>
              <w:top w:val="nil"/>
              <w:left w:val="nil"/>
              <w:bottom w:val="nil"/>
              <w:right w:val="nil"/>
            </w:tcBorders>
            <w:shd w:val="clear" w:color="000000" w:fill="FFFFFF"/>
            <w:noWrap/>
            <w:hideMark/>
          </w:tcPr>
          <w:p w14:paraId="540AB8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Organizations and Society</w:t>
            </w:r>
          </w:p>
        </w:tc>
        <w:tc>
          <w:tcPr>
            <w:tcW w:w="1356" w:type="dxa"/>
            <w:tcBorders>
              <w:top w:val="nil"/>
              <w:left w:val="nil"/>
              <w:bottom w:val="nil"/>
              <w:right w:val="nil"/>
            </w:tcBorders>
            <w:shd w:val="clear" w:color="000000" w:fill="FFFFFF"/>
            <w:noWrap/>
            <w:hideMark/>
          </w:tcPr>
          <w:p w14:paraId="3A5882F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1976 </w:t>
            </w:r>
          </w:p>
        </w:tc>
        <w:tc>
          <w:tcPr>
            <w:tcW w:w="1608" w:type="dxa"/>
            <w:tcBorders>
              <w:top w:val="nil"/>
              <w:left w:val="nil"/>
              <w:bottom w:val="nil"/>
              <w:right w:val="single" w:sz="8" w:space="0" w:color="auto"/>
            </w:tcBorders>
            <w:shd w:val="clear" w:color="000000" w:fill="FFFFFF"/>
            <w:noWrap/>
            <w:hideMark/>
          </w:tcPr>
          <w:p w14:paraId="70A4750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D100E0F"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731ABB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5856" w:type="dxa"/>
            <w:tcBorders>
              <w:top w:val="nil"/>
              <w:left w:val="nil"/>
              <w:bottom w:val="nil"/>
              <w:right w:val="nil"/>
            </w:tcBorders>
            <w:shd w:val="clear" w:color="000000" w:fill="FFFFFF"/>
            <w:noWrap/>
            <w:hideMark/>
          </w:tcPr>
          <w:p w14:paraId="5796199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Auditing: A Journal of Practice and Theory</w:t>
            </w:r>
          </w:p>
        </w:tc>
        <w:tc>
          <w:tcPr>
            <w:tcW w:w="1356" w:type="dxa"/>
            <w:tcBorders>
              <w:top w:val="nil"/>
              <w:left w:val="nil"/>
              <w:bottom w:val="nil"/>
              <w:right w:val="nil"/>
            </w:tcBorders>
            <w:shd w:val="clear" w:color="000000" w:fill="FFFFFF"/>
            <w:noWrap/>
            <w:hideMark/>
          </w:tcPr>
          <w:p w14:paraId="3460D5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1981 </w:t>
            </w:r>
          </w:p>
        </w:tc>
        <w:tc>
          <w:tcPr>
            <w:tcW w:w="1608" w:type="dxa"/>
            <w:tcBorders>
              <w:top w:val="nil"/>
              <w:left w:val="nil"/>
              <w:bottom w:val="nil"/>
              <w:right w:val="single" w:sz="8" w:space="0" w:color="auto"/>
            </w:tcBorders>
            <w:shd w:val="clear" w:color="000000" w:fill="FFFFFF"/>
            <w:noWrap/>
            <w:hideMark/>
          </w:tcPr>
          <w:p w14:paraId="01E3D9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259A98D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BF8267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5856" w:type="dxa"/>
            <w:tcBorders>
              <w:top w:val="nil"/>
              <w:left w:val="nil"/>
              <w:bottom w:val="nil"/>
              <w:right w:val="nil"/>
            </w:tcBorders>
            <w:shd w:val="clear" w:color="000000" w:fill="FFFFFF"/>
            <w:noWrap/>
            <w:hideMark/>
          </w:tcPr>
          <w:p w14:paraId="49E7E1D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British Accounting Review</w:t>
            </w:r>
          </w:p>
        </w:tc>
        <w:tc>
          <w:tcPr>
            <w:tcW w:w="1356" w:type="dxa"/>
            <w:tcBorders>
              <w:top w:val="nil"/>
              <w:left w:val="nil"/>
              <w:bottom w:val="nil"/>
              <w:right w:val="nil"/>
            </w:tcBorders>
            <w:shd w:val="clear" w:color="000000" w:fill="FFFFFF"/>
            <w:noWrap/>
            <w:hideMark/>
          </w:tcPr>
          <w:p w14:paraId="5FCEF92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1968 </w:t>
            </w:r>
          </w:p>
        </w:tc>
        <w:tc>
          <w:tcPr>
            <w:tcW w:w="1608" w:type="dxa"/>
            <w:tcBorders>
              <w:top w:val="nil"/>
              <w:left w:val="nil"/>
              <w:bottom w:val="nil"/>
              <w:right w:val="single" w:sz="8" w:space="0" w:color="auto"/>
            </w:tcBorders>
            <w:shd w:val="clear" w:color="000000" w:fill="FFFFFF"/>
            <w:noWrap/>
            <w:hideMark/>
          </w:tcPr>
          <w:p w14:paraId="2239FC8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C26AFA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6E583D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5856" w:type="dxa"/>
            <w:tcBorders>
              <w:top w:val="nil"/>
              <w:left w:val="nil"/>
              <w:bottom w:val="nil"/>
              <w:right w:val="nil"/>
            </w:tcBorders>
            <w:shd w:val="clear" w:color="000000" w:fill="FFFFFF"/>
            <w:noWrap/>
            <w:hideMark/>
          </w:tcPr>
          <w:p w14:paraId="1DFF708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Contemporary Accounting Research</w:t>
            </w:r>
          </w:p>
        </w:tc>
        <w:tc>
          <w:tcPr>
            <w:tcW w:w="1356" w:type="dxa"/>
            <w:tcBorders>
              <w:top w:val="nil"/>
              <w:left w:val="nil"/>
              <w:bottom w:val="nil"/>
              <w:right w:val="nil"/>
            </w:tcBorders>
            <w:shd w:val="clear" w:color="000000" w:fill="FFFFFF"/>
            <w:noWrap/>
            <w:hideMark/>
          </w:tcPr>
          <w:p w14:paraId="6B8C9EF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1984 </w:t>
            </w:r>
          </w:p>
        </w:tc>
        <w:tc>
          <w:tcPr>
            <w:tcW w:w="1608" w:type="dxa"/>
            <w:tcBorders>
              <w:top w:val="nil"/>
              <w:left w:val="nil"/>
              <w:bottom w:val="nil"/>
              <w:right w:val="single" w:sz="8" w:space="0" w:color="auto"/>
            </w:tcBorders>
            <w:shd w:val="clear" w:color="000000" w:fill="FFFFFF"/>
            <w:noWrap/>
            <w:hideMark/>
          </w:tcPr>
          <w:p w14:paraId="0CBB653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34246D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32D1D6A"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5856" w:type="dxa"/>
            <w:tcBorders>
              <w:top w:val="nil"/>
              <w:left w:val="nil"/>
              <w:bottom w:val="nil"/>
              <w:right w:val="nil"/>
            </w:tcBorders>
            <w:shd w:val="clear" w:color="000000" w:fill="FFFFFF"/>
            <w:noWrap/>
            <w:hideMark/>
          </w:tcPr>
          <w:p w14:paraId="34CE48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Economics</w:t>
            </w:r>
          </w:p>
        </w:tc>
        <w:tc>
          <w:tcPr>
            <w:tcW w:w="1356" w:type="dxa"/>
            <w:tcBorders>
              <w:top w:val="nil"/>
              <w:left w:val="nil"/>
              <w:bottom w:val="nil"/>
              <w:right w:val="nil"/>
            </w:tcBorders>
            <w:shd w:val="clear" w:color="000000" w:fill="FFFFFF"/>
            <w:noWrap/>
            <w:hideMark/>
          </w:tcPr>
          <w:p w14:paraId="68BFF39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1979 </w:t>
            </w:r>
          </w:p>
        </w:tc>
        <w:tc>
          <w:tcPr>
            <w:tcW w:w="1608" w:type="dxa"/>
            <w:tcBorders>
              <w:top w:val="nil"/>
              <w:left w:val="nil"/>
              <w:bottom w:val="nil"/>
              <w:right w:val="single" w:sz="8" w:space="0" w:color="auto"/>
            </w:tcBorders>
            <w:shd w:val="clear" w:color="000000" w:fill="FFFFFF"/>
            <w:noWrap/>
            <w:hideMark/>
          </w:tcPr>
          <w:p w14:paraId="26F0142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22DF91F"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0A510D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5856" w:type="dxa"/>
            <w:tcBorders>
              <w:top w:val="nil"/>
              <w:left w:val="nil"/>
              <w:bottom w:val="nil"/>
              <w:right w:val="nil"/>
            </w:tcBorders>
            <w:shd w:val="clear" w:color="000000" w:fill="FFFFFF"/>
            <w:noWrap/>
            <w:hideMark/>
          </w:tcPr>
          <w:p w14:paraId="57847E7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Research</w:t>
            </w:r>
          </w:p>
        </w:tc>
        <w:tc>
          <w:tcPr>
            <w:tcW w:w="1356" w:type="dxa"/>
            <w:tcBorders>
              <w:top w:val="nil"/>
              <w:left w:val="nil"/>
              <w:bottom w:val="nil"/>
              <w:right w:val="nil"/>
            </w:tcBorders>
            <w:shd w:val="clear" w:color="000000" w:fill="FFFFFF"/>
            <w:noWrap/>
            <w:hideMark/>
          </w:tcPr>
          <w:p w14:paraId="10F4A46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1963 </w:t>
            </w:r>
          </w:p>
        </w:tc>
        <w:tc>
          <w:tcPr>
            <w:tcW w:w="1608" w:type="dxa"/>
            <w:tcBorders>
              <w:top w:val="nil"/>
              <w:left w:val="nil"/>
              <w:bottom w:val="nil"/>
              <w:right w:val="single" w:sz="8" w:space="0" w:color="auto"/>
            </w:tcBorders>
            <w:shd w:val="clear" w:color="000000" w:fill="FFFFFF"/>
            <w:noWrap/>
            <w:hideMark/>
          </w:tcPr>
          <w:p w14:paraId="1454BEF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7738151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8BADE60"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8</w:t>
            </w:r>
          </w:p>
        </w:tc>
        <w:tc>
          <w:tcPr>
            <w:tcW w:w="5856" w:type="dxa"/>
            <w:tcBorders>
              <w:top w:val="nil"/>
              <w:left w:val="nil"/>
              <w:bottom w:val="nil"/>
              <w:right w:val="nil"/>
            </w:tcBorders>
            <w:shd w:val="clear" w:color="000000" w:fill="FFFFFF"/>
            <w:noWrap/>
            <w:hideMark/>
          </w:tcPr>
          <w:p w14:paraId="03F1C0A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Finance &amp; Accounting</w:t>
            </w:r>
          </w:p>
        </w:tc>
        <w:tc>
          <w:tcPr>
            <w:tcW w:w="1356" w:type="dxa"/>
            <w:tcBorders>
              <w:top w:val="nil"/>
              <w:left w:val="nil"/>
              <w:bottom w:val="nil"/>
              <w:right w:val="nil"/>
            </w:tcBorders>
            <w:shd w:val="clear" w:color="000000" w:fill="FFFFFF"/>
            <w:noWrap/>
            <w:hideMark/>
          </w:tcPr>
          <w:p w14:paraId="6C7772F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1974 </w:t>
            </w:r>
          </w:p>
        </w:tc>
        <w:tc>
          <w:tcPr>
            <w:tcW w:w="1608" w:type="dxa"/>
            <w:tcBorders>
              <w:top w:val="nil"/>
              <w:left w:val="nil"/>
              <w:bottom w:val="nil"/>
              <w:right w:val="single" w:sz="8" w:space="0" w:color="auto"/>
            </w:tcBorders>
            <w:shd w:val="clear" w:color="000000" w:fill="FFFFFF"/>
            <w:noWrap/>
            <w:hideMark/>
          </w:tcPr>
          <w:p w14:paraId="3D8375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55C79C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D8CFDF3"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5856" w:type="dxa"/>
            <w:tcBorders>
              <w:top w:val="nil"/>
              <w:left w:val="nil"/>
              <w:bottom w:val="nil"/>
              <w:right w:val="nil"/>
            </w:tcBorders>
            <w:shd w:val="clear" w:color="000000" w:fill="FFFFFF"/>
            <w:noWrap/>
            <w:hideMark/>
          </w:tcPr>
          <w:p w14:paraId="64F725E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Management Accounting Research</w:t>
            </w:r>
          </w:p>
        </w:tc>
        <w:tc>
          <w:tcPr>
            <w:tcW w:w="1356" w:type="dxa"/>
            <w:tcBorders>
              <w:top w:val="nil"/>
              <w:left w:val="nil"/>
              <w:bottom w:val="nil"/>
              <w:right w:val="nil"/>
            </w:tcBorders>
            <w:shd w:val="clear" w:color="000000" w:fill="FFFFFF"/>
            <w:noWrap/>
            <w:hideMark/>
          </w:tcPr>
          <w:p w14:paraId="7876B5F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7D3069E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93141E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7B952B7"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10</w:t>
            </w:r>
          </w:p>
        </w:tc>
        <w:tc>
          <w:tcPr>
            <w:tcW w:w="5856" w:type="dxa"/>
            <w:tcBorders>
              <w:top w:val="nil"/>
              <w:left w:val="nil"/>
              <w:bottom w:val="nil"/>
              <w:right w:val="nil"/>
            </w:tcBorders>
            <w:shd w:val="clear" w:color="000000" w:fill="FFFFFF"/>
            <w:noWrap/>
            <w:hideMark/>
          </w:tcPr>
          <w:p w14:paraId="6BA6F48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Management Accounting Research</w:t>
            </w:r>
          </w:p>
        </w:tc>
        <w:tc>
          <w:tcPr>
            <w:tcW w:w="1356" w:type="dxa"/>
            <w:tcBorders>
              <w:top w:val="nil"/>
              <w:left w:val="nil"/>
              <w:bottom w:val="nil"/>
              <w:right w:val="nil"/>
            </w:tcBorders>
            <w:shd w:val="clear" w:color="000000" w:fill="FFFFFF"/>
            <w:noWrap/>
            <w:hideMark/>
          </w:tcPr>
          <w:p w14:paraId="7EFF7B7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2A2F71E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C1C3E5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1BACB8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11</w:t>
            </w:r>
          </w:p>
        </w:tc>
        <w:tc>
          <w:tcPr>
            <w:tcW w:w="5856" w:type="dxa"/>
            <w:tcBorders>
              <w:top w:val="nil"/>
              <w:left w:val="nil"/>
              <w:bottom w:val="nil"/>
              <w:right w:val="nil"/>
            </w:tcBorders>
            <w:shd w:val="clear" w:color="000000" w:fill="FFFFFF"/>
            <w:noWrap/>
            <w:hideMark/>
          </w:tcPr>
          <w:p w14:paraId="261E0C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Review of Accounting Studies</w:t>
            </w:r>
          </w:p>
        </w:tc>
        <w:tc>
          <w:tcPr>
            <w:tcW w:w="1356" w:type="dxa"/>
            <w:tcBorders>
              <w:top w:val="nil"/>
              <w:left w:val="nil"/>
              <w:bottom w:val="nil"/>
              <w:right w:val="nil"/>
            </w:tcBorders>
            <w:shd w:val="clear" w:color="000000" w:fill="FFFFFF"/>
            <w:noWrap/>
            <w:hideMark/>
          </w:tcPr>
          <w:p w14:paraId="69E0AE5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1996 </w:t>
            </w:r>
          </w:p>
        </w:tc>
        <w:tc>
          <w:tcPr>
            <w:tcW w:w="1608" w:type="dxa"/>
            <w:tcBorders>
              <w:top w:val="nil"/>
              <w:left w:val="nil"/>
              <w:bottom w:val="nil"/>
              <w:right w:val="single" w:sz="8" w:space="0" w:color="auto"/>
            </w:tcBorders>
            <w:shd w:val="clear" w:color="000000" w:fill="FFFFFF"/>
            <w:noWrap/>
            <w:hideMark/>
          </w:tcPr>
          <w:p w14:paraId="6B8D059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03198B1E"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291146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12</w:t>
            </w:r>
          </w:p>
        </w:tc>
        <w:tc>
          <w:tcPr>
            <w:tcW w:w="5856" w:type="dxa"/>
            <w:tcBorders>
              <w:top w:val="nil"/>
              <w:left w:val="nil"/>
              <w:bottom w:val="nil"/>
              <w:right w:val="nil"/>
            </w:tcBorders>
            <w:shd w:val="clear" w:color="000000" w:fill="FFFFFF"/>
            <w:noWrap/>
            <w:hideMark/>
          </w:tcPr>
          <w:p w14:paraId="12C9A4F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Accounting Review</w:t>
            </w:r>
          </w:p>
        </w:tc>
        <w:tc>
          <w:tcPr>
            <w:tcW w:w="1356" w:type="dxa"/>
            <w:tcBorders>
              <w:top w:val="nil"/>
              <w:left w:val="nil"/>
              <w:bottom w:val="nil"/>
              <w:right w:val="nil"/>
            </w:tcBorders>
            <w:shd w:val="clear" w:color="000000" w:fill="FFFFFF"/>
            <w:noWrap/>
            <w:hideMark/>
          </w:tcPr>
          <w:p w14:paraId="5CCA6B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1926 </w:t>
            </w:r>
          </w:p>
        </w:tc>
        <w:tc>
          <w:tcPr>
            <w:tcW w:w="1608" w:type="dxa"/>
            <w:tcBorders>
              <w:top w:val="nil"/>
              <w:left w:val="nil"/>
              <w:bottom w:val="nil"/>
              <w:right w:val="single" w:sz="8" w:space="0" w:color="auto"/>
            </w:tcBorders>
            <w:shd w:val="clear" w:color="000000" w:fill="FFFFFF"/>
            <w:noWrap/>
            <w:hideMark/>
          </w:tcPr>
          <w:p w14:paraId="5C99608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C7F80A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5FAB07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13</w:t>
            </w:r>
          </w:p>
        </w:tc>
        <w:tc>
          <w:tcPr>
            <w:tcW w:w="5856" w:type="dxa"/>
            <w:tcBorders>
              <w:top w:val="nil"/>
              <w:left w:val="nil"/>
              <w:bottom w:val="nil"/>
              <w:right w:val="nil"/>
            </w:tcBorders>
            <w:shd w:val="clear" w:color="000000" w:fill="FFFFFF"/>
            <w:noWrap/>
            <w:hideMark/>
          </w:tcPr>
          <w:p w14:paraId="7D51031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European Accounting Review</w:t>
            </w:r>
          </w:p>
        </w:tc>
        <w:tc>
          <w:tcPr>
            <w:tcW w:w="1356" w:type="dxa"/>
            <w:tcBorders>
              <w:top w:val="nil"/>
              <w:left w:val="nil"/>
              <w:bottom w:val="nil"/>
              <w:right w:val="nil"/>
            </w:tcBorders>
            <w:shd w:val="clear" w:color="000000" w:fill="FFFFFF"/>
            <w:noWrap/>
            <w:hideMark/>
          </w:tcPr>
          <w:p w14:paraId="27F0D18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1992 </w:t>
            </w:r>
          </w:p>
        </w:tc>
        <w:tc>
          <w:tcPr>
            <w:tcW w:w="1608" w:type="dxa"/>
            <w:tcBorders>
              <w:top w:val="nil"/>
              <w:left w:val="nil"/>
              <w:bottom w:val="nil"/>
              <w:right w:val="single" w:sz="8" w:space="0" w:color="auto"/>
            </w:tcBorders>
            <w:shd w:val="clear" w:color="000000" w:fill="FFFFFF"/>
            <w:noWrap/>
            <w:hideMark/>
          </w:tcPr>
          <w:p w14:paraId="5CA40C7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E195CBE"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276984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14</w:t>
            </w:r>
          </w:p>
        </w:tc>
        <w:tc>
          <w:tcPr>
            <w:tcW w:w="5856" w:type="dxa"/>
            <w:tcBorders>
              <w:top w:val="nil"/>
              <w:left w:val="nil"/>
              <w:bottom w:val="nil"/>
              <w:right w:val="nil"/>
            </w:tcBorders>
            <w:shd w:val="clear" w:color="000000" w:fill="FFFFFF"/>
            <w:noWrap/>
            <w:hideMark/>
          </w:tcPr>
          <w:p w14:paraId="7ABD867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Abacus</w:t>
            </w:r>
          </w:p>
        </w:tc>
        <w:tc>
          <w:tcPr>
            <w:tcW w:w="1356" w:type="dxa"/>
            <w:tcBorders>
              <w:top w:val="nil"/>
              <w:left w:val="nil"/>
              <w:bottom w:val="nil"/>
              <w:right w:val="nil"/>
            </w:tcBorders>
            <w:shd w:val="clear" w:color="000000" w:fill="FFFFFF"/>
            <w:noWrap/>
            <w:hideMark/>
          </w:tcPr>
          <w:p w14:paraId="53DC111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1965 </w:t>
            </w:r>
          </w:p>
        </w:tc>
        <w:tc>
          <w:tcPr>
            <w:tcW w:w="1608" w:type="dxa"/>
            <w:tcBorders>
              <w:top w:val="nil"/>
              <w:left w:val="nil"/>
              <w:bottom w:val="nil"/>
              <w:right w:val="single" w:sz="8" w:space="0" w:color="auto"/>
            </w:tcBorders>
            <w:shd w:val="clear" w:color="000000" w:fill="FFFFFF"/>
            <w:noWrap/>
            <w:hideMark/>
          </w:tcPr>
          <w:p w14:paraId="3C88906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1BA2E0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E07D93E"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15</w:t>
            </w:r>
          </w:p>
        </w:tc>
        <w:tc>
          <w:tcPr>
            <w:tcW w:w="5856" w:type="dxa"/>
            <w:tcBorders>
              <w:top w:val="nil"/>
              <w:left w:val="nil"/>
              <w:bottom w:val="nil"/>
              <w:right w:val="nil"/>
            </w:tcBorders>
            <w:shd w:val="clear" w:color="000000" w:fill="FFFFFF"/>
            <w:noWrap/>
            <w:hideMark/>
          </w:tcPr>
          <w:p w14:paraId="5E25C86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and Business Research</w:t>
            </w:r>
          </w:p>
        </w:tc>
        <w:tc>
          <w:tcPr>
            <w:tcW w:w="1356" w:type="dxa"/>
            <w:tcBorders>
              <w:top w:val="nil"/>
              <w:left w:val="nil"/>
              <w:bottom w:val="nil"/>
              <w:right w:val="nil"/>
            </w:tcBorders>
            <w:shd w:val="clear" w:color="000000" w:fill="FFFFFF"/>
            <w:noWrap/>
            <w:hideMark/>
          </w:tcPr>
          <w:p w14:paraId="6A872AE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1970 </w:t>
            </w:r>
          </w:p>
        </w:tc>
        <w:tc>
          <w:tcPr>
            <w:tcW w:w="1608" w:type="dxa"/>
            <w:tcBorders>
              <w:top w:val="nil"/>
              <w:left w:val="nil"/>
              <w:bottom w:val="nil"/>
              <w:right w:val="single" w:sz="8" w:space="0" w:color="auto"/>
            </w:tcBorders>
            <w:shd w:val="clear" w:color="000000" w:fill="FFFFFF"/>
            <w:noWrap/>
            <w:hideMark/>
          </w:tcPr>
          <w:p w14:paraId="5E85E54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BF84FD2"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E83F2A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16</w:t>
            </w:r>
          </w:p>
        </w:tc>
        <w:tc>
          <w:tcPr>
            <w:tcW w:w="5856" w:type="dxa"/>
            <w:tcBorders>
              <w:top w:val="nil"/>
              <w:left w:val="nil"/>
              <w:bottom w:val="nil"/>
              <w:right w:val="nil"/>
            </w:tcBorders>
            <w:shd w:val="clear" w:color="000000" w:fill="FFFFFF"/>
            <w:noWrap/>
            <w:hideMark/>
          </w:tcPr>
          <w:p w14:paraId="570172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and Finance</w:t>
            </w:r>
          </w:p>
        </w:tc>
        <w:tc>
          <w:tcPr>
            <w:tcW w:w="1356" w:type="dxa"/>
            <w:tcBorders>
              <w:top w:val="nil"/>
              <w:left w:val="nil"/>
              <w:bottom w:val="nil"/>
              <w:right w:val="nil"/>
            </w:tcBorders>
            <w:shd w:val="clear" w:color="000000" w:fill="FFFFFF"/>
            <w:noWrap/>
            <w:hideMark/>
          </w:tcPr>
          <w:p w14:paraId="6D86CD8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1961 </w:t>
            </w:r>
          </w:p>
        </w:tc>
        <w:tc>
          <w:tcPr>
            <w:tcW w:w="1608" w:type="dxa"/>
            <w:tcBorders>
              <w:top w:val="nil"/>
              <w:left w:val="nil"/>
              <w:bottom w:val="nil"/>
              <w:right w:val="single" w:sz="8" w:space="0" w:color="auto"/>
            </w:tcBorders>
            <w:shd w:val="clear" w:color="000000" w:fill="FFFFFF"/>
            <w:noWrap/>
            <w:hideMark/>
          </w:tcPr>
          <w:p w14:paraId="67881E1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3630D0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01B0CD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17</w:t>
            </w:r>
          </w:p>
        </w:tc>
        <w:tc>
          <w:tcPr>
            <w:tcW w:w="5856" w:type="dxa"/>
            <w:tcBorders>
              <w:top w:val="nil"/>
              <w:left w:val="nil"/>
              <w:bottom w:val="nil"/>
              <w:right w:val="nil"/>
            </w:tcBorders>
            <w:shd w:val="clear" w:color="000000" w:fill="FFFFFF"/>
            <w:noWrap/>
            <w:hideMark/>
          </w:tcPr>
          <w:p w14:paraId="18C8A7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Education</w:t>
            </w:r>
          </w:p>
        </w:tc>
        <w:tc>
          <w:tcPr>
            <w:tcW w:w="1356" w:type="dxa"/>
            <w:tcBorders>
              <w:top w:val="nil"/>
              <w:left w:val="nil"/>
              <w:bottom w:val="nil"/>
              <w:right w:val="nil"/>
            </w:tcBorders>
            <w:shd w:val="clear" w:color="000000" w:fill="FFFFFF"/>
            <w:noWrap/>
            <w:hideMark/>
          </w:tcPr>
          <w:p w14:paraId="64CE4B4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1992 </w:t>
            </w:r>
          </w:p>
        </w:tc>
        <w:tc>
          <w:tcPr>
            <w:tcW w:w="1608" w:type="dxa"/>
            <w:tcBorders>
              <w:top w:val="nil"/>
              <w:left w:val="nil"/>
              <w:bottom w:val="nil"/>
              <w:right w:val="single" w:sz="8" w:space="0" w:color="auto"/>
            </w:tcBorders>
            <w:shd w:val="clear" w:color="000000" w:fill="FFFFFF"/>
            <w:noWrap/>
            <w:hideMark/>
          </w:tcPr>
          <w:p w14:paraId="592A35E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3EAF7E5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9F88AA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18</w:t>
            </w:r>
          </w:p>
        </w:tc>
        <w:tc>
          <w:tcPr>
            <w:tcW w:w="5856" w:type="dxa"/>
            <w:tcBorders>
              <w:top w:val="nil"/>
              <w:left w:val="nil"/>
              <w:bottom w:val="nil"/>
              <w:right w:val="nil"/>
            </w:tcBorders>
            <w:shd w:val="clear" w:color="000000" w:fill="FFFFFF"/>
            <w:noWrap/>
            <w:hideMark/>
          </w:tcPr>
          <w:p w14:paraId="5EEC2E3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History</w:t>
            </w:r>
          </w:p>
        </w:tc>
        <w:tc>
          <w:tcPr>
            <w:tcW w:w="1356" w:type="dxa"/>
            <w:tcBorders>
              <w:top w:val="nil"/>
              <w:left w:val="nil"/>
              <w:bottom w:val="nil"/>
              <w:right w:val="nil"/>
            </w:tcBorders>
            <w:shd w:val="clear" w:color="000000" w:fill="FFFFFF"/>
            <w:noWrap/>
            <w:hideMark/>
          </w:tcPr>
          <w:p w14:paraId="25B4DB8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2655A53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9DC63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D8F20F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19</w:t>
            </w:r>
          </w:p>
        </w:tc>
        <w:tc>
          <w:tcPr>
            <w:tcW w:w="5856" w:type="dxa"/>
            <w:tcBorders>
              <w:top w:val="nil"/>
              <w:left w:val="nil"/>
              <w:bottom w:val="nil"/>
              <w:right w:val="nil"/>
            </w:tcBorders>
            <w:shd w:val="clear" w:color="000000" w:fill="FFFFFF"/>
            <w:noWrap/>
            <w:hideMark/>
          </w:tcPr>
          <w:p w14:paraId="26F01DD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Horizons</w:t>
            </w:r>
          </w:p>
        </w:tc>
        <w:tc>
          <w:tcPr>
            <w:tcW w:w="1356" w:type="dxa"/>
            <w:tcBorders>
              <w:top w:val="nil"/>
              <w:left w:val="nil"/>
              <w:bottom w:val="nil"/>
              <w:right w:val="nil"/>
            </w:tcBorders>
            <w:shd w:val="clear" w:color="000000" w:fill="FFFFFF"/>
            <w:noWrap/>
            <w:hideMark/>
          </w:tcPr>
          <w:p w14:paraId="64B4811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1987 </w:t>
            </w:r>
          </w:p>
        </w:tc>
        <w:tc>
          <w:tcPr>
            <w:tcW w:w="1608" w:type="dxa"/>
            <w:tcBorders>
              <w:top w:val="nil"/>
              <w:left w:val="nil"/>
              <w:bottom w:val="nil"/>
              <w:right w:val="single" w:sz="8" w:space="0" w:color="auto"/>
            </w:tcBorders>
            <w:shd w:val="clear" w:color="000000" w:fill="FFFFFF"/>
            <w:noWrap/>
            <w:hideMark/>
          </w:tcPr>
          <w:p w14:paraId="7BC82E1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CEC3FE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4C9B79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20</w:t>
            </w:r>
          </w:p>
        </w:tc>
        <w:tc>
          <w:tcPr>
            <w:tcW w:w="5856" w:type="dxa"/>
            <w:tcBorders>
              <w:top w:val="nil"/>
              <w:left w:val="nil"/>
              <w:bottom w:val="nil"/>
              <w:right w:val="nil"/>
            </w:tcBorders>
            <w:shd w:val="clear" w:color="000000" w:fill="FFFFFF"/>
            <w:noWrap/>
            <w:hideMark/>
          </w:tcPr>
          <w:p w14:paraId="099521F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in Europe</w:t>
            </w:r>
          </w:p>
        </w:tc>
        <w:tc>
          <w:tcPr>
            <w:tcW w:w="1356" w:type="dxa"/>
            <w:tcBorders>
              <w:top w:val="nil"/>
              <w:left w:val="nil"/>
              <w:bottom w:val="nil"/>
              <w:right w:val="nil"/>
            </w:tcBorders>
            <w:shd w:val="clear" w:color="000000" w:fill="FFFFFF"/>
            <w:noWrap/>
            <w:hideMark/>
          </w:tcPr>
          <w:p w14:paraId="394552E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2004 </w:t>
            </w:r>
          </w:p>
        </w:tc>
        <w:tc>
          <w:tcPr>
            <w:tcW w:w="1608" w:type="dxa"/>
            <w:tcBorders>
              <w:top w:val="nil"/>
              <w:left w:val="nil"/>
              <w:bottom w:val="nil"/>
              <w:right w:val="single" w:sz="8" w:space="0" w:color="auto"/>
            </w:tcBorders>
            <w:shd w:val="clear" w:color="000000" w:fill="FFFFFF"/>
            <w:noWrap/>
            <w:hideMark/>
          </w:tcPr>
          <w:p w14:paraId="338A550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A945A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E5CB618"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21</w:t>
            </w:r>
          </w:p>
        </w:tc>
        <w:tc>
          <w:tcPr>
            <w:tcW w:w="5856" w:type="dxa"/>
            <w:tcBorders>
              <w:top w:val="nil"/>
              <w:left w:val="nil"/>
              <w:bottom w:val="nil"/>
              <w:right w:val="nil"/>
            </w:tcBorders>
            <w:shd w:val="clear" w:color="000000" w:fill="FFFFFF"/>
            <w:noWrap/>
            <w:hideMark/>
          </w:tcPr>
          <w:p w14:paraId="75C298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Accounting</w:t>
            </w:r>
          </w:p>
        </w:tc>
        <w:tc>
          <w:tcPr>
            <w:tcW w:w="1356" w:type="dxa"/>
            <w:tcBorders>
              <w:top w:val="nil"/>
              <w:left w:val="nil"/>
              <w:bottom w:val="nil"/>
              <w:right w:val="nil"/>
            </w:tcBorders>
            <w:shd w:val="clear" w:color="000000" w:fill="FFFFFF"/>
            <w:noWrap/>
            <w:hideMark/>
          </w:tcPr>
          <w:p w14:paraId="456141F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1984 </w:t>
            </w:r>
          </w:p>
        </w:tc>
        <w:tc>
          <w:tcPr>
            <w:tcW w:w="1608" w:type="dxa"/>
            <w:tcBorders>
              <w:top w:val="nil"/>
              <w:left w:val="nil"/>
              <w:bottom w:val="nil"/>
              <w:right w:val="single" w:sz="8" w:space="0" w:color="auto"/>
            </w:tcBorders>
            <w:shd w:val="clear" w:color="000000" w:fill="FFFFFF"/>
            <w:noWrap/>
            <w:hideMark/>
          </w:tcPr>
          <w:p w14:paraId="3F2D588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33FBDC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DE1C3A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22</w:t>
            </w:r>
          </w:p>
        </w:tc>
        <w:tc>
          <w:tcPr>
            <w:tcW w:w="5856" w:type="dxa"/>
            <w:tcBorders>
              <w:top w:val="nil"/>
              <w:left w:val="nil"/>
              <w:bottom w:val="nil"/>
              <w:right w:val="nil"/>
            </w:tcBorders>
            <w:shd w:val="clear" w:color="000000" w:fill="FFFFFF"/>
            <w:noWrap/>
            <w:hideMark/>
          </w:tcPr>
          <w:p w14:paraId="591BA90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Accounting Behavioral Research</w:t>
            </w:r>
          </w:p>
        </w:tc>
        <w:tc>
          <w:tcPr>
            <w:tcW w:w="1356" w:type="dxa"/>
            <w:tcBorders>
              <w:top w:val="nil"/>
              <w:left w:val="nil"/>
              <w:bottom w:val="nil"/>
              <w:right w:val="nil"/>
            </w:tcBorders>
            <w:shd w:val="clear" w:color="000000" w:fill="FFFFFF"/>
            <w:noWrap/>
            <w:hideMark/>
          </w:tcPr>
          <w:p w14:paraId="1531010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1998 </w:t>
            </w:r>
          </w:p>
        </w:tc>
        <w:tc>
          <w:tcPr>
            <w:tcW w:w="1608" w:type="dxa"/>
            <w:tcBorders>
              <w:top w:val="nil"/>
              <w:left w:val="nil"/>
              <w:bottom w:val="nil"/>
              <w:right w:val="single" w:sz="8" w:space="0" w:color="auto"/>
            </w:tcBorders>
            <w:shd w:val="clear" w:color="000000" w:fill="FFFFFF"/>
            <w:noWrap/>
            <w:hideMark/>
          </w:tcPr>
          <w:p w14:paraId="140086C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BE041D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F60B00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23</w:t>
            </w:r>
          </w:p>
        </w:tc>
        <w:tc>
          <w:tcPr>
            <w:tcW w:w="5856" w:type="dxa"/>
            <w:tcBorders>
              <w:top w:val="nil"/>
              <w:left w:val="nil"/>
              <w:bottom w:val="nil"/>
              <w:right w:val="nil"/>
            </w:tcBorders>
            <w:shd w:val="clear" w:color="000000" w:fill="FFFFFF"/>
            <w:noWrap/>
            <w:hideMark/>
          </w:tcPr>
          <w:p w14:paraId="6B4D8E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Advances in Management Accounting</w:t>
            </w:r>
          </w:p>
        </w:tc>
        <w:tc>
          <w:tcPr>
            <w:tcW w:w="1356" w:type="dxa"/>
            <w:tcBorders>
              <w:top w:val="nil"/>
              <w:left w:val="nil"/>
              <w:bottom w:val="nil"/>
              <w:right w:val="nil"/>
            </w:tcBorders>
            <w:shd w:val="clear" w:color="000000" w:fill="FFFFFF"/>
            <w:noWrap/>
            <w:hideMark/>
          </w:tcPr>
          <w:p w14:paraId="19533C05"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29325B2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05466008"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5497D17"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24</w:t>
            </w:r>
          </w:p>
        </w:tc>
        <w:tc>
          <w:tcPr>
            <w:tcW w:w="5856" w:type="dxa"/>
            <w:tcBorders>
              <w:top w:val="nil"/>
              <w:left w:val="nil"/>
              <w:bottom w:val="nil"/>
              <w:right w:val="nil"/>
            </w:tcBorders>
            <w:shd w:val="clear" w:color="000000" w:fill="FFFFFF"/>
            <w:noWrap/>
            <w:hideMark/>
          </w:tcPr>
          <w:p w14:paraId="5F509B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Behavioral Research in Accounting</w:t>
            </w:r>
          </w:p>
        </w:tc>
        <w:tc>
          <w:tcPr>
            <w:tcW w:w="1356" w:type="dxa"/>
            <w:tcBorders>
              <w:top w:val="nil"/>
              <w:left w:val="nil"/>
              <w:bottom w:val="nil"/>
              <w:right w:val="nil"/>
            </w:tcBorders>
            <w:shd w:val="clear" w:color="000000" w:fill="FFFFFF"/>
            <w:noWrap/>
            <w:hideMark/>
          </w:tcPr>
          <w:p w14:paraId="326A1D3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1989 </w:t>
            </w:r>
          </w:p>
        </w:tc>
        <w:tc>
          <w:tcPr>
            <w:tcW w:w="1608" w:type="dxa"/>
            <w:tcBorders>
              <w:top w:val="nil"/>
              <w:left w:val="nil"/>
              <w:bottom w:val="nil"/>
              <w:right w:val="single" w:sz="8" w:space="0" w:color="auto"/>
            </w:tcBorders>
            <w:shd w:val="clear" w:color="000000" w:fill="FFFFFF"/>
            <w:noWrap/>
            <w:hideMark/>
          </w:tcPr>
          <w:p w14:paraId="2BEEDAA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EDF6E1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7DECAF3"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25</w:t>
            </w:r>
          </w:p>
        </w:tc>
        <w:tc>
          <w:tcPr>
            <w:tcW w:w="5856" w:type="dxa"/>
            <w:tcBorders>
              <w:top w:val="nil"/>
              <w:left w:val="nil"/>
              <w:bottom w:val="nil"/>
              <w:right w:val="nil"/>
            </w:tcBorders>
            <w:shd w:val="clear" w:color="000000" w:fill="FFFFFF"/>
            <w:noWrap/>
            <w:hideMark/>
          </w:tcPr>
          <w:p w14:paraId="391CC76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China Accounting and Finance Review</w:t>
            </w:r>
          </w:p>
        </w:tc>
        <w:tc>
          <w:tcPr>
            <w:tcW w:w="1356" w:type="dxa"/>
            <w:tcBorders>
              <w:top w:val="nil"/>
              <w:left w:val="nil"/>
              <w:bottom w:val="nil"/>
              <w:right w:val="nil"/>
            </w:tcBorders>
            <w:shd w:val="clear" w:color="000000" w:fill="FFFFFF"/>
            <w:noWrap/>
            <w:hideMark/>
          </w:tcPr>
          <w:p w14:paraId="2019E53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1999 </w:t>
            </w:r>
          </w:p>
        </w:tc>
        <w:tc>
          <w:tcPr>
            <w:tcW w:w="1608" w:type="dxa"/>
            <w:tcBorders>
              <w:top w:val="nil"/>
              <w:left w:val="nil"/>
              <w:bottom w:val="nil"/>
              <w:right w:val="single" w:sz="8" w:space="0" w:color="auto"/>
            </w:tcBorders>
            <w:shd w:val="clear" w:color="000000" w:fill="FFFFFF"/>
            <w:noWrap/>
            <w:hideMark/>
          </w:tcPr>
          <w:p w14:paraId="1C7BA7C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621B327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6C8FD73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26</w:t>
            </w:r>
          </w:p>
        </w:tc>
        <w:tc>
          <w:tcPr>
            <w:tcW w:w="5856" w:type="dxa"/>
            <w:tcBorders>
              <w:top w:val="nil"/>
              <w:left w:val="nil"/>
              <w:bottom w:val="nil"/>
              <w:right w:val="nil"/>
            </w:tcBorders>
            <w:shd w:val="clear" w:color="000000" w:fill="FFFFFF"/>
            <w:noWrap/>
            <w:hideMark/>
          </w:tcPr>
          <w:p w14:paraId="6540A89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Critical Perspectives on Accounting</w:t>
            </w:r>
          </w:p>
        </w:tc>
        <w:tc>
          <w:tcPr>
            <w:tcW w:w="1356" w:type="dxa"/>
            <w:tcBorders>
              <w:top w:val="nil"/>
              <w:left w:val="nil"/>
              <w:bottom w:val="nil"/>
              <w:right w:val="nil"/>
            </w:tcBorders>
            <w:shd w:val="clear" w:color="000000" w:fill="FFFFFF"/>
            <w:noWrap/>
            <w:hideMark/>
          </w:tcPr>
          <w:p w14:paraId="7C9128B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1990 </w:t>
            </w:r>
          </w:p>
        </w:tc>
        <w:tc>
          <w:tcPr>
            <w:tcW w:w="1608" w:type="dxa"/>
            <w:tcBorders>
              <w:top w:val="nil"/>
              <w:left w:val="nil"/>
              <w:bottom w:val="nil"/>
              <w:right w:val="single" w:sz="8" w:space="0" w:color="auto"/>
            </w:tcBorders>
            <w:shd w:val="clear" w:color="000000" w:fill="FFFFFF"/>
            <w:noWrap/>
            <w:hideMark/>
          </w:tcPr>
          <w:p w14:paraId="67D499B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59D376B"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86CDA26"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27</w:t>
            </w:r>
          </w:p>
        </w:tc>
        <w:tc>
          <w:tcPr>
            <w:tcW w:w="5856" w:type="dxa"/>
            <w:tcBorders>
              <w:top w:val="nil"/>
              <w:left w:val="nil"/>
              <w:bottom w:val="nil"/>
              <w:right w:val="nil"/>
            </w:tcBorders>
            <w:shd w:val="clear" w:color="000000" w:fill="FFFFFF"/>
            <w:noWrap/>
            <w:hideMark/>
          </w:tcPr>
          <w:p w14:paraId="12F9BD7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and Management</w:t>
            </w:r>
          </w:p>
        </w:tc>
        <w:tc>
          <w:tcPr>
            <w:tcW w:w="1356" w:type="dxa"/>
            <w:tcBorders>
              <w:top w:val="nil"/>
              <w:left w:val="nil"/>
              <w:bottom w:val="nil"/>
              <w:right w:val="nil"/>
            </w:tcBorders>
            <w:shd w:val="clear" w:color="000000" w:fill="FFFFFF"/>
            <w:noWrap/>
            <w:hideMark/>
          </w:tcPr>
          <w:p w14:paraId="11E774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1985 </w:t>
            </w:r>
          </w:p>
        </w:tc>
        <w:tc>
          <w:tcPr>
            <w:tcW w:w="1608" w:type="dxa"/>
            <w:tcBorders>
              <w:top w:val="nil"/>
              <w:left w:val="nil"/>
              <w:bottom w:val="nil"/>
              <w:right w:val="single" w:sz="8" w:space="0" w:color="auto"/>
            </w:tcBorders>
            <w:shd w:val="clear" w:color="000000" w:fill="FFFFFF"/>
            <w:noWrap/>
            <w:hideMark/>
          </w:tcPr>
          <w:p w14:paraId="777B70A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B032456"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0B63D6D2"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28</w:t>
            </w:r>
          </w:p>
        </w:tc>
        <w:tc>
          <w:tcPr>
            <w:tcW w:w="5856" w:type="dxa"/>
            <w:tcBorders>
              <w:top w:val="nil"/>
              <w:left w:val="nil"/>
              <w:bottom w:val="nil"/>
              <w:right w:val="nil"/>
            </w:tcBorders>
            <w:shd w:val="clear" w:color="000000" w:fill="FFFFFF"/>
            <w:noWrap/>
            <w:hideMark/>
          </w:tcPr>
          <w:p w14:paraId="1034ECB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Foundations and Trends in Accounting</w:t>
            </w:r>
          </w:p>
        </w:tc>
        <w:tc>
          <w:tcPr>
            <w:tcW w:w="1356" w:type="dxa"/>
            <w:tcBorders>
              <w:top w:val="nil"/>
              <w:left w:val="nil"/>
              <w:bottom w:val="nil"/>
              <w:right w:val="nil"/>
            </w:tcBorders>
            <w:shd w:val="clear" w:color="000000" w:fill="FFFFFF"/>
            <w:noWrap/>
            <w:hideMark/>
          </w:tcPr>
          <w:p w14:paraId="5968F0D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2006 </w:t>
            </w:r>
          </w:p>
        </w:tc>
        <w:tc>
          <w:tcPr>
            <w:tcW w:w="1608" w:type="dxa"/>
            <w:tcBorders>
              <w:top w:val="nil"/>
              <w:left w:val="nil"/>
              <w:bottom w:val="nil"/>
              <w:right w:val="single" w:sz="8" w:space="0" w:color="auto"/>
            </w:tcBorders>
            <w:shd w:val="clear" w:color="000000" w:fill="FFFFFF"/>
            <w:noWrap/>
            <w:hideMark/>
          </w:tcPr>
          <w:p w14:paraId="29EBED8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7BDA2ACD"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295D31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29</w:t>
            </w:r>
          </w:p>
        </w:tc>
        <w:tc>
          <w:tcPr>
            <w:tcW w:w="5856" w:type="dxa"/>
            <w:tcBorders>
              <w:top w:val="nil"/>
              <w:left w:val="nil"/>
              <w:bottom w:val="nil"/>
              <w:right w:val="nil"/>
            </w:tcBorders>
            <w:shd w:val="clear" w:color="000000" w:fill="FFFFFF"/>
            <w:noWrap/>
            <w:hideMark/>
          </w:tcPr>
          <w:p w14:paraId="68D080C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Accounting Information Systems</w:t>
            </w:r>
          </w:p>
        </w:tc>
        <w:tc>
          <w:tcPr>
            <w:tcW w:w="1356" w:type="dxa"/>
            <w:tcBorders>
              <w:top w:val="nil"/>
              <w:left w:val="nil"/>
              <w:bottom w:val="nil"/>
              <w:right w:val="nil"/>
            </w:tcBorders>
            <w:shd w:val="clear" w:color="000000" w:fill="FFFFFF"/>
            <w:noWrap/>
            <w:hideMark/>
          </w:tcPr>
          <w:p w14:paraId="21EA626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2000 </w:t>
            </w:r>
          </w:p>
        </w:tc>
        <w:tc>
          <w:tcPr>
            <w:tcW w:w="1608" w:type="dxa"/>
            <w:tcBorders>
              <w:top w:val="nil"/>
              <w:left w:val="nil"/>
              <w:bottom w:val="nil"/>
              <w:right w:val="single" w:sz="8" w:space="0" w:color="auto"/>
            </w:tcBorders>
            <w:shd w:val="clear" w:color="000000" w:fill="FFFFFF"/>
            <w:noWrap/>
            <w:hideMark/>
          </w:tcPr>
          <w:p w14:paraId="37CE2E7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37D22ED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BA8FFE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30</w:t>
            </w:r>
          </w:p>
        </w:tc>
        <w:tc>
          <w:tcPr>
            <w:tcW w:w="5856" w:type="dxa"/>
            <w:tcBorders>
              <w:top w:val="nil"/>
              <w:left w:val="nil"/>
              <w:bottom w:val="nil"/>
              <w:right w:val="nil"/>
            </w:tcBorders>
            <w:shd w:val="clear" w:color="000000" w:fill="FFFFFF"/>
            <w:noWrap/>
            <w:hideMark/>
          </w:tcPr>
          <w:p w14:paraId="1D6EC78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Auditing</w:t>
            </w:r>
          </w:p>
        </w:tc>
        <w:tc>
          <w:tcPr>
            <w:tcW w:w="1356" w:type="dxa"/>
            <w:tcBorders>
              <w:top w:val="nil"/>
              <w:left w:val="nil"/>
              <w:bottom w:val="nil"/>
              <w:right w:val="nil"/>
            </w:tcBorders>
            <w:shd w:val="clear" w:color="000000" w:fill="FFFFFF"/>
            <w:noWrap/>
            <w:hideMark/>
          </w:tcPr>
          <w:p w14:paraId="3DE9EC0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1997 </w:t>
            </w:r>
          </w:p>
        </w:tc>
        <w:tc>
          <w:tcPr>
            <w:tcW w:w="1608" w:type="dxa"/>
            <w:tcBorders>
              <w:top w:val="nil"/>
              <w:left w:val="nil"/>
              <w:bottom w:val="nil"/>
              <w:right w:val="single" w:sz="8" w:space="0" w:color="auto"/>
            </w:tcBorders>
            <w:shd w:val="clear" w:color="000000" w:fill="FFFFFF"/>
            <w:noWrap/>
            <w:hideMark/>
          </w:tcPr>
          <w:p w14:paraId="520F80E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22CEF39"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155C863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31</w:t>
            </w:r>
          </w:p>
        </w:tc>
        <w:tc>
          <w:tcPr>
            <w:tcW w:w="5856" w:type="dxa"/>
            <w:tcBorders>
              <w:top w:val="nil"/>
              <w:left w:val="nil"/>
              <w:bottom w:val="nil"/>
              <w:right w:val="nil"/>
            </w:tcBorders>
            <w:shd w:val="clear" w:color="000000" w:fill="FFFFFF"/>
            <w:noWrap/>
            <w:hideMark/>
          </w:tcPr>
          <w:p w14:paraId="1994B83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Issues in Accounting Education</w:t>
            </w:r>
          </w:p>
        </w:tc>
        <w:tc>
          <w:tcPr>
            <w:tcW w:w="1356" w:type="dxa"/>
            <w:tcBorders>
              <w:top w:val="nil"/>
              <w:left w:val="nil"/>
              <w:bottom w:val="nil"/>
              <w:right w:val="nil"/>
            </w:tcBorders>
            <w:shd w:val="clear" w:color="000000" w:fill="FFFFFF"/>
            <w:noWrap/>
            <w:hideMark/>
          </w:tcPr>
          <w:p w14:paraId="796C6C4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1983 </w:t>
            </w:r>
          </w:p>
        </w:tc>
        <w:tc>
          <w:tcPr>
            <w:tcW w:w="1608" w:type="dxa"/>
            <w:tcBorders>
              <w:top w:val="nil"/>
              <w:left w:val="nil"/>
              <w:bottom w:val="nil"/>
              <w:right w:val="single" w:sz="8" w:space="0" w:color="auto"/>
            </w:tcBorders>
            <w:shd w:val="clear" w:color="000000" w:fill="FFFFFF"/>
            <w:noWrap/>
            <w:hideMark/>
          </w:tcPr>
          <w:p w14:paraId="4F82A6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652E4DB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70E23B5D"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32</w:t>
            </w:r>
          </w:p>
        </w:tc>
        <w:tc>
          <w:tcPr>
            <w:tcW w:w="5856" w:type="dxa"/>
            <w:tcBorders>
              <w:top w:val="nil"/>
              <w:left w:val="nil"/>
              <w:bottom w:val="nil"/>
              <w:right w:val="nil"/>
            </w:tcBorders>
            <w:shd w:val="clear" w:color="000000" w:fill="FFFFFF"/>
            <w:noWrap/>
            <w:hideMark/>
          </w:tcPr>
          <w:p w14:paraId="320C60F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Public Policy</w:t>
            </w:r>
          </w:p>
        </w:tc>
        <w:tc>
          <w:tcPr>
            <w:tcW w:w="1356" w:type="dxa"/>
            <w:tcBorders>
              <w:top w:val="nil"/>
              <w:left w:val="nil"/>
              <w:bottom w:val="nil"/>
              <w:right w:val="nil"/>
            </w:tcBorders>
            <w:shd w:val="clear" w:color="000000" w:fill="FFFFFF"/>
            <w:noWrap/>
            <w:hideMark/>
          </w:tcPr>
          <w:p w14:paraId="1FEF9E4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1982 </w:t>
            </w:r>
          </w:p>
        </w:tc>
        <w:tc>
          <w:tcPr>
            <w:tcW w:w="1608" w:type="dxa"/>
            <w:tcBorders>
              <w:top w:val="nil"/>
              <w:left w:val="nil"/>
              <w:bottom w:val="nil"/>
              <w:right w:val="single" w:sz="8" w:space="0" w:color="auto"/>
            </w:tcBorders>
            <w:shd w:val="clear" w:color="000000" w:fill="FFFFFF"/>
            <w:noWrap/>
            <w:hideMark/>
          </w:tcPr>
          <w:p w14:paraId="46988B8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456BFD3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C67D60C"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33</w:t>
            </w:r>
          </w:p>
        </w:tc>
        <w:tc>
          <w:tcPr>
            <w:tcW w:w="5856" w:type="dxa"/>
            <w:tcBorders>
              <w:top w:val="nil"/>
              <w:left w:val="nil"/>
              <w:bottom w:val="nil"/>
              <w:right w:val="nil"/>
            </w:tcBorders>
            <w:shd w:val="clear" w:color="000000" w:fill="FFFFFF"/>
            <w:noWrap/>
            <w:hideMark/>
          </w:tcPr>
          <w:p w14:paraId="768B542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Auditing and Finance</w:t>
            </w:r>
          </w:p>
        </w:tc>
        <w:tc>
          <w:tcPr>
            <w:tcW w:w="1356" w:type="dxa"/>
            <w:tcBorders>
              <w:top w:val="nil"/>
              <w:left w:val="nil"/>
              <w:bottom w:val="nil"/>
              <w:right w:val="nil"/>
            </w:tcBorders>
            <w:shd w:val="clear" w:color="000000" w:fill="FFFFFF"/>
            <w:noWrap/>
            <w:hideMark/>
          </w:tcPr>
          <w:p w14:paraId="5A28A5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1986 </w:t>
            </w:r>
          </w:p>
        </w:tc>
        <w:tc>
          <w:tcPr>
            <w:tcW w:w="1608" w:type="dxa"/>
            <w:tcBorders>
              <w:top w:val="nil"/>
              <w:left w:val="nil"/>
              <w:bottom w:val="nil"/>
              <w:right w:val="single" w:sz="8" w:space="0" w:color="auto"/>
            </w:tcBorders>
            <w:shd w:val="clear" w:color="000000" w:fill="FFFFFF"/>
            <w:noWrap/>
            <w:hideMark/>
          </w:tcPr>
          <w:p w14:paraId="64705B5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3D52CEC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5ADD985E"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34</w:t>
            </w:r>
          </w:p>
        </w:tc>
        <w:tc>
          <w:tcPr>
            <w:tcW w:w="5856" w:type="dxa"/>
            <w:tcBorders>
              <w:top w:val="nil"/>
              <w:left w:val="nil"/>
              <w:bottom w:val="nil"/>
              <w:right w:val="nil"/>
            </w:tcBorders>
            <w:shd w:val="clear" w:color="000000" w:fill="FFFFFF"/>
            <w:noWrap/>
            <w:hideMark/>
          </w:tcPr>
          <w:p w14:paraId="022B3E3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Literature</w:t>
            </w:r>
          </w:p>
        </w:tc>
        <w:tc>
          <w:tcPr>
            <w:tcW w:w="1356" w:type="dxa"/>
            <w:tcBorders>
              <w:top w:val="nil"/>
              <w:left w:val="nil"/>
              <w:bottom w:val="nil"/>
              <w:right w:val="nil"/>
            </w:tcBorders>
            <w:shd w:val="clear" w:color="000000" w:fill="FFFFFF"/>
            <w:noWrap/>
            <w:hideMark/>
          </w:tcPr>
          <w:p w14:paraId="4FFFA02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1981 </w:t>
            </w:r>
          </w:p>
        </w:tc>
        <w:tc>
          <w:tcPr>
            <w:tcW w:w="1608" w:type="dxa"/>
            <w:tcBorders>
              <w:top w:val="nil"/>
              <w:left w:val="nil"/>
              <w:bottom w:val="nil"/>
              <w:right w:val="single" w:sz="8" w:space="0" w:color="auto"/>
            </w:tcBorders>
            <w:shd w:val="clear" w:color="000000" w:fill="FFFFFF"/>
            <w:noWrap/>
            <w:hideMark/>
          </w:tcPr>
          <w:p w14:paraId="1CB0950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54A38C5"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CD3142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35</w:t>
            </w:r>
          </w:p>
        </w:tc>
        <w:tc>
          <w:tcPr>
            <w:tcW w:w="5856" w:type="dxa"/>
            <w:tcBorders>
              <w:top w:val="nil"/>
              <w:left w:val="nil"/>
              <w:bottom w:val="nil"/>
              <w:right w:val="nil"/>
            </w:tcBorders>
            <w:shd w:val="clear" w:color="000000" w:fill="FFFFFF"/>
            <w:noWrap/>
            <w:vAlign w:val="bottom"/>
            <w:hideMark/>
          </w:tcPr>
          <w:p w14:paraId="38B861E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Ethics</w:t>
            </w:r>
          </w:p>
        </w:tc>
        <w:tc>
          <w:tcPr>
            <w:tcW w:w="1356" w:type="dxa"/>
            <w:tcBorders>
              <w:top w:val="nil"/>
              <w:left w:val="nil"/>
              <w:bottom w:val="nil"/>
              <w:right w:val="nil"/>
            </w:tcBorders>
            <w:shd w:val="clear" w:color="000000" w:fill="FFFFFF"/>
            <w:noWrap/>
            <w:vAlign w:val="bottom"/>
            <w:hideMark/>
          </w:tcPr>
          <w:p w14:paraId="148F9C1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1982 </w:t>
            </w:r>
          </w:p>
        </w:tc>
        <w:tc>
          <w:tcPr>
            <w:tcW w:w="1608" w:type="dxa"/>
            <w:tcBorders>
              <w:top w:val="nil"/>
              <w:left w:val="nil"/>
              <w:bottom w:val="nil"/>
              <w:right w:val="single" w:sz="8" w:space="0" w:color="auto"/>
            </w:tcBorders>
            <w:shd w:val="clear" w:color="000000" w:fill="FFFFFF"/>
            <w:noWrap/>
            <w:vAlign w:val="bottom"/>
            <w:hideMark/>
          </w:tcPr>
          <w:p w14:paraId="64636C9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936856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1B70BBD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36</w:t>
            </w:r>
          </w:p>
        </w:tc>
        <w:tc>
          <w:tcPr>
            <w:tcW w:w="5856" w:type="dxa"/>
            <w:tcBorders>
              <w:top w:val="nil"/>
              <w:left w:val="nil"/>
              <w:bottom w:val="nil"/>
              <w:right w:val="nil"/>
            </w:tcBorders>
            <w:shd w:val="clear" w:color="000000" w:fill="FFFFFF"/>
            <w:noWrap/>
            <w:hideMark/>
          </w:tcPr>
          <w:p w14:paraId="4EE27AD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Contemporary Accounting and Economics</w:t>
            </w:r>
          </w:p>
        </w:tc>
        <w:tc>
          <w:tcPr>
            <w:tcW w:w="1356" w:type="dxa"/>
            <w:tcBorders>
              <w:top w:val="nil"/>
              <w:left w:val="nil"/>
              <w:bottom w:val="nil"/>
              <w:right w:val="nil"/>
            </w:tcBorders>
            <w:shd w:val="clear" w:color="000000" w:fill="FFFFFF"/>
            <w:noWrap/>
            <w:hideMark/>
          </w:tcPr>
          <w:p w14:paraId="618EBD1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2005 </w:t>
            </w:r>
          </w:p>
        </w:tc>
        <w:tc>
          <w:tcPr>
            <w:tcW w:w="1608" w:type="dxa"/>
            <w:tcBorders>
              <w:top w:val="nil"/>
              <w:left w:val="nil"/>
              <w:bottom w:val="nil"/>
              <w:right w:val="single" w:sz="8" w:space="0" w:color="auto"/>
            </w:tcBorders>
            <w:shd w:val="clear" w:color="000000" w:fill="FFFFFF"/>
            <w:noWrap/>
            <w:hideMark/>
          </w:tcPr>
          <w:p w14:paraId="3BF88C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5C30A260"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4BA78BC4"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37</w:t>
            </w:r>
          </w:p>
        </w:tc>
        <w:tc>
          <w:tcPr>
            <w:tcW w:w="5856" w:type="dxa"/>
            <w:tcBorders>
              <w:top w:val="nil"/>
              <w:left w:val="nil"/>
              <w:bottom w:val="nil"/>
              <w:right w:val="nil"/>
            </w:tcBorders>
            <w:shd w:val="clear" w:color="000000" w:fill="FFFFFF"/>
            <w:noWrap/>
            <w:hideMark/>
          </w:tcPr>
          <w:p w14:paraId="75A9BA8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International Accounting Research</w:t>
            </w:r>
          </w:p>
        </w:tc>
        <w:tc>
          <w:tcPr>
            <w:tcW w:w="1356" w:type="dxa"/>
            <w:tcBorders>
              <w:top w:val="nil"/>
              <w:left w:val="nil"/>
              <w:bottom w:val="nil"/>
              <w:right w:val="nil"/>
            </w:tcBorders>
            <w:shd w:val="clear" w:color="000000" w:fill="FFFFFF"/>
            <w:noWrap/>
            <w:hideMark/>
          </w:tcPr>
          <w:p w14:paraId="0B652B6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2002 </w:t>
            </w:r>
          </w:p>
        </w:tc>
        <w:tc>
          <w:tcPr>
            <w:tcW w:w="1608" w:type="dxa"/>
            <w:tcBorders>
              <w:top w:val="nil"/>
              <w:left w:val="nil"/>
              <w:bottom w:val="nil"/>
              <w:right w:val="single" w:sz="8" w:space="0" w:color="auto"/>
            </w:tcBorders>
            <w:shd w:val="clear" w:color="000000" w:fill="FFFFFF"/>
            <w:noWrap/>
            <w:hideMark/>
          </w:tcPr>
          <w:p w14:paraId="433ED2F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r w:rsidR="004E4F5C" w:rsidRPr="004E4F5C" w14:paraId="10F22AD4"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50D229BF"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38</w:t>
            </w:r>
          </w:p>
        </w:tc>
        <w:tc>
          <w:tcPr>
            <w:tcW w:w="5856" w:type="dxa"/>
            <w:tcBorders>
              <w:top w:val="nil"/>
              <w:left w:val="nil"/>
              <w:bottom w:val="nil"/>
              <w:right w:val="nil"/>
            </w:tcBorders>
            <w:shd w:val="clear" w:color="000000" w:fill="FFFFFF"/>
            <w:noWrap/>
            <w:hideMark/>
          </w:tcPr>
          <w:p w14:paraId="29985B4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Managerial Auditing Journal</w:t>
            </w:r>
          </w:p>
        </w:tc>
        <w:tc>
          <w:tcPr>
            <w:tcW w:w="1356" w:type="dxa"/>
            <w:tcBorders>
              <w:top w:val="nil"/>
              <w:left w:val="nil"/>
              <w:bottom w:val="nil"/>
              <w:right w:val="nil"/>
            </w:tcBorders>
            <w:shd w:val="clear" w:color="000000" w:fill="FFFFFF"/>
            <w:noWrap/>
            <w:hideMark/>
          </w:tcPr>
          <w:p w14:paraId="54F38DC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1986 </w:t>
            </w:r>
          </w:p>
        </w:tc>
        <w:tc>
          <w:tcPr>
            <w:tcW w:w="1608" w:type="dxa"/>
            <w:tcBorders>
              <w:top w:val="nil"/>
              <w:left w:val="nil"/>
              <w:bottom w:val="nil"/>
              <w:right w:val="single" w:sz="8" w:space="0" w:color="auto"/>
            </w:tcBorders>
            <w:shd w:val="clear" w:color="000000" w:fill="FFFFFF"/>
            <w:noWrap/>
            <w:hideMark/>
          </w:tcPr>
          <w:p w14:paraId="1E9338A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38620BCA"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3561C2A9"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39</w:t>
            </w:r>
          </w:p>
        </w:tc>
        <w:tc>
          <w:tcPr>
            <w:tcW w:w="5856" w:type="dxa"/>
            <w:tcBorders>
              <w:top w:val="nil"/>
              <w:left w:val="nil"/>
              <w:bottom w:val="nil"/>
              <w:right w:val="nil"/>
            </w:tcBorders>
            <w:shd w:val="clear" w:color="000000" w:fill="FFFFFF"/>
            <w:noWrap/>
            <w:hideMark/>
          </w:tcPr>
          <w:p w14:paraId="0275975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Meditari Accountancy Research</w:t>
            </w:r>
          </w:p>
        </w:tc>
        <w:tc>
          <w:tcPr>
            <w:tcW w:w="1356" w:type="dxa"/>
            <w:tcBorders>
              <w:top w:val="nil"/>
              <w:left w:val="nil"/>
              <w:bottom w:val="nil"/>
              <w:right w:val="nil"/>
            </w:tcBorders>
            <w:shd w:val="clear" w:color="000000" w:fill="FFFFFF"/>
            <w:noWrap/>
            <w:hideMark/>
          </w:tcPr>
          <w:p w14:paraId="743C15E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1993 </w:t>
            </w:r>
          </w:p>
        </w:tc>
        <w:tc>
          <w:tcPr>
            <w:tcW w:w="1608" w:type="dxa"/>
            <w:tcBorders>
              <w:top w:val="nil"/>
              <w:left w:val="nil"/>
              <w:bottom w:val="nil"/>
              <w:right w:val="single" w:sz="8" w:space="0" w:color="auto"/>
            </w:tcBorders>
            <w:shd w:val="clear" w:color="000000" w:fill="FFFFFF"/>
            <w:noWrap/>
            <w:hideMark/>
          </w:tcPr>
          <w:p w14:paraId="4020762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4CB3804C" w14:textId="77777777" w:rsidTr="00B44024">
        <w:trPr>
          <w:trHeight w:val="315"/>
        </w:trPr>
        <w:tc>
          <w:tcPr>
            <w:tcW w:w="368" w:type="dxa"/>
            <w:tcBorders>
              <w:top w:val="nil"/>
              <w:left w:val="single" w:sz="8" w:space="0" w:color="auto"/>
              <w:bottom w:val="nil"/>
              <w:right w:val="nil"/>
            </w:tcBorders>
            <w:shd w:val="clear" w:color="000000" w:fill="FFFFFF"/>
            <w:noWrap/>
            <w:vAlign w:val="bottom"/>
            <w:hideMark/>
          </w:tcPr>
          <w:p w14:paraId="246B18C1"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40</w:t>
            </w:r>
          </w:p>
        </w:tc>
        <w:tc>
          <w:tcPr>
            <w:tcW w:w="5856" w:type="dxa"/>
            <w:tcBorders>
              <w:top w:val="nil"/>
              <w:left w:val="nil"/>
              <w:bottom w:val="nil"/>
              <w:right w:val="nil"/>
            </w:tcBorders>
            <w:shd w:val="clear" w:color="000000" w:fill="FFFFFF"/>
            <w:noWrap/>
            <w:hideMark/>
          </w:tcPr>
          <w:p w14:paraId="3BA16BD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Qualitative Research in Accounting and Management</w:t>
            </w:r>
          </w:p>
        </w:tc>
        <w:tc>
          <w:tcPr>
            <w:tcW w:w="1356" w:type="dxa"/>
            <w:tcBorders>
              <w:top w:val="nil"/>
              <w:left w:val="nil"/>
              <w:bottom w:val="nil"/>
              <w:right w:val="nil"/>
            </w:tcBorders>
            <w:shd w:val="clear" w:color="000000" w:fill="FFFFFF"/>
            <w:noWrap/>
            <w:hideMark/>
          </w:tcPr>
          <w:p w14:paraId="3AB22A9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2004 </w:t>
            </w:r>
          </w:p>
        </w:tc>
        <w:tc>
          <w:tcPr>
            <w:tcW w:w="1608" w:type="dxa"/>
            <w:tcBorders>
              <w:top w:val="nil"/>
              <w:left w:val="nil"/>
              <w:bottom w:val="nil"/>
              <w:right w:val="single" w:sz="8" w:space="0" w:color="auto"/>
            </w:tcBorders>
            <w:shd w:val="clear" w:color="000000" w:fill="FFFFFF"/>
            <w:noWrap/>
            <w:hideMark/>
          </w:tcPr>
          <w:p w14:paraId="60197BE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w:t>
            </w:r>
          </w:p>
        </w:tc>
      </w:tr>
      <w:tr w:rsidR="004E4F5C" w:rsidRPr="004E4F5C" w14:paraId="7EE39FCD" w14:textId="77777777" w:rsidTr="00B44024">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1D4DB79B" w14:textId="77777777" w:rsidR="004E4F5C" w:rsidRPr="004E4F5C" w:rsidRDefault="004E4F5C" w:rsidP="004E4F5C">
            <w:pPr>
              <w:spacing w:after="0" w:line="240" w:lineRule="auto"/>
              <w:jc w:val="right"/>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41</w:t>
            </w:r>
          </w:p>
        </w:tc>
        <w:tc>
          <w:tcPr>
            <w:tcW w:w="5856" w:type="dxa"/>
            <w:tcBorders>
              <w:top w:val="nil"/>
              <w:left w:val="nil"/>
              <w:bottom w:val="single" w:sz="8" w:space="0" w:color="auto"/>
              <w:right w:val="nil"/>
            </w:tcBorders>
            <w:shd w:val="clear" w:color="000000" w:fill="FFFFFF"/>
            <w:noWrap/>
            <w:hideMark/>
          </w:tcPr>
          <w:p w14:paraId="49898089"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International Journal of Accounting</w:t>
            </w:r>
          </w:p>
        </w:tc>
        <w:tc>
          <w:tcPr>
            <w:tcW w:w="1356" w:type="dxa"/>
            <w:tcBorders>
              <w:top w:val="nil"/>
              <w:left w:val="nil"/>
              <w:bottom w:val="single" w:sz="8" w:space="0" w:color="auto"/>
              <w:right w:val="nil"/>
            </w:tcBorders>
            <w:shd w:val="clear" w:color="000000" w:fill="FFFFFF"/>
            <w:noWrap/>
            <w:hideMark/>
          </w:tcPr>
          <w:p w14:paraId="3B14EFB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2D3C570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xml:space="preserve">A </w:t>
            </w:r>
          </w:p>
        </w:tc>
      </w:tr>
    </w:tbl>
    <w:p w14:paraId="7D7669C4" w14:textId="77777777" w:rsidR="004E4F5C" w:rsidRPr="004E4F5C" w:rsidRDefault="004E4F5C" w:rsidP="004E4F5C">
      <w:pPr>
        <w:spacing w:after="0" w:line="240" w:lineRule="auto"/>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Table 2. Top accounting journals (based on ABDC lists)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ABDC (2022)</w:t>
      </w:r>
    </w:p>
    <w:p w14:paraId="42C46C6E" w14:textId="77777777" w:rsidR="004E4F5C" w:rsidRPr="004E4F5C" w:rsidRDefault="004E4F5C" w:rsidP="004E4F5C">
      <w:pPr>
        <w:spacing w:after="0" w:line="240" w:lineRule="auto"/>
        <w:ind w:firstLine="420"/>
        <w:rPr>
          <w:rFonts w:ascii="Times New Roman" w:eastAsia="Times New Roman" w:hAnsi="Times New Roman" w:cs="Times New Roman"/>
          <w:kern w:val="0"/>
          <w14:ligatures w14:val="none"/>
        </w:rPr>
      </w:pPr>
    </w:p>
    <w:p w14:paraId="048084E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article selection protocol was pilot-tested in early 2025 to refine keyword combinations and inclusion criteria. Final database searches in November 2025 yielded 3,551 records (Scopus: 961; EBSCO: 915; ProQuest: 913; Web of Science: 762). Following PRISMA guidance (Page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2021), as illustrated in Figure 1, we applied ABDC quality filters and performed manual, line-by-line deduplication via EndNote. This initial screening reduced the corpus to 176 unique records. During abstract review, an additional 52 studies were excluded (35 non-empirical; 17 marginally relevant), resulting in a final dataset of 124 empirical studies for full-text analysis.</w:t>
      </w:r>
      <w:r w:rsidRPr="004E4F5C">
        <w:rPr>
          <w:rFonts w:ascii="Times New Roman" w:eastAsia="Times New Roman" w:hAnsi="Times New Roman" w:cs="Times New Roman"/>
          <w:kern w:val="0"/>
          <w14:ligatures w14:val="none"/>
        </w:rPr>
        <w:br w:type="page"/>
      </w:r>
    </w:p>
    <w:p w14:paraId="5177CD63"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r w:rsidRPr="004E4F5C">
        <w:rPr>
          <w:rFonts w:ascii="Times New Roman" w:eastAsia="Times New Roman" w:hAnsi="Times New Roman" w:cs="Times New Roman"/>
          <w:noProof/>
          <w:kern w:val="0"/>
          <w:highlight w:val="yellow"/>
          <w14:ligatures w14:val="none"/>
        </w:rPr>
        <w:lastRenderedPageBreak/>
        <mc:AlternateContent>
          <mc:Choice Requires="wps">
            <w:drawing>
              <wp:anchor distT="0" distB="0" distL="114300" distR="114300" simplePos="0" relativeHeight="251672576" behindDoc="0" locked="0" layoutInCell="1" allowOverlap="1" wp14:anchorId="72386C4C" wp14:editId="799FA37B">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a:solidFill>
                          <a:srgbClr val="0F9ED5"/>
                        </a:solidFill>
                        <a:ln w="12700" cap="flat" cmpd="sng" algn="ctr">
                          <a:solidFill>
                            <a:srgbClr val="0F9ED5">
                              <a:shade val="50000"/>
                            </a:srgbClr>
                          </a:solidFill>
                          <a:prstDash val="solid"/>
                          <a:miter lim="800000"/>
                        </a:ln>
                        <a:effectLst/>
                      </wps:spPr>
                      <wps:txbx>
                        <w:txbxContent>
                          <w:p w14:paraId="619E7B1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386C4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" fillcolor="#0f9ed5" strokecolor="#08739c" strokeweight="1pt">
                <v:textbox>
                  <w:txbxContent>
                    <w:p w14:paraId="619E7B1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 of studies via databases and registers</w:t>
                      </w:r>
                    </w:p>
                  </w:txbxContent>
                </v:textbox>
              </v:shape>
            </w:pict>
          </mc:Fallback>
        </mc:AlternateContent>
      </w:r>
    </w:p>
    <w:p w14:paraId="7C0F3AA2"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p>
    <w:p w14:paraId="6F4959B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C041E97"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59264" behindDoc="0" locked="0" layoutInCell="1" allowOverlap="1" wp14:anchorId="7C4F99E5" wp14:editId="14CFDBE8">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w="12700" cap="flat" cmpd="sng" algn="ctr">
                          <a:solidFill>
                            <a:sysClr val="windowText" lastClr="000000"/>
                          </a:solidFill>
                          <a:prstDash val="solid"/>
                          <a:miter lim="800000"/>
                        </a:ln>
                        <a:effectLst/>
                      </wps:spPr>
                      <wps:txbx>
                        <w:txbxContent>
                          <w:p w14:paraId="395C96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identified from:</w:t>
                            </w:r>
                          </w:p>
                          <w:p w14:paraId="3002E947"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Scopus (n = 961)</w:t>
                            </w:r>
                          </w:p>
                          <w:p w14:paraId="7ABC05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EBSCO (n = 915)</w:t>
                            </w:r>
                          </w:p>
                          <w:p w14:paraId="1A3C840F"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WoS (n = 762)</w:t>
                            </w:r>
                          </w:p>
                          <w:p w14:paraId="1EA2EC06"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ProQuest (n = 913)</w:t>
                            </w:r>
                          </w:p>
                          <w:p w14:paraId="6B455AF9" w14:textId="77777777" w:rsidR="004E4F5C" w:rsidRPr="004E4F5C" w:rsidRDefault="004E4F5C" w:rsidP="004E4F5C">
                            <w:pPr>
                              <w:ind w:left="284"/>
                              <w:rPr>
                                <w:rFonts w:ascii="Arial" w:hAnsi="Arial" w:cs="Arial"/>
                                <w:b/>
                                <w:bCs/>
                                <w:color w:val="000000"/>
                                <w:sz w:val="18"/>
                                <w:szCs w:val="20"/>
                              </w:rPr>
                            </w:pPr>
                            <w:r w:rsidRPr="004E4F5C">
                              <w:rPr>
                                <w:rFonts w:ascii="Arial" w:hAnsi="Arial" w:cs="Arial"/>
                                <w:b/>
                                <w:bCs/>
                                <w:color w:val="000000"/>
                                <w:sz w:val="18"/>
                                <w:szCs w:val="20"/>
                              </w:rPr>
                              <w:t>Total (n = 3551)</w:t>
                            </w:r>
                          </w:p>
                          <w:p w14:paraId="5EBFF685" w14:textId="77777777" w:rsidR="004E4F5C" w:rsidRPr="004E4F5C" w:rsidRDefault="004E4F5C" w:rsidP="004E4F5C">
                            <w:pPr>
                              <w:ind w:left="284"/>
                              <w:rPr>
                                <w:rFonts w:ascii="Arial" w:hAnsi="Arial" w:cs="Arial"/>
                                <w:color w:val="000000"/>
                                <w:sz w:val="18"/>
                                <w:szCs w:val="20"/>
                              </w:rPr>
                            </w:pPr>
                          </w:p>
                          <w:p w14:paraId="05613419" w14:textId="77777777" w:rsidR="004E4F5C" w:rsidRPr="004E4F5C" w:rsidRDefault="004E4F5C" w:rsidP="004E4F5C">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F99E5" id="Rectangle 2085532282" o:spid="_x0000_s1027" style="position:absolute;margin-left:44.2pt;margin-top:1pt;width:148.6pt;height:10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" filled="f" strokecolor="windowText" strokeweight="1pt">
                <v:textbox>
                  <w:txbxContent>
                    <w:p w14:paraId="395C96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identified from:</w:t>
                      </w:r>
                    </w:p>
                    <w:p w14:paraId="3002E947"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Scopus (n = 961)</w:t>
                      </w:r>
                    </w:p>
                    <w:p w14:paraId="7ABC05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EBSCO (n = 915)</w:t>
                      </w:r>
                    </w:p>
                    <w:p w14:paraId="1A3C840F"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WoS (n = 762)</w:t>
                      </w:r>
                    </w:p>
                    <w:p w14:paraId="1EA2EC06"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ProQuest (n = 913)</w:t>
                      </w:r>
                    </w:p>
                    <w:p w14:paraId="6B455AF9" w14:textId="77777777" w:rsidR="004E4F5C" w:rsidRPr="004E4F5C" w:rsidRDefault="004E4F5C" w:rsidP="004E4F5C">
                      <w:pPr>
                        <w:ind w:left="284"/>
                        <w:rPr>
                          <w:rFonts w:ascii="Arial" w:hAnsi="Arial" w:cs="Arial"/>
                          <w:b/>
                          <w:bCs/>
                          <w:color w:val="000000"/>
                          <w:sz w:val="18"/>
                          <w:szCs w:val="20"/>
                        </w:rPr>
                      </w:pPr>
                      <w:r w:rsidRPr="004E4F5C">
                        <w:rPr>
                          <w:rFonts w:ascii="Arial" w:hAnsi="Arial" w:cs="Arial"/>
                          <w:b/>
                          <w:bCs/>
                          <w:color w:val="000000"/>
                          <w:sz w:val="18"/>
                          <w:szCs w:val="20"/>
                        </w:rPr>
                        <w:t>Total (n = 3551)</w:t>
                      </w:r>
                    </w:p>
                    <w:p w14:paraId="5EBFF685" w14:textId="77777777" w:rsidR="004E4F5C" w:rsidRPr="004E4F5C" w:rsidRDefault="004E4F5C" w:rsidP="004E4F5C">
                      <w:pPr>
                        <w:ind w:left="284"/>
                        <w:rPr>
                          <w:rFonts w:ascii="Arial" w:hAnsi="Arial" w:cs="Arial"/>
                          <w:color w:val="000000"/>
                          <w:sz w:val="18"/>
                          <w:szCs w:val="20"/>
                        </w:rPr>
                      </w:pPr>
                    </w:p>
                    <w:p w14:paraId="05613419" w14:textId="77777777" w:rsidR="004E4F5C" w:rsidRPr="004E4F5C" w:rsidRDefault="004E4F5C" w:rsidP="004E4F5C">
                      <w:pPr>
                        <w:ind w:left="284"/>
                        <w:rPr>
                          <w:rFonts w:ascii="Arial" w:hAnsi="Arial" w:cs="Arial"/>
                          <w:color w:val="000000"/>
                          <w:sz w:val="18"/>
                          <w:szCs w:val="20"/>
                        </w:rPr>
                      </w:pP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0288" behindDoc="0" locked="0" layoutInCell="1" allowOverlap="1" wp14:anchorId="0534148C" wp14:editId="3A04FA5A">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w="12700" cap="flat" cmpd="sng" algn="ctr">
                          <a:solidFill>
                            <a:sysClr val="windowText" lastClr="000000"/>
                          </a:solidFill>
                          <a:prstDash val="solid"/>
                          <a:miter lim="800000"/>
                        </a:ln>
                        <a:effectLst/>
                      </wps:spPr>
                      <wps:txbx>
                        <w:txbxContent>
                          <w:p w14:paraId="2747F9F2"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 xml:space="preserve">Records removed </w:t>
                            </w:r>
                            <w:r w:rsidRPr="004E4F5C">
                              <w:rPr>
                                <w:rFonts w:ascii="Arial" w:hAnsi="Arial" w:cs="Arial"/>
                                <w:i/>
                                <w:iCs/>
                                <w:color w:val="000000"/>
                                <w:sz w:val="18"/>
                                <w:szCs w:val="20"/>
                              </w:rPr>
                              <w:t>before screening</w:t>
                            </w:r>
                            <w:r w:rsidRPr="004E4F5C">
                              <w:rPr>
                                <w:rFonts w:ascii="Arial" w:hAnsi="Arial" w:cs="Arial"/>
                                <w:color w:val="000000"/>
                                <w:sz w:val="18"/>
                                <w:szCs w:val="20"/>
                              </w:rPr>
                              <w:t>:</w:t>
                            </w:r>
                          </w:p>
                          <w:p w14:paraId="0F4C802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Records marked as ineligible due to Journal quality (n = 3135)</w:t>
                            </w:r>
                          </w:p>
                          <w:p w14:paraId="04DDE7D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Duplicate records removed (n = 252)</w:t>
                            </w:r>
                          </w:p>
                          <w:p w14:paraId="5014AE86" w14:textId="77777777" w:rsidR="004E4F5C" w:rsidRPr="004E4F5C" w:rsidRDefault="004E4F5C" w:rsidP="004E4F5C">
                            <w:pPr>
                              <w:ind w:left="284"/>
                              <w:rPr>
                                <w:rFonts w:ascii="Arial" w:hAnsi="Arial" w:cs="Arial"/>
                                <w:color w:val="000000"/>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4148C" id="Rectangle 252070438" o:spid="_x0000_s1028" style="position:absolute;margin-left:239.4pt;margin-top:.85pt;width:178.3pt;height:10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" filled="f" strokecolor="windowText" strokeweight="1pt">
                <v:textbox>
                  <w:txbxContent>
                    <w:p w14:paraId="2747F9F2"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 xml:space="preserve">Records removed </w:t>
                      </w:r>
                      <w:r w:rsidRPr="004E4F5C">
                        <w:rPr>
                          <w:rFonts w:ascii="Arial" w:hAnsi="Arial" w:cs="Arial"/>
                          <w:i/>
                          <w:iCs/>
                          <w:color w:val="000000"/>
                          <w:sz w:val="18"/>
                          <w:szCs w:val="20"/>
                        </w:rPr>
                        <w:t>before screening</w:t>
                      </w:r>
                      <w:r w:rsidRPr="004E4F5C">
                        <w:rPr>
                          <w:rFonts w:ascii="Arial" w:hAnsi="Arial" w:cs="Arial"/>
                          <w:color w:val="000000"/>
                          <w:sz w:val="18"/>
                          <w:szCs w:val="20"/>
                        </w:rPr>
                        <w:t>:</w:t>
                      </w:r>
                    </w:p>
                    <w:p w14:paraId="0F4C802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Records marked as ineligible due to Journal quality (n = 3135)</w:t>
                      </w:r>
                    </w:p>
                    <w:p w14:paraId="04DDE7DD"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Duplicate records removed (n = 252)</w:t>
                      </w:r>
                    </w:p>
                    <w:p w14:paraId="5014AE86" w14:textId="77777777" w:rsidR="004E4F5C" w:rsidRPr="004E4F5C" w:rsidRDefault="004E4F5C" w:rsidP="004E4F5C">
                      <w:pPr>
                        <w:ind w:left="284"/>
                        <w:rPr>
                          <w:rFonts w:ascii="Arial" w:hAnsi="Arial" w:cs="Arial"/>
                          <w:color w:val="000000"/>
                          <w:sz w:val="18"/>
                          <w:szCs w:val="20"/>
                        </w:rPr>
                      </w:pPr>
                    </w:p>
                  </w:txbxContent>
                </v:textbox>
              </v:rect>
            </w:pict>
          </mc:Fallback>
        </mc:AlternateContent>
      </w:r>
    </w:p>
    <w:p w14:paraId="751687F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3600" behindDoc="0" locked="0" layoutInCell="1" allowOverlap="1" wp14:anchorId="6C053113" wp14:editId="1E3892B3">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51B321C1"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53113" id="Flowchart: Alternate Process 1275149529"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" fillcolor="#d86ecc" strokecolor="windowText" strokeweight="1pt">
                <v:textbox>
                  <w:txbxContent>
                    <w:p w14:paraId="51B321C1"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Identification</w:t>
                      </w:r>
                    </w:p>
                  </w:txbxContent>
                </v:textbox>
              </v:shape>
            </w:pict>
          </mc:Fallback>
        </mc:AlternateContent>
      </w:r>
    </w:p>
    <w:p w14:paraId="7C6A9AA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20BB814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8480" behindDoc="0" locked="0" layoutInCell="1" allowOverlap="1" wp14:anchorId="7B60ACF9" wp14:editId="46D8C564">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20EC2C57"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" strokecolor="windowText" strokeweight=".5pt">
                <v:stroke endarrow="block" joinstyle="miter"/>
              </v:shape>
            </w:pict>
          </mc:Fallback>
        </mc:AlternateContent>
      </w:r>
    </w:p>
    <w:p w14:paraId="545BA32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A8F4D56"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696B63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1ED9D50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6672" behindDoc="0" locked="0" layoutInCell="1" allowOverlap="1" wp14:anchorId="05196DC4" wp14:editId="3B94A2EA">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7EE489" id="Straight Arrow Connector 1787916010" o:spid="_x0000_s1026" type="#_x0000_t32" style="position:absolute;margin-left:110.25pt;margin-top:1.2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" strokecolor="windowText" strokeweight=".5pt">
                <v:stroke endarrow="block" joinstyle="miter"/>
              </v:shape>
            </w:pict>
          </mc:Fallback>
        </mc:AlternateContent>
      </w:r>
    </w:p>
    <w:p w14:paraId="25CED825"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2336" behindDoc="0" locked="0" layoutInCell="1" allowOverlap="1" wp14:anchorId="503AB303" wp14:editId="76F26948">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w="12700" cap="flat" cmpd="sng" algn="ctr">
                          <a:solidFill>
                            <a:sysClr val="windowText" lastClr="000000"/>
                          </a:solidFill>
                          <a:prstDash val="solid"/>
                          <a:miter lim="800000"/>
                        </a:ln>
                        <a:effectLst/>
                      </wps:spPr>
                      <wps:txbx>
                        <w:txbxContent>
                          <w:p w14:paraId="2FB506CA"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excluded</w:t>
                            </w:r>
                          </w:p>
                          <w:p w14:paraId="4ED241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Non-empirical (n = 35)</w:t>
                            </w:r>
                          </w:p>
                          <w:p w14:paraId="732049F0"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Departed from the topic (n = 17)</w:t>
                            </w:r>
                          </w:p>
                          <w:p w14:paraId="38C17F03" w14:textId="77777777" w:rsidR="004E4F5C" w:rsidRPr="004E4F5C" w:rsidRDefault="004E4F5C" w:rsidP="004E4F5C">
                            <w:pPr>
                              <w:rPr>
                                <w:rFonts w:ascii="Arial" w:hAnsi="Arial" w:cs="Arial"/>
                                <w:b/>
                                <w:bCs/>
                                <w:color w:val="000000"/>
                                <w:sz w:val="18"/>
                                <w:szCs w:val="20"/>
                              </w:rPr>
                            </w:pPr>
                            <w:r w:rsidRPr="004E4F5C">
                              <w:rPr>
                                <w:rFonts w:ascii="Arial" w:hAnsi="Arial" w:cs="Arial"/>
                                <w:b/>
                                <w:bCs/>
                                <w:color w:val="000000"/>
                                <w:sz w:val="18"/>
                                <w:szCs w:val="20"/>
                              </w:rPr>
                              <w:t>Total (n = 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B303" id="Rectangle 614985903" o:spid="_x0000_s1030" style="position:absolute;margin-left:240.3pt;margin-top:5.9pt;width:146.85pt;height: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" filled="f" strokecolor="windowText" strokeweight="1pt">
                <v:textbox>
                  <w:txbxContent>
                    <w:p w14:paraId="2FB506CA"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excluded</w:t>
                      </w:r>
                    </w:p>
                    <w:p w14:paraId="4ED241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Non-empirical (n = 35)</w:t>
                      </w:r>
                    </w:p>
                    <w:p w14:paraId="732049F0"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Departed from the topic (n = 17)</w:t>
                      </w:r>
                    </w:p>
                    <w:p w14:paraId="38C17F03" w14:textId="77777777" w:rsidR="004E4F5C" w:rsidRPr="004E4F5C" w:rsidRDefault="004E4F5C" w:rsidP="004E4F5C">
                      <w:pPr>
                        <w:rPr>
                          <w:rFonts w:ascii="Arial" w:hAnsi="Arial" w:cs="Arial"/>
                          <w:b/>
                          <w:bCs/>
                          <w:color w:val="000000"/>
                          <w:sz w:val="18"/>
                          <w:szCs w:val="20"/>
                        </w:rPr>
                      </w:pPr>
                      <w:r w:rsidRPr="004E4F5C">
                        <w:rPr>
                          <w:rFonts w:ascii="Arial" w:hAnsi="Arial" w:cs="Arial"/>
                          <w:b/>
                          <w:bCs/>
                          <w:color w:val="000000"/>
                          <w:sz w:val="18"/>
                          <w:szCs w:val="20"/>
                        </w:rPr>
                        <w:t>Total (n = 52)</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9504" behindDoc="0" locked="0" layoutInCell="1" allowOverlap="1" wp14:anchorId="4CBDDE46" wp14:editId="2B050BA8">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5838C86" id="Straight Arrow Connector 1659215031"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" strokecolor="windowText" strokeweight=".5pt">
                <v:stroke endarrow="block" joinstyle="miter"/>
              </v:shape>
            </w:pict>
          </mc:Fallback>
        </mc:AlternateContent>
      </w:r>
    </w:p>
    <w:p w14:paraId="0B46D26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1312" behindDoc="0" locked="0" layoutInCell="1" allowOverlap="1" wp14:anchorId="7B9CF8E8" wp14:editId="5005C40E">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4D745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screened</w:t>
                            </w:r>
                          </w:p>
                          <w:p w14:paraId="218A949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CF8E8" id="Rectangle 1668977724" o:spid="_x0000_s1031" style="position:absolute;margin-left:44.05pt;margin-top:1.1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7d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" filled="f" strokecolor="windowText" strokeweight="1pt">
                <v:textbox>
                  <w:txbxContent>
                    <w:p w14:paraId="14D7454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Records screened</w:t>
                      </w:r>
                    </w:p>
                    <w:p w14:paraId="218A949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176)</w:t>
                      </w:r>
                    </w:p>
                  </w:txbxContent>
                </v:textbox>
              </v:rect>
            </w:pict>
          </mc:Fallback>
        </mc:AlternateContent>
      </w:r>
    </w:p>
    <w:p w14:paraId="37031795"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0CAC7843"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7696" behindDoc="0" locked="0" layoutInCell="1" allowOverlap="1" wp14:anchorId="083F3CF5" wp14:editId="7D123DBF">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771718C" id="Straight Arrow Connector 930445358" o:spid="_x0000_s1026" type="#_x0000_t32" style="position:absolute;margin-left:110.25pt;margin-top:13.3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" strokecolor="windowText" strokeweight=".5pt">
                <v:stroke endarrow="block" joinstyle="miter"/>
              </v:shape>
            </w:pict>
          </mc:Fallback>
        </mc:AlternateContent>
      </w:r>
    </w:p>
    <w:p w14:paraId="4F8E609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241CF1F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3360" behindDoc="0" locked="0" layoutInCell="1" allowOverlap="1" wp14:anchorId="3FD7B1D0" wp14:editId="50CD41E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3F9735D4"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sought for retrieval</w:t>
                            </w:r>
                          </w:p>
                          <w:p w14:paraId="26F8D9A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7B1D0" id="Rectangle 758070166"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CeQ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" filled="f" strokecolor="windowText" strokeweight="1pt">
                <v:textbox>
                  <w:txbxContent>
                    <w:p w14:paraId="3F9735D4"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sought for retrieval</w:t>
                      </w:r>
                    </w:p>
                    <w:p w14:paraId="26F8D9A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4624" behindDoc="0" locked="0" layoutInCell="1" allowOverlap="1" wp14:anchorId="6D66A78A" wp14:editId="16364ACD">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3711A9E6"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Screening</w:t>
                            </w:r>
                          </w:p>
                          <w:p w14:paraId="3BAFB20C" w14:textId="77777777" w:rsidR="004E4F5C" w:rsidRPr="004E4F5C" w:rsidRDefault="004E4F5C" w:rsidP="004E4F5C">
                            <w:pPr>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6A78A" id="Flowchart: Alternate Process 953307007" o:spid="_x0000_s1033" type="#_x0000_t176" style="position:absolute;margin-left:-91.4pt;margin-top:22.2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" fillcolor="#d86ecc" strokecolor="windowText" strokeweight="1pt">
                <v:textbox>
                  <w:txbxContent>
                    <w:p w14:paraId="3711A9E6"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Screening</w:t>
                      </w:r>
                    </w:p>
                    <w:p w14:paraId="3BAFB20C" w14:textId="77777777" w:rsidR="004E4F5C" w:rsidRPr="004E4F5C" w:rsidRDefault="004E4F5C" w:rsidP="004E4F5C">
                      <w:pPr>
                        <w:rPr>
                          <w:rFonts w:ascii="Arial" w:hAnsi="Arial" w:cs="Arial"/>
                          <w:b/>
                          <w:color w:val="000000"/>
                          <w:sz w:val="18"/>
                          <w:szCs w:val="18"/>
                        </w:rPr>
                      </w:pPr>
                    </w:p>
                  </w:txbxContent>
                </v:textbox>
              </v:shape>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4384" behindDoc="0" locked="0" layoutInCell="1" allowOverlap="1" wp14:anchorId="3BE06314" wp14:editId="2A45D07B">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EDA558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not retrieved</w:t>
                            </w:r>
                          </w:p>
                          <w:p w14:paraId="190F87D1"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06314" id="Rectangle 663639145" o:spid="_x0000_s1034"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" filled="f" strokecolor="windowText" strokeweight="1pt">
                <v:textbox>
                  <w:txbxContent>
                    <w:p w14:paraId="7EDA5583"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not retrieved</w:t>
                      </w:r>
                    </w:p>
                    <w:p w14:paraId="190F87D1"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0)</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0528" behindDoc="0" locked="0" layoutInCell="1" allowOverlap="1" wp14:anchorId="535BCCD5" wp14:editId="03CDF288">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6AB0866" id="Straight Arrow Connector 598454288"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" strokecolor="windowText" strokeweight=".5pt">
                <v:stroke endarrow="block" joinstyle="miter"/>
              </v:shape>
            </w:pict>
          </mc:Fallback>
        </mc:AlternateContent>
      </w:r>
    </w:p>
    <w:p w14:paraId="057BCB3B"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79304DE1"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D289A76"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8720" behindDoc="0" locked="0" layoutInCell="1" allowOverlap="1" wp14:anchorId="0EDDF525" wp14:editId="74124695">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96660A2" id="Straight Arrow Connector 1952356132"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" strokecolor="windowText" strokeweight=".5pt">
                <v:stroke endarrow="block" joinstyle="miter"/>
              </v:shape>
            </w:pict>
          </mc:Fallback>
        </mc:AlternateContent>
      </w:r>
    </w:p>
    <w:p w14:paraId="29BA861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73B72FC4"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6432" behindDoc="0" locked="0" layoutInCell="1" allowOverlap="1" wp14:anchorId="7C2AC088" wp14:editId="0F290BBC">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w="12700" cap="flat" cmpd="sng" algn="ctr">
                          <a:solidFill>
                            <a:sysClr val="windowText" lastClr="000000"/>
                          </a:solidFill>
                          <a:prstDash val="solid"/>
                          <a:miter lim="800000"/>
                        </a:ln>
                        <a:effectLst/>
                      </wps:spPr>
                      <wps:txbx>
                        <w:txbxContent>
                          <w:p w14:paraId="5F7A93AD"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excluded:</w:t>
                            </w:r>
                          </w:p>
                          <w:p w14:paraId="7C8032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C088" id="Rectangle 877149364"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" filled="f" strokecolor="windowText" strokeweight="1pt">
                <v:textbox>
                  <w:txbxContent>
                    <w:p w14:paraId="5F7A93AD"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excluded:</w:t>
                      </w:r>
                    </w:p>
                    <w:p w14:paraId="7C8032EE" w14:textId="77777777" w:rsidR="004E4F5C" w:rsidRPr="004E4F5C" w:rsidRDefault="004E4F5C" w:rsidP="004E4F5C">
                      <w:pPr>
                        <w:ind w:left="284"/>
                        <w:rPr>
                          <w:rFonts w:ascii="Arial" w:hAnsi="Arial" w:cs="Arial"/>
                          <w:color w:val="000000"/>
                          <w:sz w:val="18"/>
                          <w:szCs w:val="20"/>
                        </w:rPr>
                      </w:pPr>
                      <w:r w:rsidRPr="004E4F5C">
                        <w:rPr>
                          <w:rFonts w:ascii="Arial" w:hAnsi="Arial" w:cs="Arial"/>
                          <w:color w:val="000000"/>
                          <w:sz w:val="18"/>
                          <w:szCs w:val="20"/>
                        </w:rPr>
                        <w:t>No further exclusions.</w:t>
                      </w:r>
                    </w:p>
                  </w:txbxContent>
                </v:textbox>
              </v:rect>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1552" behindDoc="0" locked="0" layoutInCell="1" allowOverlap="1" wp14:anchorId="34B3D52F" wp14:editId="72063427">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F43AE99" id="Straight Arrow Connector 694072453"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" strokecolor="windowText" strokeweight=".5pt">
                <v:stroke endarrow="block" joinstyle="miter"/>
              </v:shape>
            </w:pict>
          </mc:Fallback>
        </mc:AlternateContent>
      </w: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5408" behindDoc="0" locked="0" layoutInCell="1" allowOverlap="1" wp14:anchorId="730BB254" wp14:editId="22C52B97">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5C450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assessed for eligibility</w:t>
                            </w:r>
                          </w:p>
                          <w:p w14:paraId="374D8E3B"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BB254" id="Rectangle 146801596"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" filled="f" strokecolor="windowText" strokeweight="1pt">
                <v:textbox>
                  <w:txbxContent>
                    <w:p w14:paraId="65C45068"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assessed for eligibility</w:t>
                      </w:r>
                    </w:p>
                    <w:p w14:paraId="374D8E3B"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p>
    <w:p w14:paraId="55B0655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B2DA807"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1940F6D"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9744" behindDoc="0" locked="0" layoutInCell="1" allowOverlap="1" wp14:anchorId="01260911" wp14:editId="2B36700C">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4695040" id="Straight Arrow Connector 19218700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" strokecolor="windowText" strokeweight=".5pt">
                <v:stroke endarrow="block" joinstyle="miter"/>
              </v:shape>
            </w:pict>
          </mc:Fallback>
        </mc:AlternateContent>
      </w:r>
    </w:p>
    <w:p w14:paraId="38209E3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6637B9A"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1899CEF"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57565C6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67456" behindDoc="0" locked="0" layoutInCell="1" allowOverlap="1" wp14:anchorId="62754FE7" wp14:editId="49874A90">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w="12700" cap="flat" cmpd="sng" algn="ctr">
                          <a:solidFill>
                            <a:sysClr val="windowText" lastClr="000000"/>
                          </a:solidFill>
                          <a:prstDash val="solid"/>
                          <a:miter lim="800000"/>
                        </a:ln>
                        <a:effectLst/>
                      </wps:spPr>
                      <wps:txbx>
                        <w:txbxContent>
                          <w:p w14:paraId="4B29CC6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Studies included in review</w:t>
                            </w:r>
                          </w:p>
                          <w:p w14:paraId="1D93093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p w14:paraId="2CD6857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of included studies</w:t>
                            </w:r>
                          </w:p>
                          <w:p w14:paraId="3CCAD5F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54FE7" id="Rectangle 367046537" o:spid="_x0000_s1037" style="position:absolute;margin-left:42.7pt;margin-top:8.6pt;width:148.6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" filled="f" strokecolor="windowText" strokeweight="1pt">
                <v:textbox>
                  <w:txbxContent>
                    <w:p w14:paraId="4B29CC65"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Studies included in review</w:t>
                      </w:r>
                    </w:p>
                    <w:p w14:paraId="1D93093F"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p w14:paraId="2CD6857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Reports of included studies</w:t>
                      </w:r>
                    </w:p>
                    <w:p w14:paraId="3CCAD5F6" w14:textId="77777777" w:rsidR="004E4F5C" w:rsidRPr="004E4F5C" w:rsidRDefault="004E4F5C" w:rsidP="004E4F5C">
                      <w:pPr>
                        <w:rPr>
                          <w:rFonts w:ascii="Arial" w:hAnsi="Arial" w:cs="Arial"/>
                          <w:color w:val="000000"/>
                          <w:sz w:val="18"/>
                          <w:szCs w:val="20"/>
                        </w:rPr>
                      </w:pPr>
                      <w:r w:rsidRPr="004E4F5C">
                        <w:rPr>
                          <w:rFonts w:ascii="Arial" w:hAnsi="Arial" w:cs="Arial"/>
                          <w:color w:val="000000"/>
                          <w:sz w:val="18"/>
                          <w:szCs w:val="20"/>
                        </w:rPr>
                        <w:t>(n = 124)</w:t>
                      </w:r>
                    </w:p>
                  </w:txbxContent>
                </v:textbox>
              </v:rect>
            </w:pict>
          </mc:Fallback>
        </mc:AlternateContent>
      </w:r>
    </w:p>
    <w:p w14:paraId="2724DF79"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r w:rsidRPr="004E4F5C">
        <w:rPr>
          <w:rFonts w:ascii="Times New Roman" w:eastAsia="Times New Roman" w:hAnsi="Times New Roman" w:cs="Times New Roman"/>
          <w:noProof/>
          <w:kern w:val="0"/>
          <w:sz w:val="20"/>
          <w:szCs w:val="20"/>
          <w:highlight w:val="yellow"/>
          <w14:ligatures w14:val="none"/>
        </w:rPr>
        <mc:AlternateContent>
          <mc:Choice Requires="wps">
            <w:drawing>
              <wp:anchor distT="0" distB="0" distL="114300" distR="114300" simplePos="0" relativeHeight="251675648" behindDoc="0" locked="0" layoutInCell="1" allowOverlap="1" wp14:anchorId="66445F36" wp14:editId="68057FD8">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A02B93">
                            <a:lumMod val="60000"/>
                            <a:lumOff val="40000"/>
                          </a:srgbClr>
                        </a:solidFill>
                        <a:ln w="12700" cap="flat" cmpd="sng" algn="ctr">
                          <a:solidFill>
                            <a:sysClr val="windowText" lastClr="000000"/>
                          </a:solidFill>
                          <a:prstDash val="solid"/>
                          <a:miter lim="800000"/>
                        </a:ln>
                        <a:effectLst/>
                      </wps:spPr>
                      <wps:txbx>
                        <w:txbxContent>
                          <w:p w14:paraId="411E6E7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45F36" id="Flowchart: Alternate Process 109439728"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" fillcolor="#d86ecc" strokecolor="windowText" strokeweight="1pt">
                <v:textbox>
                  <w:txbxContent>
                    <w:p w14:paraId="411E6E74" w14:textId="77777777" w:rsidR="004E4F5C" w:rsidRPr="004E4F5C" w:rsidRDefault="004E4F5C" w:rsidP="004E4F5C">
                      <w:pPr>
                        <w:jc w:val="center"/>
                        <w:rPr>
                          <w:rFonts w:ascii="Arial" w:hAnsi="Arial" w:cs="Arial"/>
                          <w:b/>
                          <w:color w:val="000000"/>
                          <w:sz w:val="18"/>
                          <w:szCs w:val="18"/>
                        </w:rPr>
                      </w:pPr>
                      <w:r w:rsidRPr="004E4F5C">
                        <w:rPr>
                          <w:rFonts w:ascii="Arial" w:hAnsi="Arial" w:cs="Arial"/>
                          <w:b/>
                          <w:color w:val="000000"/>
                          <w:sz w:val="18"/>
                          <w:szCs w:val="18"/>
                        </w:rPr>
                        <w:t>Included</w:t>
                      </w:r>
                    </w:p>
                  </w:txbxContent>
                </v:textbox>
              </v:shape>
            </w:pict>
          </mc:Fallback>
        </mc:AlternateContent>
      </w:r>
    </w:p>
    <w:p w14:paraId="4C9DF3EE"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62A3DC88" w14:textId="77777777" w:rsidR="004E4F5C" w:rsidRPr="004E4F5C" w:rsidRDefault="004E4F5C" w:rsidP="004E4F5C">
      <w:pPr>
        <w:spacing w:after="0" w:line="240" w:lineRule="auto"/>
        <w:rPr>
          <w:rFonts w:ascii="Times New Roman" w:eastAsia="Times New Roman" w:hAnsi="Times New Roman" w:cs="Times New Roman"/>
          <w:kern w:val="0"/>
          <w:sz w:val="20"/>
          <w:szCs w:val="20"/>
          <w:highlight w:val="yellow"/>
          <w14:ligatures w14:val="none"/>
        </w:rPr>
      </w:pPr>
    </w:p>
    <w:p w14:paraId="43503CE6" w14:textId="77777777" w:rsidR="004E4F5C" w:rsidRPr="004E4F5C" w:rsidRDefault="004E4F5C" w:rsidP="004E4F5C">
      <w:pPr>
        <w:spacing w:after="0" w:line="240" w:lineRule="auto"/>
        <w:rPr>
          <w:rFonts w:ascii="Times New Roman" w:eastAsia="Times New Roman" w:hAnsi="Times New Roman" w:cs="Times New Roman"/>
          <w:kern w:val="0"/>
          <w:highlight w:val="yellow"/>
          <w14:ligatures w14:val="none"/>
        </w:rPr>
      </w:pPr>
    </w:p>
    <w:p w14:paraId="783D282E"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p>
    <w:p w14:paraId="5D3B6ABD" w14:textId="77777777" w:rsidR="004E4F5C" w:rsidRPr="004E4F5C" w:rsidRDefault="004E4F5C" w:rsidP="004E4F5C">
      <w:pPr>
        <w:spacing w:after="0" w:line="240" w:lineRule="auto"/>
        <w:ind w:left="360"/>
        <w:contextualSpacing/>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Figure 1: Prisma flowchart of the article search and selection process for systematic review</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 xml:space="preserve">Source: Figure by author, adapted from Page et al. (2021). </w:t>
      </w:r>
      <w:r w:rsidRPr="004E4F5C">
        <w:rPr>
          <w:rFonts w:ascii="Times New Roman" w:eastAsia="Times New Roman" w:hAnsi="Times New Roman" w:cs="Times New Roman"/>
          <w:i/>
          <w:iCs/>
          <w:kern w:val="0"/>
          <w14:ligatures w14:val="none"/>
        </w:rPr>
        <w:br/>
        <w:t>Licensed under CC BY 4.0</w:t>
      </w:r>
    </w:p>
    <w:p w14:paraId="4B7AC294"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kern w:val="0"/>
          <w14:ligatures w14:val="none"/>
        </w:rPr>
      </w:pPr>
    </w:p>
    <w:p w14:paraId="3F879383"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4F32EA12"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6F4A9A70"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Descriptive Results</w:t>
      </w:r>
    </w:p>
    <w:p w14:paraId="1C13BC17"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noProof/>
          <w:kern w:val="0"/>
          <w14:ligatures w14:val="none"/>
        </w:rPr>
        <w:drawing>
          <wp:inline distT="0" distB="0" distL="0" distR="0" wp14:anchorId="36066A85" wp14:editId="2F313D1F">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C238C82" w14:textId="77777777" w:rsidR="004E4F5C" w:rsidRPr="004E4F5C" w:rsidRDefault="004E4F5C" w:rsidP="004E4F5C">
      <w:pPr>
        <w:spacing w:after="0" w:line="240" w:lineRule="auto"/>
        <w:contextualSpacing/>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14:ligatures w14:val="none"/>
        </w:rPr>
        <w:t>Figure 2: annual publication counts by major NFIA research subject domains in top accounting journals (1990 – 2025)</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3AD21C03"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p>
    <w:p w14:paraId="29896F3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 Second, CSR, ESG, and sustainability assurance research experienced exponential growth starting in 2011, becoming the literature's dominant stream. This expansion </w:t>
      </w:r>
      <w:r w:rsidRPr="004E4F5C">
        <w:rPr>
          <w:rFonts w:ascii="Times New Roman" w:eastAsia="Times New Roman" w:hAnsi="Times New Roman" w:cs="Times New Roman"/>
          <w:kern w:val="0"/>
          <w14:ligatures w14:val="none"/>
        </w:rPr>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 Notably, sustainability-related assurance remains at historically high levels, while emerging domains like carbon and GHG auditing persist as significant but smaller niche streams.</w:t>
      </w:r>
    </w:p>
    <w:p w14:paraId="187B64F3" w14:textId="77777777" w:rsidR="004E4F5C" w:rsidRPr="004E4F5C" w:rsidRDefault="004E4F5C" w:rsidP="004E4F5C">
      <w:pPr>
        <w:spacing w:after="0" w:line="240" w:lineRule="auto"/>
        <w:ind w:firstLine="420"/>
        <w:jc w:val="both"/>
        <w:rPr>
          <w:rFonts w:ascii="Times New Roman" w:eastAsia="Times New Roman" w:hAnsi="Times New Roman" w:cs="Times New Roman"/>
          <w:kern w:val="0"/>
          <w14:ligatures w14:val="none"/>
        </w:rPr>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E4F5C" w:rsidRPr="004E4F5C" w14:paraId="5DBC4C81" w14:textId="77777777" w:rsidTr="00B44024">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50DC6FF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33BFCDE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604A6D08"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2245B781"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679DA368"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2592BAEE"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US</w:t>
            </w:r>
          </w:p>
        </w:tc>
        <w:tc>
          <w:tcPr>
            <w:tcW w:w="1286" w:type="dxa"/>
            <w:tcBorders>
              <w:top w:val="single" w:sz="8" w:space="0" w:color="auto"/>
              <w:left w:val="nil"/>
              <w:bottom w:val="single" w:sz="4" w:space="0" w:color="9BC2E6"/>
              <w:right w:val="nil"/>
            </w:tcBorders>
            <w:shd w:val="clear" w:color="DDEBF7" w:fill="BFBFBF"/>
            <w:vAlign w:val="bottom"/>
            <w:hideMark/>
          </w:tcPr>
          <w:p w14:paraId="0919F064"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4327DB15"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6B0C9BA7"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Total</w:t>
            </w:r>
          </w:p>
        </w:tc>
      </w:tr>
      <w:tr w:rsidR="004E4F5C" w:rsidRPr="004E4F5C" w14:paraId="1D72537D" w14:textId="77777777" w:rsidTr="00B44024">
        <w:trPr>
          <w:trHeight w:val="300"/>
        </w:trPr>
        <w:tc>
          <w:tcPr>
            <w:tcW w:w="2810" w:type="dxa"/>
            <w:tcBorders>
              <w:top w:val="nil"/>
              <w:left w:val="single" w:sz="8" w:space="0" w:color="auto"/>
              <w:bottom w:val="nil"/>
              <w:right w:val="nil"/>
            </w:tcBorders>
            <w:vAlign w:val="center"/>
            <w:hideMark/>
          </w:tcPr>
          <w:p w14:paraId="1BCFCE0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Abacus</w:t>
            </w:r>
          </w:p>
        </w:tc>
        <w:tc>
          <w:tcPr>
            <w:tcW w:w="716" w:type="dxa"/>
            <w:tcBorders>
              <w:top w:val="nil"/>
              <w:left w:val="nil"/>
              <w:bottom w:val="nil"/>
              <w:right w:val="nil"/>
            </w:tcBorders>
            <w:shd w:val="clear" w:color="000000" w:fill="F2F2F2"/>
            <w:noWrap/>
            <w:vAlign w:val="center"/>
            <w:hideMark/>
          </w:tcPr>
          <w:p w14:paraId="0E1EA7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907CB6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4B129A0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23AC3BE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1824D8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1EE51A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63B12C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34C9EB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66017B2B" w14:textId="77777777" w:rsidTr="00B44024">
        <w:trPr>
          <w:trHeight w:val="300"/>
        </w:trPr>
        <w:tc>
          <w:tcPr>
            <w:tcW w:w="2810" w:type="dxa"/>
            <w:tcBorders>
              <w:top w:val="nil"/>
              <w:left w:val="single" w:sz="8" w:space="0" w:color="auto"/>
              <w:bottom w:val="nil"/>
              <w:right w:val="nil"/>
            </w:tcBorders>
            <w:vAlign w:val="center"/>
            <w:hideMark/>
          </w:tcPr>
          <w:p w14:paraId="45F996E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&amp; Finance</w:t>
            </w:r>
          </w:p>
        </w:tc>
        <w:tc>
          <w:tcPr>
            <w:tcW w:w="716" w:type="dxa"/>
            <w:tcBorders>
              <w:top w:val="nil"/>
              <w:left w:val="nil"/>
              <w:bottom w:val="nil"/>
              <w:right w:val="nil"/>
            </w:tcBorders>
            <w:shd w:val="clear" w:color="000000" w:fill="F2F2F2"/>
            <w:noWrap/>
            <w:vAlign w:val="center"/>
            <w:hideMark/>
          </w:tcPr>
          <w:p w14:paraId="1320355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noWrap/>
            <w:vAlign w:val="center"/>
            <w:hideMark/>
          </w:tcPr>
          <w:p w14:paraId="55AA9D9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D6BE3E0"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F11C92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6014D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490C9D9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0405FAF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7479215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w:t>
            </w:r>
          </w:p>
        </w:tc>
      </w:tr>
      <w:tr w:rsidR="004E4F5C" w:rsidRPr="004E4F5C" w14:paraId="058AE56D" w14:textId="77777777" w:rsidTr="00B44024">
        <w:trPr>
          <w:trHeight w:val="585"/>
        </w:trPr>
        <w:tc>
          <w:tcPr>
            <w:tcW w:w="2810" w:type="dxa"/>
            <w:tcBorders>
              <w:top w:val="nil"/>
              <w:left w:val="single" w:sz="8" w:space="0" w:color="auto"/>
              <w:bottom w:val="nil"/>
              <w:right w:val="nil"/>
            </w:tcBorders>
            <w:vAlign w:val="center"/>
            <w:hideMark/>
          </w:tcPr>
          <w:p w14:paraId="61DF1C0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&amp; Business Research</w:t>
            </w:r>
          </w:p>
        </w:tc>
        <w:tc>
          <w:tcPr>
            <w:tcW w:w="716" w:type="dxa"/>
            <w:tcBorders>
              <w:top w:val="nil"/>
              <w:left w:val="nil"/>
              <w:bottom w:val="nil"/>
              <w:right w:val="nil"/>
            </w:tcBorders>
            <w:shd w:val="clear" w:color="000000" w:fill="F2F2F2"/>
            <w:noWrap/>
            <w:vAlign w:val="center"/>
            <w:hideMark/>
          </w:tcPr>
          <w:p w14:paraId="474318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7413A08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3002AAB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715D285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DE1925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71B7A31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2CF9806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7ABED1FE"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r>
      <w:tr w:rsidR="004E4F5C" w:rsidRPr="004E4F5C" w14:paraId="68050DDA" w14:textId="77777777" w:rsidTr="00B44024">
        <w:trPr>
          <w:trHeight w:val="300"/>
        </w:trPr>
        <w:tc>
          <w:tcPr>
            <w:tcW w:w="2810" w:type="dxa"/>
            <w:tcBorders>
              <w:top w:val="nil"/>
              <w:left w:val="single" w:sz="8" w:space="0" w:color="auto"/>
              <w:bottom w:val="nil"/>
              <w:right w:val="nil"/>
            </w:tcBorders>
            <w:vAlign w:val="center"/>
            <w:hideMark/>
          </w:tcPr>
          <w:p w14:paraId="3C904CA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Horizons</w:t>
            </w:r>
          </w:p>
        </w:tc>
        <w:tc>
          <w:tcPr>
            <w:tcW w:w="716" w:type="dxa"/>
            <w:tcBorders>
              <w:top w:val="nil"/>
              <w:left w:val="nil"/>
              <w:bottom w:val="nil"/>
              <w:right w:val="nil"/>
            </w:tcBorders>
            <w:shd w:val="clear" w:color="000000" w:fill="F2F2F2"/>
            <w:noWrap/>
            <w:vAlign w:val="center"/>
            <w:hideMark/>
          </w:tcPr>
          <w:p w14:paraId="06D99C8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6555C1A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25F3E84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92200B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48827D6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51114A6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1F6052E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D58F03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10610134" w14:textId="77777777" w:rsidTr="00B44024">
        <w:trPr>
          <w:trHeight w:val="300"/>
        </w:trPr>
        <w:tc>
          <w:tcPr>
            <w:tcW w:w="2810" w:type="dxa"/>
            <w:tcBorders>
              <w:top w:val="nil"/>
              <w:left w:val="single" w:sz="8" w:space="0" w:color="auto"/>
              <w:bottom w:val="nil"/>
              <w:right w:val="nil"/>
            </w:tcBorders>
            <w:vAlign w:val="center"/>
            <w:hideMark/>
          </w:tcPr>
          <w:p w14:paraId="24F15F2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in Europe</w:t>
            </w:r>
          </w:p>
        </w:tc>
        <w:tc>
          <w:tcPr>
            <w:tcW w:w="716" w:type="dxa"/>
            <w:tcBorders>
              <w:top w:val="nil"/>
              <w:left w:val="nil"/>
              <w:bottom w:val="nil"/>
              <w:right w:val="nil"/>
            </w:tcBorders>
            <w:shd w:val="clear" w:color="000000" w:fill="F2F2F2"/>
            <w:noWrap/>
            <w:vAlign w:val="center"/>
            <w:hideMark/>
          </w:tcPr>
          <w:p w14:paraId="5ADC37C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D54BA9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4687F36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916C2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DEE83F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324A2B6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626F9B2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6EA022B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2FA08900"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7477F43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Auditing &amp; Accountability Journal</w:t>
            </w:r>
          </w:p>
        </w:tc>
        <w:tc>
          <w:tcPr>
            <w:tcW w:w="716" w:type="dxa"/>
            <w:tcBorders>
              <w:top w:val="nil"/>
              <w:left w:val="nil"/>
              <w:bottom w:val="nil"/>
              <w:right w:val="nil"/>
            </w:tcBorders>
            <w:shd w:val="clear" w:color="000000" w:fill="F2F2F2"/>
            <w:noWrap/>
            <w:vAlign w:val="center"/>
            <w:hideMark/>
          </w:tcPr>
          <w:p w14:paraId="38E1CB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96" w:type="dxa"/>
            <w:tcBorders>
              <w:top w:val="nil"/>
              <w:left w:val="nil"/>
              <w:bottom w:val="nil"/>
              <w:right w:val="nil"/>
            </w:tcBorders>
            <w:shd w:val="clear" w:color="000000" w:fill="F2F2F2"/>
            <w:noWrap/>
            <w:vAlign w:val="center"/>
            <w:hideMark/>
          </w:tcPr>
          <w:p w14:paraId="4957838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596" w:type="dxa"/>
            <w:tcBorders>
              <w:top w:val="nil"/>
              <w:left w:val="nil"/>
              <w:bottom w:val="nil"/>
              <w:right w:val="nil"/>
            </w:tcBorders>
            <w:shd w:val="clear" w:color="000000" w:fill="F2F2F2"/>
            <w:noWrap/>
            <w:vAlign w:val="center"/>
            <w:hideMark/>
          </w:tcPr>
          <w:p w14:paraId="3D5DB77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4F555AB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188678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79C4B67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1116" w:type="dxa"/>
            <w:tcBorders>
              <w:top w:val="nil"/>
              <w:left w:val="nil"/>
              <w:bottom w:val="nil"/>
              <w:right w:val="nil"/>
            </w:tcBorders>
            <w:shd w:val="clear" w:color="000000" w:fill="F2F2F2"/>
            <w:noWrap/>
            <w:vAlign w:val="center"/>
            <w:hideMark/>
          </w:tcPr>
          <w:p w14:paraId="0A97F66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shd w:val="clear" w:color="000000" w:fill="F2F2F2"/>
            <w:noWrap/>
            <w:vAlign w:val="center"/>
            <w:hideMark/>
          </w:tcPr>
          <w:p w14:paraId="02D48FE2"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13</w:t>
            </w:r>
          </w:p>
        </w:tc>
      </w:tr>
      <w:tr w:rsidR="004E4F5C" w:rsidRPr="004E4F5C" w14:paraId="7D9B9F03" w14:textId="77777777" w:rsidTr="00B44024">
        <w:trPr>
          <w:trHeight w:val="585"/>
        </w:trPr>
        <w:tc>
          <w:tcPr>
            <w:tcW w:w="2810" w:type="dxa"/>
            <w:tcBorders>
              <w:top w:val="nil"/>
              <w:left w:val="single" w:sz="8" w:space="0" w:color="auto"/>
              <w:bottom w:val="nil"/>
              <w:right w:val="nil"/>
            </w:tcBorders>
            <w:vAlign w:val="center"/>
            <w:hideMark/>
          </w:tcPr>
          <w:p w14:paraId="3CB48BC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Accounting, Organizations and Society</w:t>
            </w:r>
          </w:p>
        </w:tc>
        <w:tc>
          <w:tcPr>
            <w:tcW w:w="716" w:type="dxa"/>
            <w:tcBorders>
              <w:top w:val="nil"/>
              <w:left w:val="nil"/>
              <w:bottom w:val="nil"/>
              <w:right w:val="nil"/>
            </w:tcBorders>
            <w:shd w:val="clear" w:color="000000" w:fill="F2F2F2"/>
            <w:noWrap/>
            <w:vAlign w:val="center"/>
            <w:hideMark/>
          </w:tcPr>
          <w:p w14:paraId="756467A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27E866C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19BAB6E2"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B06BB7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C539DE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286" w:type="dxa"/>
            <w:tcBorders>
              <w:top w:val="nil"/>
              <w:left w:val="nil"/>
              <w:bottom w:val="nil"/>
              <w:right w:val="nil"/>
            </w:tcBorders>
            <w:shd w:val="clear" w:color="000000" w:fill="F2F2F2"/>
            <w:noWrap/>
            <w:vAlign w:val="center"/>
            <w:hideMark/>
          </w:tcPr>
          <w:p w14:paraId="6EDC70B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19DC19B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2BD3F64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4053C61D" w14:textId="77777777" w:rsidTr="00B44024">
        <w:trPr>
          <w:trHeight w:val="585"/>
        </w:trPr>
        <w:tc>
          <w:tcPr>
            <w:tcW w:w="2810" w:type="dxa"/>
            <w:tcBorders>
              <w:top w:val="nil"/>
              <w:left w:val="single" w:sz="8" w:space="0" w:color="auto"/>
              <w:bottom w:val="nil"/>
              <w:right w:val="nil"/>
            </w:tcBorders>
            <w:vAlign w:val="center"/>
            <w:hideMark/>
          </w:tcPr>
          <w:p w14:paraId="5630302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Auditing: A Journal of Practice &amp; Theory</w:t>
            </w:r>
          </w:p>
        </w:tc>
        <w:tc>
          <w:tcPr>
            <w:tcW w:w="716" w:type="dxa"/>
            <w:tcBorders>
              <w:top w:val="nil"/>
              <w:left w:val="nil"/>
              <w:bottom w:val="nil"/>
              <w:right w:val="nil"/>
            </w:tcBorders>
            <w:shd w:val="clear" w:color="000000" w:fill="F2F2F2"/>
            <w:noWrap/>
            <w:vAlign w:val="center"/>
            <w:hideMark/>
          </w:tcPr>
          <w:p w14:paraId="11B3F7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896" w:type="dxa"/>
            <w:tcBorders>
              <w:top w:val="nil"/>
              <w:left w:val="nil"/>
              <w:bottom w:val="nil"/>
              <w:right w:val="nil"/>
            </w:tcBorders>
            <w:noWrap/>
            <w:vAlign w:val="center"/>
            <w:hideMark/>
          </w:tcPr>
          <w:p w14:paraId="402E819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532E9C5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3E3022E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57B6B57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286" w:type="dxa"/>
            <w:tcBorders>
              <w:top w:val="nil"/>
              <w:left w:val="nil"/>
              <w:bottom w:val="nil"/>
              <w:right w:val="nil"/>
            </w:tcBorders>
            <w:shd w:val="clear" w:color="000000" w:fill="F2F2F2"/>
            <w:noWrap/>
            <w:vAlign w:val="center"/>
            <w:hideMark/>
          </w:tcPr>
          <w:p w14:paraId="175CFBD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6535230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28D4318"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9</w:t>
            </w:r>
          </w:p>
        </w:tc>
      </w:tr>
      <w:tr w:rsidR="004E4F5C" w:rsidRPr="004E4F5C" w14:paraId="2201B535" w14:textId="77777777" w:rsidTr="00B44024">
        <w:trPr>
          <w:trHeight w:val="585"/>
        </w:trPr>
        <w:tc>
          <w:tcPr>
            <w:tcW w:w="2810" w:type="dxa"/>
            <w:tcBorders>
              <w:top w:val="nil"/>
              <w:left w:val="single" w:sz="8" w:space="0" w:color="auto"/>
              <w:bottom w:val="nil"/>
              <w:right w:val="nil"/>
            </w:tcBorders>
            <w:vAlign w:val="center"/>
            <w:hideMark/>
          </w:tcPr>
          <w:p w14:paraId="68E40A9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Behavioral Research in Accounting</w:t>
            </w:r>
          </w:p>
        </w:tc>
        <w:tc>
          <w:tcPr>
            <w:tcW w:w="716" w:type="dxa"/>
            <w:tcBorders>
              <w:top w:val="nil"/>
              <w:left w:val="nil"/>
              <w:bottom w:val="nil"/>
              <w:right w:val="nil"/>
            </w:tcBorders>
            <w:shd w:val="clear" w:color="000000" w:fill="F2F2F2"/>
            <w:noWrap/>
            <w:vAlign w:val="center"/>
            <w:hideMark/>
          </w:tcPr>
          <w:p w14:paraId="0F765A2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A6E7A1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0B4DB27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3EC48CB2"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556601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2DB1C4A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17D2E4A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09AE9A2"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35FBE615" w14:textId="77777777" w:rsidTr="00B44024">
        <w:trPr>
          <w:trHeight w:val="585"/>
        </w:trPr>
        <w:tc>
          <w:tcPr>
            <w:tcW w:w="2810" w:type="dxa"/>
            <w:tcBorders>
              <w:top w:val="nil"/>
              <w:left w:val="single" w:sz="8" w:space="0" w:color="auto"/>
              <w:bottom w:val="nil"/>
              <w:right w:val="nil"/>
            </w:tcBorders>
            <w:vAlign w:val="center"/>
            <w:hideMark/>
          </w:tcPr>
          <w:p w14:paraId="3691856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Contemporary Accounting Research</w:t>
            </w:r>
          </w:p>
        </w:tc>
        <w:tc>
          <w:tcPr>
            <w:tcW w:w="716" w:type="dxa"/>
            <w:tcBorders>
              <w:top w:val="nil"/>
              <w:left w:val="nil"/>
              <w:bottom w:val="nil"/>
              <w:right w:val="nil"/>
            </w:tcBorders>
            <w:shd w:val="clear" w:color="000000" w:fill="F2F2F2"/>
            <w:noWrap/>
            <w:vAlign w:val="center"/>
            <w:hideMark/>
          </w:tcPr>
          <w:p w14:paraId="07B871E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4</w:t>
            </w:r>
          </w:p>
        </w:tc>
        <w:tc>
          <w:tcPr>
            <w:tcW w:w="896" w:type="dxa"/>
            <w:tcBorders>
              <w:top w:val="nil"/>
              <w:left w:val="nil"/>
              <w:bottom w:val="nil"/>
              <w:right w:val="nil"/>
            </w:tcBorders>
            <w:noWrap/>
            <w:vAlign w:val="center"/>
            <w:hideMark/>
          </w:tcPr>
          <w:p w14:paraId="49F6737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EB7D60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D9A767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9BF048C"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01E68D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09A8F53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1D43B83"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122AB19A" w14:textId="77777777" w:rsidTr="00B44024">
        <w:trPr>
          <w:trHeight w:val="585"/>
        </w:trPr>
        <w:tc>
          <w:tcPr>
            <w:tcW w:w="2810" w:type="dxa"/>
            <w:tcBorders>
              <w:top w:val="nil"/>
              <w:left w:val="single" w:sz="8" w:space="0" w:color="auto"/>
              <w:bottom w:val="nil"/>
              <w:right w:val="nil"/>
            </w:tcBorders>
            <w:vAlign w:val="center"/>
            <w:hideMark/>
          </w:tcPr>
          <w:p w14:paraId="1BB6972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Critical Perspectives on Accounting</w:t>
            </w:r>
          </w:p>
        </w:tc>
        <w:tc>
          <w:tcPr>
            <w:tcW w:w="716" w:type="dxa"/>
            <w:tcBorders>
              <w:top w:val="nil"/>
              <w:left w:val="nil"/>
              <w:bottom w:val="nil"/>
              <w:right w:val="nil"/>
            </w:tcBorders>
            <w:shd w:val="clear" w:color="000000" w:fill="F2F2F2"/>
            <w:noWrap/>
            <w:vAlign w:val="center"/>
            <w:hideMark/>
          </w:tcPr>
          <w:p w14:paraId="46D0D59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549E93F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62A0291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35559C45"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058C40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58652C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3C77F35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60BEC8D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3737F2AB" w14:textId="77777777" w:rsidTr="00B44024">
        <w:trPr>
          <w:trHeight w:val="300"/>
        </w:trPr>
        <w:tc>
          <w:tcPr>
            <w:tcW w:w="2810" w:type="dxa"/>
            <w:tcBorders>
              <w:top w:val="nil"/>
              <w:left w:val="single" w:sz="8" w:space="0" w:color="auto"/>
              <w:bottom w:val="nil"/>
              <w:right w:val="nil"/>
            </w:tcBorders>
            <w:vAlign w:val="center"/>
            <w:hideMark/>
          </w:tcPr>
          <w:p w14:paraId="0AEC12DA"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European Accounting Review</w:t>
            </w:r>
          </w:p>
        </w:tc>
        <w:tc>
          <w:tcPr>
            <w:tcW w:w="716" w:type="dxa"/>
            <w:tcBorders>
              <w:top w:val="nil"/>
              <w:left w:val="nil"/>
              <w:bottom w:val="nil"/>
              <w:right w:val="nil"/>
            </w:tcBorders>
            <w:shd w:val="clear" w:color="000000" w:fill="F2F2F2"/>
            <w:noWrap/>
            <w:vAlign w:val="center"/>
            <w:hideMark/>
          </w:tcPr>
          <w:p w14:paraId="1D9BE7A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0111A1F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1C7F6D7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5F96C41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35EEBB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229A3FB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28BED0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D112EA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w:t>
            </w:r>
          </w:p>
        </w:tc>
      </w:tr>
      <w:tr w:rsidR="004E4F5C" w:rsidRPr="004E4F5C" w14:paraId="3542BEB6"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78656BD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&amp; Management</w:t>
            </w:r>
          </w:p>
        </w:tc>
        <w:tc>
          <w:tcPr>
            <w:tcW w:w="716" w:type="dxa"/>
            <w:tcBorders>
              <w:top w:val="nil"/>
              <w:left w:val="nil"/>
              <w:bottom w:val="nil"/>
              <w:right w:val="nil"/>
            </w:tcBorders>
            <w:shd w:val="clear" w:color="000000" w:fill="F2F2F2"/>
            <w:noWrap/>
            <w:vAlign w:val="center"/>
            <w:hideMark/>
          </w:tcPr>
          <w:p w14:paraId="65E678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shd w:val="clear" w:color="000000" w:fill="F2F2F2"/>
            <w:noWrap/>
            <w:vAlign w:val="center"/>
            <w:hideMark/>
          </w:tcPr>
          <w:p w14:paraId="55A8159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596" w:type="dxa"/>
            <w:tcBorders>
              <w:top w:val="nil"/>
              <w:left w:val="nil"/>
              <w:bottom w:val="nil"/>
              <w:right w:val="nil"/>
            </w:tcBorders>
            <w:shd w:val="clear" w:color="000000" w:fill="F2F2F2"/>
            <w:noWrap/>
            <w:vAlign w:val="center"/>
            <w:hideMark/>
          </w:tcPr>
          <w:p w14:paraId="2C52249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6651A42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6513E92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47E352D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116" w:type="dxa"/>
            <w:tcBorders>
              <w:top w:val="nil"/>
              <w:left w:val="nil"/>
              <w:bottom w:val="nil"/>
              <w:right w:val="nil"/>
            </w:tcBorders>
            <w:shd w:val="clear" w:color="000000" w:fill="F2F2F2"/>
            <w:noWrap/>
            <w:vAlign w:val="center"/>
            <w:hideMark/>
          </w:tcPr>
          <w:p w14:paraId="76EE7A6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shd w:val="clear" w:color="000000" w:fill="F2F2F2"/>
            <w:noWrap/>
            <w:vAlign w:val="center"/>
            <w:hideMark/>
          </w:tcPr>
          <w:p w14:paraId="35DB331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15</w:t>
            </w:r>
          </w:p>
        </w:tc>
      </w:tr>
      <w:tr w:rsidR="004E4F5C" w:rsidRPr="004E4F5C" w14:paraId="0D09439E" w14:textId="77777777" w:rsidTr="00B44024">
        <w:trPr>
          <w:trHeight w:val="585"/>
        </w:trPr>
        <w:tc>
          <w:tcPr>
            <w:tcW w:w="2810" w:type="dxa"/>
            <w:tcBorders>
              <w:top w:val="nil"/>
              <w:left w:val="single" w:sz="8" w:space="0" w:color="auto"/>
              <w:bottom w:val="nil"/>
              <w:right w:val="nil"/>
            </w:tcBorders>
            <w:vAlign w:val="center"/>
            <w:hideMark/>
          </w:tcPr>
          <w:p w14:paraId="5C9B140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Financial Accountability and Management</w:t>
            </w:r>
          </w:p>
        </w:tc>
        <w:tc>
          <w:tcPr>
            <w:tcW w:w="716" w:type="dxa"/>
            <w:tcBorders>
              <w:top w:val="nil"/>
              <w:left w:val="nil"/>
              <w:bottom w:val="nil"/>
              <w:right w:val="nil"/>
            </w:tcBorders>
            <w:shd w:val="clear" w:color="000000" w:fill="F2F2F2"/>
            <w:noWrap/>
            <w:vAlign w:val="center"/>
            <w:hideMark/>
          </w:tcPr>
          <w:p w14:paraId="445CF89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3DB95F5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B8C80ED"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83ACD8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72EB8E2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51BA684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773E750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21C919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0A9D3227" w14:textId="77777777" w:rsidTr="00B44024">
        <w:trPr>
          <w:trHeight w:val="585"/>
        </w:trPr>
        <w:tc>
          <w:tcPr>
            <w:tcW w:w="2810" w:type="dxa"/>
            <w:tcBorders>
              <w:top w:val="nil"/>
              <w:left w:val="single" w:sz="8" w:space="0" w:color="auto"/>
              <w:bottom w:val="nil"/>
              <w:right w:val="nil"/>
            </w:tcBorders>
            <w:vAlign w:val="center"/>
            <w:hideMark/>
          </w:tcPr>
          <w:p w14:paraId="3773B30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6CA7067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noWrap/>
            <w:vAlign w:val="center"/>
            <w:hideMark/>
          </w:tcPr>
          <w:p w14:paraId="5EAF68D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A5675CD"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31F1DD9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6CEB276"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2A1331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D317AC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4E400F7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1D9364C2" w14:textId="77777777" w:rsidTr="00B44024">
        <w:trPr>
          <w:trHeight w:val="585"/>
        </w:trPr>
        <w:tc>
          <w:tcPr>
            <w:tcW w:w="2810" w:type="dxa"/>
            <w:tcBorders>
              <w:top w:val="nil"/>
              <w:left w:val="single" w:sz="8" w:space="0" w:color="auto"/>
              <w:bottom w:val="nil"/>
              <w:right w:val="nil"/>
            </w:tcBorders>
            <w:shd w:val="clear" w:color="000000" w:fill="F2F2F2"/>
            <w:vAlign w:val="center"/>
            <w:hideMark/>
          </w:tcPr>
          <w:p w14:paraId="4B99BC50"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International Journal of Auditing</w:t>
            </w:r>
          </w:p>
        </w:tc>
        <w:tc>
          <w:tcPr>
            <w:tcW w:w="716" w:type="dxa"/>
            <w:tcBorders>
              <w:top w:val="nil"/>
              <w:left w:val="nil"/>
              <w:bottom w:val="nil"/>
              <w:right w:val="nil"/>
            </w:tcBorders>
            <w:shd w:val="clear" w:color="000000" w:fill="F2F2F2"/>
            <w:noWrap/>
            <w:vAlign w:val="center"/>
            <w:hideMark/>
          </w:tcPr>
          <w:p w14:paraId="63DA211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96" w:type="dxa"/>
            <w:tcBorders>
              <w:top w:val="nil"/>
              <w:left w:val="nil"/>
              <w:bottom w:val="nil"/>
              <w:right w:val="nil"/>
            </w:tcBorders>
            <w:shd w:val="clear" w:color="000000" w:fill="F2F2F2"/>
            <w:noWrap/>
            <w:vAlign w:val="center"/>
            <w:hideMark/>
          </w:tcPr>
          <w:p w14:paraId="4234CCB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shd w:val="clear" w:color="000000" w:fill="F2F2F2"/>
            <w:noWrap/>
            <w:vAlign w:val="center"/>
            <w:hideMark/>
          </w:tcPr>
          <w:p w14:paraId="7E9D91D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636" w:type="dxa"/>
            <w:tcBorders>
              <w:top w:val="nil"/>
              <w:left w:val="nil"/>
              <w:bottom w:val="nil"/>
              <w:right w:val="nil"/>
            </w:tcBorders>
            <w:shd w:val="clear" w:color="000000" w:fill="F2F2F2"/>
            <w:noWrap/>
            <w:vAlign w:val="center"/>
            <w:hideMark/>
          </w:tcPr>
          <w:p w14:paraId="7DF1DD3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42C18D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286" w:type="dxa"/>
            <w:tcBorders>
              <w:top w:val="nil"/>
              <w:left w:val="nil"/>
              <w:bottom w:val="nil"/>
              <w:right w:val="nil"/>
            </w:tcBorders>
            <w:shd w:val="clear" w:color="000000" w:fill="F2F2F2"/>
            <w:noWrap/>
            <w:vAlign w:val="center"/>
            <w:hideMark/>
          </w:tcPr>
          <w:p w14:paraId="165BA32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shd w:val="clear" w:color="000000" w:fill="F2F2F2"/>
            <w:noWrap/>
            <w:vAlign w:val="center"/>
            <w:hideMark/>
          </w:tcPr>
          <w:p w14:paraId="548FFCF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shd w:val="clear" w:color="000000" w:fill="F2F2F2"/>
            <w:noWrap/>
            <w:vAlign w:val="center"/>
            <w:hideMark/>
          </w:tcPr>
          <w:p w14:paraId="32E88718"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r>
      <w:tr w:rsidR="004E4F5C" w:rsidRPr="004E4F5C" w14:paraId="7804FD79" w14:textId="77777777" w:rsidTr="00B44024">
        <w:trPr>
          <w:trHeight w:val="585"/>
        </w:trPr>
        <w:tc>
          <w:tcPr>
            <w:tcW w:w="2810" w:type="dxa"/>
            <w:tcBorders>
              <w:top w:val="nil"/>
              <w:left w:val="single" w:sz="8" w:space="0" w:color="auto"/>
              <w:bottom w:val="nil"/>
              <w:right w:val="nil"/>
            </w:tcBorders>
            <w:vAlign w:val="center"/>
            <w:hideMark/>
          </w:tcPr>
          <w:p w14:paraId="3A8D336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Accounting and Public Policy</w:t>
            </w:r>
          </w:p>
        </w:tc>
        <w:tc>
          <w:tcPr>
            <w:tcW w:w="716" w:type="dxa"/>
            <w:tcBorders>
              <w:top w:val="nil"/>
              <w:left w:val="nil"/>
              <w:bottom w:val="nil"/>
              <w:right w:val="nil"/>
            </w:tcBorders>
            <w:shd w:val="clear" w:color="000000" w:fill="F2F2F2"/>
            <w:noWrap/>
            <w:vAlign w:val="center"/>
            <w:hideMark/>
          </w:tcPr>
          <w:p w14:paraId="55FACB5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1157B44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6CABE24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915B45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70B5082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C06E5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F9DAE5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F353A2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369E0257" w14:textId="77777777" w:rsidTr="00B44024">
        <w:trPr>
          <w:trHeight w:val="585"/>
        </w:trPr>
        <w:tc>
          <w:tcPr>
            <w:tcW w:w="2810" w:type="dxa"/>
            <w:tcBorders>
              <w:top w:val="nil"/>
              <w:left w:val="single" w:sz="8" w:space="0" w:color="auto"/>
              <w:bottom w:val="nil"/>
              <w:right w:val="nil"/>
            </w:tcBorders>
            <w:vAlign w:val="center"/>
            <w:hideMark/>
          </w:tcPr>
          <w:p w14:paraId="727D0F34"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Applied Accounting Research</w:t>
            </w:r>
          </w:p>
        </w:tc>
        <w:tc>
          <w:tcPr>
            <w:tcW w:w="716" w:type="dxa"/>
            <w:tcBorders>
              <w:top w:val="nil"/>
              <w:left w:val="nil"/>
              <w:bottom w:val="nil"/>
              <w:right w:val="nil"/>
            </w:tcBorders>
            <w:shd w:val="clear" w:color="000000" w:fill="F2F2F2"/>
            <w:noWrap/>
            <w:vAlign w:val="center"/>
            <w:hideMark/>
          </w:tcPr>
          <w:p w14:paraId="42BD2EA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6EB3CB1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283B01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11081231"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DAEAA7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30CF28D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65FB3F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708843CD"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r>
      <w:tr w:rsidR="004E4F5C" w:rsidRPr="004E4F5C" w14:paraId="283E98EB" w14:textId="77777777" w:rsidTr="00B44024">
        <w:trPr>
          <w:trHeight w:val="300"/>
        </w:trPr>
        <w:tc>
          <w:tcPr>
            <w:tcW w:w="2810" w:type="dxa"/>
            <w:tcBorders>
              <w:top w:val="nil"/>
              <w:left w:val="single" w:sz="8" w:space="0" w:color="auto"/>
              <w:bottom w:val="nil"/>
              <w:right w:val="nil"/>
            </w:tcBorders>
            <w:shd w:val="clear" w:color="000000" w:fill="F2F2F2"/>
            <w:vAlign w:val="center"/>
            <w:hideMark/>
          </w:tcPr>
          <w:p w14:paraId="66CC889D"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Business Ethics</w:t>
            </w:r>
          </w:p>
        </w:tc>
        <w:tc>
          <w:tcPr>
            <w:tcW w:w="716" w:type="dxa"/>
            <w:tcBorders>
              <w:top w:val="nil"/>
              <w:left w:val="nil"/>
              <w:bottom w:val="nil"/>
              <w:right w:val="nil"/>
            </w:tcBorders>
            <w:shd w:val="clear" w:color="000000" w:fill="F2F2F2"/>
            <w:noWrap/>
            <w:vAlign w:val="center"/>
            <w:hideMark/>
          </w:tcPr>
          <w:p w14:paraId="4FA1D40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896" w:type="dxa"/>
            <w:tcBorders>
              <w:top w:val="nil"/>
              <w:left w:val="nil"/>
              <w:bottom w:val="nil"/>
              <w:right w:val="nil"/>
            </w:tcBorders>
            <w:shd w:val="clear" w:color="000000" w:fill="F2F2F2"/>
            <w:noWrap/>
            <w:vAlign w:val="center"/>
            <w:hideMark/>
          </w:tcPr>
          <w:p w14:paraId="0E5057C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596" w:type="dxa"/>
            <w:tcBorders>
              <w:top w:val="nil"/>
              <w:left w:val="nil"/>
              <w:bottom w:val="nil"/>
              <w:right w:val="nil"/>
            </w:tcBorders>
            <w:shd w:val="clear" w:color="000000" w:fill="F2F2F2"/>
            <w:noWrap/>
            <w:vAlign w:val="center"/>
            <w:hideMark/>
          </w:tcPr>
          <w:p w14:paraId="3B44467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shd w:val="clear" w:color="000000" w:fill="F2F2F2"/>
            <w:noWrap/>
            <w:vAlign w:val="center"/>
            <w:hideMark/>
          </w:tcPr>
          <w:p w14:paraId="454FD63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636" w:type="dxa"/>
            <w:tcBorders>
              <w:top w:val="nil"/>
              <w:left w:val="nil"/>
              <w:bottom w:val="nil"/>
              <w:right w:val="nil"/>
            </w:tcBorders>
            <w:shd w:val="clear" w:color="000000" w:fill="F2F2F2"/>
            <w:noWrap/>
            <w:vAlign w:val="center"/>
            <w:hideMark/>
          </w:tcPr>
          <w:p w14:paraId="22D8C78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286" w:type="dxa"/>
            <w:tcBorders>
              <w:top w:val="nil"/>
              <w:left w:val="nil"/>
              <w:bottom w:val="nil"/>
              <w:right w:val="nil"/>
            </w:tcBorders>
            <w:shd w:val="clear" w:color="000000" w:fill="F2F2F2"/>
            <w:noWrap/>
            <w:vAlign w:val="center"/>
            <w:hideMark/>
          </w:tcPr>
          <w:p w14:paraId="716C5D7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shd w:val="clear" w:color="000000" w:fill="F2F2F2"/>
            <w:noWrap/>
            <w:vAlign w:val="center"/>
            <w:hideMark/>
          </w:tcPr>
          <w:p w14:paraId="65497D2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988" w:type="dxa"/>
            <w:tcBorders>
              <w:top w:val="nil"/>
              <w:left w:val="nil"/>
              <w:bottom w:val="nil"/>
              <w:right w:val="single" w:sz="8" w:space="0" w:color="auto"/>
            </w:tcBorders>
            <w:shd w:val="clear" w:color="000000" w:fill="F2F2F2"/>
            <w:noWrap/>
            <w:vAlign w:val="center"/>
            <w:hideMark/>
          </w:tcPr>
          <w:p w14:paraId="4F526D7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w:t>
            </w:r>
          </w:p>
        </w:tc>
      </w:tr>
      <w:tr w:rsidR="004E4F5C" w:rsidRPr="004E4F5C" w14:paraId="6F809BA8" w14:textId="77777777" w:rsidTr="00B44024">
        <w:trPr>
          <w:trHeight w:val="585"/>
        </w:trPr>
        <w:tc>
          <w:tcPr>
            <w:tcW w:w="2810" w:type="dxa"/>
            <w:tcBorders>
              <w:top w:val="nil"/>
              <w:left w:val="single" w:sz="8" w:space="0" w:color="auto"/>
              <w:bottom w:val="nil"/>
              <w:right w:val="nil"/>
            </w:tcBorders>
            <w:vAlign w:val="center"/>
            <w:hideMark/>
          </w:tcPr>
          <w:p w14:paraId="047D40A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Contemporary Accounting &amp; Economics</w:t>
            </w:r>
          </w:p>
        </w:tc>
        <w:tc>
          <w:tcPr>
            <w:tcW w:w="716" w:type="dxa"/>
            <w:tcBorders>
              <w:top w:val="nil"/>
              <w:left w:val="nil"/>
              <w:bottom w:val="nil"/>
              <w:right w:val="nil"/>
            </w:tcBorders>
            <w:shd w:val="clear" w:color="000000" w:fill="F2F2F2"/>
            <w:noWrap/>
            <w:vAlign w:val="center"/>
            <w:hideMark/>
          </w:tcPr>
          <w:p w14:paraId="5426BD0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6D2EBEB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3558228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1131E5D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424C586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05E850B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3C6C780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2844B92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28EA5B3F" w14:textId="77777777" w:rsidTr="00B44024">
        <w:trPr>
          <w:trHeight w:val="585"/>
        </w:trPr>
        <w:tc>
          <w:tcPr>
            <w:tcW w:w="2810" w:type="dxa"/>
            <w:tcBorders>
              <w:top w:val="nil"/>
              <w:left w:val="single" w:sz="8" w:space="0" w:color="auto"/>
              <w:bottom w:val="nil"/>
              <w:right w:val="nil"/>
            </w:tcBorders>
            <w:vAlign w:val="center"/>
            <w:hideMark/>
          </w:tcPr>
          <w:p w14:paraId="33E0719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Journal of International Accounting Research</w:t>
            </w:r>
          </w:p>
        </w:tc>
        <w:tc>
          <w:tcPr>
            <w:tcW w:w="716" w:type="dxa"/>
            <w:tcBorders>
              <w:top w:val="nil"/>
              <w:left w:val="nil"/>
              <w:bottom w:val="nil"/>
              <w:right w:val="nil"/>
            </w:tcBorders>
            <w:shd w:val="clear" w:color="000000" w:fill="F2F2F2"/>
            <w:noWrap/>
            <w:vAlign w:val="center"/>
            <w:hideMark/>
          </w:tcPr>
          <w:p w14:paraId="4472ADE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896" w:type="dxa"/>
            <w:tcBorders>
              <w:top w:val="nil"/>
              <w:left w:val="nil"/>
              <w:bottom w:val="nil"/>
              <w:right w:val="nil"/>
            </w:tcBorders>
            <w:noWrap/>
            <w:vAlign w:val="center"/>
            <w:hideMark/>
          </w:tcPr>
          <w:p w14:paraId="7E86876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0A0475E0"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82AB98F"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4A1DA314"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6E0600F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776007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A10932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68B52E79" w14:textId="77777777" w:rsidTr="00B44024">
        <w:trPr>
          <w:trHeight w:val="300"/>
        </w:trPr>
        <w:tc>
          <w:tcPr>
            <w:tcW w:w="2810" w:type="dxa"/>
            <w:tcBorders>
              <w:top w:val="nil"/>
              <w:left w:val="single" w:sz="8" w:space="0" w:color="auto"/>
              <w:bottom w:val="nil"/>
              <w:right w:val="nil"/>
            </w:tcBorders>
            <w:vAlign w:val="center"/>
            <w:hideMark/>
          </w:tcPr>
          <w:p w14:paraId="41BB411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Managerial Auditing Journal</w:t>
            </w:r>
          </w:p>
        </w:tc>
        <w:tc>
          <w:tcPr>
            <w:tcW w:w="716" w:type="dxa"/>
            <w:tcBorders>
              <w:top w:val="nil"/>
              <w:left w:val="nil"/>
              <w:bottom w:val="nil"/>
              <w:right w:val="nil"/>
            </w:tcBorders>
            <w:shd w:val="clear" w:color="000000" w:fill="F2F2F2"/>
            <w:noWrap/>
            <w:vAlign w:val="center"/>
            <w:hideMark/>
          </w:tcPr>
          <w:p w14:paraId="47BC50C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1E743BE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596" w:type="dxa"/>
            <w:tcBorders>
              <w:top w:val="nil"/>
              <w:left w:val="nil"/>
              <w:bottom w:val="nil"/>
              <w:right w:val="nil"/>
            </w:tcBorders>
            <w:noWrap/>
            <w:vAlign w:val="center"/>
            <w:hideMark/>
          </w:tcPr>
          <w:p w14:paraId="6C2A398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2AED9D2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78B2A22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7802B85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noWrap/>
            <w:vAlign w:val="center"/>
            <w:hideMark/>
          </w:tcPr>
          <w:p w14:paraId="1B6687E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8" w:type="dxa"/>
            <w:tcBorders>
              <w:top w:val="nil"/>
              <w:left w:val="nil"/>
              <w:bottom w:val="nil"/>
              <w:right w:val="single" w:sz="8" w:space="0" w:color="auto"/>
            </w:tcBorders>
            <w:noWrap/>
            <w:vAlign w:val="center"/>
            <w:hideMark/>
          </w:tcPr>
          <w:p w14:paraId="47782F23"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9</w:t>
            </w:r>
          </w:p>
        </w:tc>
      </w:tr>
      <w:tr w:rsidR="004E4F5C" w:rsidRPr="004E4F5C" w14:paraId="2F390722" w14:textId="77777777" w:rsidTr="00B44024">
        <w:trPr>
          <w:trHeight w:val="585"/>
        </w:trPr>
        <w:tc>
          <w:tcPr>
            <w:tcW w:w="2810" w:type="dxa"/>
            <w:tcBorders>
              <w:top w:val="nil"/>
              <w:left w:val="single" w:sz="8" w:space="0" w:color="auto"/>
              <w:bottom w:val="nil"/>
              <w:right w:val="nil"/>
            </w:tcBorders>
            <w:vAlign w:val="center"/>
            <w:hideMark/>
          </w:tcPr>
          <w:p w14:paraId="09C4D33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Meditari Accountancy Research</w:t>
            </w:r>
          </w:p>
        </w:tc>
        <w:tc>
          <w:tcPr>
            <w:tcW w:w="716" w:type="dxa"/>
            <w:tcBorders>
              <w:top w:val="nil"/>
              <w:left w:val="nil"/>
              <w:bottom w:val="nil"/>
              <w:right w:val="nil"/>
            </w:tcBorders>
            <w:shd w:val="clear" w:color="000000" w:fill="F2F2F2"/>
            <w:noWrap/>
            <w:vAlign w:val="center"/>
            <w:hideMark/>
          </w:tcPr>
          <w:p w14:paraId="5EE7B71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7A683D4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0C03CF0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636" w:type="dxa"/>
            <w:tcBorders>
              <w:top w:val="nil"/>
              <w:left w:val="nil"/>
              <w:bottom w:val="nil"/>
              <w:right w:val="nil"/>
            </w:tcBorders>
            <w:noWrap/>
            <w:vAlign w:val="center"/>
            <w:hideMark/>
          </w:tcPr>
          <w:p w14:paraId="0929C0F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1DCAEE1"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2A2DBDD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116" w:type="dxa"/>
            <w:tcBorders>
              <w:top w:val="nil"/>
              <w:left w:val="nil"/>
              <w:bottom w:val="nil"/>
              <w:right w:val="nil"/>
            </w:tcBorders>
            <w:noWrap/>
            <w:vAlign w:val="center"/>
            <w:hideMark/>
          </w:tcPr>
          <w:p w14:paraId="37D89B4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8" w:type="dxa"/>
            <w:tcBorders>
              <w:top w:val="nil"/>
              <w:left w:val="nil"/>
              <w:bottom w:val="nil"/>
              <w:right w:val="single" w:sz="8" w:space="0" w:color="auto"/>
            </w:tcBorders>
            <w:noWrap/>
            <w:vAlign w:val="center"/>
            <w:hideMark/>
          </w:tcPr>
          <w:p w14:paraId="0BC8BE4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r>
      <w:tr w:rsidR="004E4F5C" w:rsidRPr="004E4F5C" w14:paraId="0E0BFC38" w14:textId="77777777" w:rsidTr="00B44024">
        <w:trPr>
          <w:trHeight w:val="585"/>
        </w:trPr>
        <w:tc>
          <w:tcPr>
            <w:tcW w:w="2810" w:type="dxa"/>
            <w:tcBorders>
              <w:top w:val="nil"/>
              <w:left w:val="single" w:sz="8" w:space="0" w:color="auto"/>
              <w:bottom w:val="nil"/>
              <w:right w:val="nil"/>
            </w:tcBorders>
            <w:vAlign w:val="center"/>
            <w:hideMark/>
          </w:tcPr>
          <w:p w14:paraId="39D36C8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Qualitative Research in Accounting &amp; Management</w:t>
            </w:r>
          </w:p>
        </w:tc>
        <w:tc>
          <w:tcPr>
            <w:tcW w:w="716" w:type="dxa"/>
            <w:tcBorders>
              <w:top w:val="nil"/>
              <w:left w:val="nil"/>
              <w:bottom w:val="nil"/>
              <w:right w:val="nil"/>
            </w:tcBorders>
            <w:shd w:val="clear" w:color="000000" w:fill="F2F2F2"/>
            <w:noWrap/>
            <w:vAlign w:val="center"/>
            <w:hideMark/>
          </w:tcPr>
          <w:p w14:paraId="7EF86F2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1BCE31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5052689E"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48456A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63FD3C07"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1286" w:type="dxa"/>
            <w:tcBorders>
              <w:top w:val="nil"/>
              <w:left w:val="nil"/>
              <w:bottom w:val="nil"/>
              <w:right w:val="nil"/>
            </w:tcBorders>
            <w:shd w:val="clear" w:color="000000" w:fill="F2F2F2"/>
            <w:noWrap/>
            <w:vAlign w:val="center"/>
            <w:hideMark/>
          </w:tcPr>
          <w:p w14:paraId="04F4BFF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1116" w:type="dxa"/>
            <w:tcBorders>
              <w:top w:val="nil"/>
              <w:left w:val="nil"/>
              <w:bottom w:val="nil"/>
              <w:right w:val="nil"/>
            </w:tcBorders>
            <w:noWrap/>
            <w:vAlign w:val="center"/>
            <w:hideMark/>
          </w:tcPr>
          <w:p w14:paraId="3C7473D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5A8DD40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w:t>
            </w:r>
          </w:p>
        </w:tc>
      </w:tr>
      <w:tr w:rsidR="004E4F5C" w:rsidRPr="004E4F5C" w14:paraId="5F129F92" w14:textId="77777777" w:rsidTr="00B44024">
        <w:trPr>
          <w:trHeight w:val="585"/>
        </w:trPr>
        <w:tc>
          <w:tcPr>
            <w:tcW w:w="2810" w:type="dxa"/>
            <w:tcBorders>
              <w:top w:val="nil"/>
              <w:left w:val="single" w:sz="8" w:space="0" w:color="auto"/>
              <w:bottom w:val="nil"/>
              <w:right w:val="nil"/>
            </w:tcBorders>
            <w:vAlign w:val="center"/>
            <w:hideMark/>
          </w:tcPr>
          <w:p w14:paraId="7CD7A47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Review of Accounting Studies</w:t>
            </w:r>
          </w:p>
        </w:tc>
        <w:tc>
          <w:tcPr>
            <w:tcW w:w="716" w:type="dxa"/>
            <w:tcBorders>
              <w:top w:val="nil"/>
              <w:left w:val="nil"/>
              <w:bottom w:val="nil"/>
              <w:right w:val="nil"/>
            </w:tcBorders>
            <w:shd w:val="clear" w:color="000000" w:fill="F2F2F2"/>
            <w:noWrap/>
            <w:vAlign w:val="center"/>
            <w:hideMark/>
          </w:tcPr>
          <w:p w14:paraId="77CE5FC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33DEFD9"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3A27307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0C7B673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7533EAA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63BE90B7"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20C29A3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64A312B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1F2E2155" w14:textId="77777777" w:rsidTr="00B44024">
        <w:trPr>
          <w:trHeight w:val="300"/>
        </w:trPr>
        <w:tc>
          <w:tcPr>
            <w:tcW w:w="2810" w:type="dxa"/>
            <w:tcBorders>
              <w:top w:val="nil"/>
              <w:left w:val="single" w:sz="8" w:space="0" w:color="auto"/>
              <w:bottom w:val="nil"/>
              <w:right w:val="nil"/>
            </w:tcBorders>
            <w:vAlign w:val="center"/>
            <w:hideMark/>
          </w:tcPr>
          <w:p w14:paraId="688085BE"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The Accounting Review</w:t>
            </w:r>
          </w:p>
        </w:tc>
        <w:tc>
          <w:tcPr>
            <w:tcW w:w="716" w:type="dxa"/>
            <w:tcBorders>
              <w:top w:val="nil"/>
              <w:left w:val="nil"/>
              <w:bottom w:val="nil"/>
              <w:right w:val="nil"/>
            </w:tcBorders>
            <w:shd w:val="clear" w:color="000000" w:fill="F2F2F2"/>
            <w:noWrap/>
            <w:vAlign w:val="center"/>
            <w:hideMark/>
          </w:tcPr>
          <w:p w14:paraId="2597C4D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4A66EE0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596" w:type="dxa"/>
            <w:tcBorders>
              <w:top w:val="nil"/>
              <w:left w:val="nil"/>
              <w:bottom w:val="nil"/>
              <w:right w:val="nil"/>
            </w:tcBorders>
            <w:noWrap/>
            <w:vAlign w:val="center"/>
            <w:hideMark/>
          </w:tcPr>
          <w:p w14:paraId="69C75E48"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2078F023"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center"/>
            <w:hideMark/>
          </w:tcPr>
          <w:p w14:paraId="5AA12B7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286" w:type="dxa"/>
            <w:tcBorders>
              <w:top w:val="nil"/>
              <w:left w:val="nil"/>
              <w:bottom w:val="nil"/>
              <w:right w:val="nil"/>
            </w:tcBorders>
            <w:shd w:val="clear" w:color="000000" w:fill="F2F2F2"/>
            <w:noWrap/>
            <w:vAlign w:val="center"/>
            <w:hideMark/>
          </w:tcPr>
          <w:p w14:paraId="740DF3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1116" w:type="dxa"/>
            <w:tcBorders>
              <w:top w:val="nil"/>
              <w:left w:val="nil"/>
              <w:bottom w:val="nil"/>
              <w:right w:val="nil"/>
            </w:tcBorders>
            <w:noWrap/>
            <w:vAlign w:val="center"/>
            <w:hideMark/>
          </w:tcPr>
          <w:p w14:paraId="5640DCC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116307C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0657A167" w14:textId="77777777" w:rsidTr="00B44024">
        <w:trPr>
          <w:trHeight w:val="585"/>
        </w:trPr>
        <w:tc>
          <w:tcPr>
            <w:tcW w:w="2810" w:type="dxa"/>
            <w:tcBorders>
              <w:top w:val="nil"/>
              <w:left w:val="single" w:sz="8" w:space="0" w:color="auto"/>
              <w:bottom w:val="nil"/>
              <w:right w:val="nil"/>
            </w:tcBorders>
            <w:vAlign w:val="center"/>
            <w:hideMark/>
          </w:tcPr>
          <w:p w14:paraId="47C16AA8"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The British Accounting Review</w:t>
            </w:r>
          </w:p>
        </w:tc>
        <w:tc>
          <w:tcPr>
            <w:tcW w:w="716" w:type="dxa"/>
            <w:tcBorders>
              <w:top w:val="nil"/>
              <w:left w:val="nil"/>
              <w:bottom w:val="nil"/>
              <w:right w:val="nil"/>
            </w:tcBorders>
            <w:shd w:val="clear" w:color="000000" w:fill="F2F2F2"/>
            <w:noWrap/>
            <w:vAlign w:val="center"/>
            <w:hideMark/>
          </w:tcPr>
          <w:p w14:paraId="6225926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 </w:t>
            </w:r>
          </w:p>
        </w:tc>
        <w:tc>
          <w:tcPr>
            <w:tcW w:w="896" w:type="dxa"/>
            <w:tcBorders>
              <w:top w:val="nil"/>
              <w:left w:val="nil"/>
              <w:bottom w:val="nil"/>
              <w:right w:val="nil"/>
            </w:tcBorders>
            <w:noWrap/>
            <w:vAlign w:val="center"/>
            <w:hideMark/>
          </w:tcPr>
          <w:p w14:paraId="566DB44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596" w:type="dxa"/>
            <w:tcBorders>
              <w:top w:val="nil"/>
              <w:left w:val="nil"/>
              <w:bottom w:val="nil"/>
              <w:right w:val="nil"/>
            </w:tcBorders>
            <w:noWrap/>
            <w:vAlign w:val="center"/>
            <w:hideMark/>
          </w:tcPr>
          <w:p w14:paraId="49A92F1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636" w:type="dxa"/>
            <w:tcBorders>
              <w:top w:val="nil"/>
              <w:left w:val="nil"/>
              <w:bottom w:val="nil"/>
              <w:right w:val="nil"/>
            </w:tcBorders>
            <w:noWrap/>
            <w:vAlign w:val="center"/>
            <w:hideMark/>
          </w:tcPr>
          <w:p w14:paraId="7A7FE9B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636" w:type="dxa"/>
            <w:tcBorders>
              <w:top w:val="nil"/>
              <w:left w:val="nil"/>
              <w:bottom w:val="nil"/>
              <w:right w:val="nil"/>
            </w:tcBorders>
            <w:noWrap/>
            <w:vAlign w:val="center"/>
            <w:hideMark/>
          </w:tcPr>
          <w:p w14:paraId="18359D9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286" w:type="dxa"/>
            <w:tcBorders>
              <w:top w:val="nil"/>
              <w:left w:val="nil"/>
              <w:bottom w:val="nil"/>
              <w:right w:val="nil"/>
            </w:tcBorders>
            <w:shd w:val="clear" w:color="000000" w:fill="F2F2F2"/>
            <w:noWrap/>
            <w:vAlign w:val="center"/>
            <w:hideMark/>
          </w:tcPr>
          <w:p w14:paraId="5BECA0B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116" w:type="dxa"/>
            <w:tcBorders>
              <w:top w:val="nil"/>
              <w:left w:val="nil"/>
              <w:bottom w:val="nil"/>
              <w:right w:val="nil"/>
            </w:tcBorders>
            <w:noWrap/>
            <w:vAlign w:val="center"/>
            <w:hideMark/>
          </w:tcPr>
          <w:p w14:paraId="1FDEA96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8" w:type="dxa"/>
            <w:tcBorders>
              <w:top w:val="nil"/>
              <w:left w:val="nil"/>
              <w:bottom w:val="nil"/>
              <w:right w:val="single" w:sz="8" w:space="0" w:color="auto"/>
            </w:tcBorders>
            <w:noWrap/>
            <w:vAlign w:val="center"/>
            <w:hideMark/>
          </w:tcPr>
          <w:p w14:paraId="3C14D5B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5</w:t>
            </w:r>
          </w:p>
        </w:tc>
      </w:tr>
      <w:tr w:rsidR="004E4F5C" w:rsidRPr="004E4F5C" w14:paraId="197563FD" w14:textId="77777777" w:rsidTr="00B44024">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6AD7B0AD"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6FA1C8E4"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2CA4D05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49D9304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C1F21F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4166BD5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1D7AD72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C9CA22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005615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124</w:t>
            </w:r>
          </w:p>
        </w:tc>
      </w:tr>
    </w:tbl>
    <w:p w14:paraId="478998BB" w14:textId="77777777" w:rsidR="004E4F5C" w:rsidRPr="004E4F5C" w:rsidRDefault="004E4F5C" w:rsidP="004E4F5C">
      <w:pPr>
        <w:spacing w:after="0" w:line="24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b/>
          <w:bCs/>
          <w:kern w:val="0"/>
          <w:lang w:val="en-US"/>
          <w14:ligatures w14:val="none"/>
        </w:rPr>
        <w:t>Table 3. Distribution of empirical NFIA studies by journal outlet and jurisdiction of study</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04B52424" w14:textId="77777777" w:rsidR="004E4F5C" w:rsidRPr="004E4F5C" w:rsidRDefault="004E4F5C" w:rsidP="004E4F5C">
      <w:pPr>
        <w:spacing w:after="0" w:line="240" w:lineRule="auto"/>
        <w:jc w:val="both"/>
        <w:rPr>
          <w:rFonts w:ascii="Times New Roman" w:eastAsia="Times New Roman" w:hAnsi="Times New Roman" w:cs="Times New Roman"/>
          <w:b/>
          <w:bCs/>
          <w:kern w:val="0"/>
          <w:lang w:val="en-US"/>
          <w14:ligatures w14:val="none"/>
        </w:rPr>
      </w:pPr>
    </w:p>
    <w:p w14:paraId="34382344"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Table 3 summarises the journal and jurisdictional distribution of NFIA studies, revealing high concentration among a few key outlets.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i/>
          <w:iCs/>
          <w:kern w:val="0"/>
          <w14:ligatures w14:val="none"/>
        </w:rPr>
        <w:t>AAAJ</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xml:space="preserve">, and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xml:space="preserve"> dominate the corpus. This concentration underscores these journals’ established leadership in public-sector accountability and sustainability governance.</w:t>
      </w:r>
    </w:p>
    <w:p w14:paraId="68ADA54B"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Geographically, Australia is a dominant empirical setting in this corpus, surpassing the UK; this concentration is consistent with the prominence of performance audit within Australian public-sector accountability research (Guthrie &amp; Parker, 1999; Parker, Jacobs and Schmitz, 2019) Developed European contexts (e.g., France and Germany) drive a large share of research centered on carbon and public-sector audits. Notably, China has emerged as a distinct cluster, with ten studies focused exclusively on CSR and sustainability assurance.</w:t>
      </w:r>
    </w:p>
    <w:p w14:paraId="68AB13EC"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p>
    <w:tbl>
      <w:tblPr>
        <w:tblW w:w="8960" w:type="dxa"/>
        <w:tblLook w:val="04A0" w:firstRow="1" w:lastRow="0" w:firstColumn="1" w:lastColumn="0" w:noHBand="0" w:noVBand="1"/>
      </w:tblPr>
      <w:tblGrid>
        <w:gridCol w:w="2671"/>
        <w:gridCol w:w="1565"/>
        <w:gridCol w:w="1504"/>
        <w:gridCol w:w="1420"/>
        <w:gridCol w:w="820"/>
        <w:gridCol w:w="980"/>
      </w:tblGrid>
      <w:tr w:rsidR="004E4F5C" w:rsidRPr="004E4F5C" w14:paraId="1C235B10" w14:textId="77777777" w:rsidTr="00B44024">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0628313C"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4EF57EDF"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3B11141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193BAEF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1B3E49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0D554ACD"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Total</w:t>
            </w:r>
          </w:p>
        </w:tc>
      </w:tr>
      <w:tr w:rsidR="004E4F5C" w:rsidRPr="004E4F5C" w14:paraId="421AC4E2" w14:textId="77777777" w:rsidTr="00B44024">
        <w:trPr>
          <w:trHeight w:val="300"/>
        </w:trPr>
        <w:tc>
          <w:tcPr>
            <w:tcW w:w="2671" w:type="dxa"/>
            <w:tcBorders>
              <w:top w:val="nil"/>
              <w:left w:val="single" w:sz="8" w:space="0" w:color="auto"/>
              <w:bottom w:val="nil"/>
              <w:right w:val="nil"/>
            </w:tcBorders>
            <w:vAlign w:val="bottom"/>
            <w:hideMark/>
          </w:tcPr>
          <w:p w14:paraId="13693E52"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Archival / statistical analysis</w:t>
            </w:r>
          </w:p>
        </w:tc>
        <w:tc>
          <w:tcPr>
            <w:tcW w:w="1565" w:type="dxa"/>
            <w:tcBorders>
              <w:top w:val="nil"/>
              <w:left w:val="nil"/>
              <w:bottom w:val="nil"/>
              <w:right w:val="nil"/>
            </w:tcBorders>
            <w:shd w:val="clear" w:color="000000" w:fill="D9D9D9"/>
            <w:noWrap/>
            <w:vAlign w:val="center"/>
            <w:hideMark/>
          </w:tcPr>
          <w:p w14:paraId="47888A8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33</w:t>
            </w:r>
          </w:p>
        </w:tc>
        <w:tc>
          <w:tcPr>
            <w:tcW w:w="1504" w:type="dxa"/>
            <w:tcBorders>
              <w:top w:val="nil"/>
              <w:left w:val="nil"/>
              <w:bottom w:val="nil"/>
              <w:right w:val="nil"/>
            </w:tcBorders>
            <w:noWrap/>
            <w:vAlign w:val="center"/>
            <w:hideMark/>
          </w:tcPr>
          <w:p w14:paraId="5C376CD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1420" w:type="dxa"/>
            <w:tcBorders>
              <w:top w:val="nil"/>
              <w:left w:val="nil"/>
              <w:bottom w:val="nil"/>
              <w:right w:val="nil"/>
            </w:tcBorders>
            <w:noWrap/>
            <w:vAlign w:val="center"/>
            <w:hideMark/>
          </w:tcPr>
          <w:p w14:paraId="5556F0A8"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20" w:type="dxa"/>
            <w:tcBorders>
              <w:top w:val="nil"/>
              <w:left w:val="nil"/>
              <w:bottom w:val="nil"/>
              <w:right w:val="nil"/>
            </w:tcBorders>
            <w:noWrap/>
            <w:vAlign w:val="center"/>
            <w:hideMark/>
          </w:tcPr>
          <w:p w14:paraId="035B4F9A"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0" w:type="dxa"/>
            <w:tcBorders>
              <w:top w:val="nil"/>
              <w:left w:val="nil"/>
              <w:bottom w:val="nil"/>
              <w:right w:val="single" w:sz="8" w:space="0" w:color="auto"/>
            </w:tcBorders>
            <w:noWrap/>
            <w:vAlign w:val="center"/>
            <w:hideMark/>
          </w:tcPr>
          <w:p w14:paraId="61097001"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39</w:t>
            </w:r>
          </w:p>
        </w:tc>
      </w:tr>
      <w:tr w:rsidR="004E4F5C" w:rsidRPr="004E4F5C" w14:paraId="5D6CDC30" w14:textId="77777777" w:rsidTr="00B44024">
        <w:trPr>
          <w:trHeight w:val="300"/>
        </w:trPr>
        <w:tc>
          <w:tcPr>
            <w:tcW w:w="2671" w:type="dxa"/>
            <w:tcBorders>
              <w:top w:val="nil"/>
              <w:left w:val="single" w:sz="8" w:space="0" w:color="auto"/>
              <w:bottom w:val="nil"/>
              <w:right w:val="nil"/>
            </w:tcBorders>
            <w:vAlign w:val="bottom"/>
            <w:hideMark/>
          </w:tcPr>
          <w:p w14:paraId="17FFE8DF"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Case study</w:t>
            </w:r>
          </w:p>
        </w:tc>
        <w:tc>
          <w:tcPr>
            <w:tcW w:w="1565" w:type="dxa"/>
            <w:tcBorders>
              <w:top w:val="nil"/>
              <w:left w:val="nil"/>
              <w:bottom w:val="nil"/>
              <w:right w:val="nil"/>
            </w:tcBorders>
            <w:shd w:val="clear" w:color="000000" w:fill="D9D9D9"/>
            <w:noWrap/>
            <w:vAlign w:val="center"/>
            <w:hideMark/>
          </w:tcPr>
          <w:p w14:paraId="4F95738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1504" w:type="dxa"/>
            <w:tcBorders>
              <w:top w:val="nil"/>
              <w:left w:val="nil"/>
              <w:bottom w:val="nil"/>
              <w:right w:val="nil"/>
            </w:tcBorders>
            <w:shd w:val="clear" w:color="000000" w:fill="D9D9D9"/>
            <w:noWrap/>
            <w:vAlign w:val="center"/>
            <w:hideMark/>
          </w:tcPr>
          <w:p w14:paraId="337DC495"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11</w:t>
            </w:r>
          </w:p>
        </w:tc>
        <w:tc>
          <w:tcPr>
            <w:tcW w:w="1420" w:type="dxa"/>
            <w:tcBorders>
              <w:top w:val="nil"/>
              <w:left w:val="nil"/>
              <w:bottom w:val="nil"/>
              <w:right w:val="nil"/>
            </w:tcBorders>
            <w:noWrap/>
            <w:vAlign w:val="center"/>
            <w:hideMark/>
          </w:tcPr>
          <w:p w14:paraId="7AEB46F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F0F6753"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980" w:type="dxa"/>
            <w:tcBorders>
              <w:top w:val="nil"/>
              <w:left w:val="nil"/>
              <w:bottom w:val="nil"/>
              <w:right w:val="single" w:sz="8" w:space="0" w:color="auto"/>
            </w:tcBorders>
            <w:noWrap/>
            <w:vAlign w:val="center"/>
            <w:hideMark/>
          </w:tcPr>
          <w:p w14:paraId="7CFBA81A"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20</w:t>
            </w:r>
          </w:p>
        </w:tc>
      </w:tr>
      <w:tr w:rsidR="004E4F5C" w:rsidRPr="004E4F5C" w14:paraId="2F1B0340" w14:textId="77777777" w:rsidTr="00B44024">
        <w:trPr>
          <w:trHeight w:val="300"/>
        </w:trPr>
        <w:tc>
          <w:tcPr>
            <w:tcW w:w="2671" w:type="dxa"/>
            <w:tcBorders>
              <w:top w:val="nil"/>
              <w:left w:val="single" w:sz="8" w:space="0" w:color="auto"/>
              <w:bottom w:val="nil"/>
              <w:right w:val="nil"/>
            </w:tcBorders>
            <w:vAlign w:val="bottom"/>
            <w:hideMark/>
          </w:tcPr>
          <w:p w14:paraId="34480943"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Discourse / content analysis</w:t>
            </w:r>
          </w:p>
        </w:tc>
        <w:tc>
          <w:tcPr>
            <w:tcW w:w="1565" w:type="dxa"/>
            <w:tcBorders>
              <w:top w:val="nil"/>
              <w:left w:val="nil"/>
              <w:bottom w:val="nil"/>
              <w:right w:val="nil"/>
            </w:tcBorders>
            <w:noWrap/>
            <w:vAlign w:val="center"/>
            <w:hideMark/>
          </w:tcPr>
          <w:p w14:paraId="4A98116D"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1504" w:type="dxa"/>
            <w:tcBorders>
              <w:top w:val="nil"/>
              <w:left w:val="nil"/>
              <w:bottom w:val="nil"/>
              <w:right w:val="nil"/>
            </w:tcBorders>
            <w:noWrap/>
            <w:vAlign w:val="center"/>
            <w:hideMark/>
          </w:tcPr>
          <w:p w14:paraId="46E1646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420" w:type="dxa"/>
            <w:tcBorders>
              <w:top w:val="nil"/>
              <w:left w:val="nil"/>
              <w:bottom w:val="nil"/>
              <w:right w:val="nil"/>
            </w:tcBorders>
            <w:noWrap/>
            <w:vAlign w:val="center"/>
            <w:hideMark/>
          </w:tcPr>
          <w:p w14:paraId="4FD4B8A6"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EBCA939"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16B4BF4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6</w:t>
            </w:r>
          </w:p>
        </w:tc>
      </w:tr>
      <w:tr w:rsidR="004E4F5C" w:rsidRPr="004E4F5C" w14:paraId="30A29556" w14:textId="77777777" w:rsidTr="00B44024">
        <w:trPr>
          <w:trHeight w:val="300"/>
        </w:trPr>
        <w:tc>
          <w:tcPr>
            <w:tcW w:w="2671" w:type="dxa"/>
            <w:tcBorders>
              <w:top w:val="nil"/>
              <w:left w:val="single" w:sz="8" w:space="0" w:color="auto"/>
              <w:bottom w:val="nil"/>
              <w:right w:val="nil"/>
            </w:tcBorders>
            <w:vAlign w:val="bottom"/>
            <w:hideMark/>
          </w:tcPr>
          <w:p w14:paraId="3A587CC7"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Document / textual analysis</w:t>
            </w:r>
          </w:p>
        </w:tc>
        <w:tc>
          <w:tcPr>
            <w:tcW w:w="1565" w:type="dxa"/>
            <w:tcBorders>
              <w:top w:val="nil"/>
              <w:left w:val="nil"/>
              <w:bottom w:val="nil"/>
              <w:right w:val="nil"/>
            </w:tcBorders>
            <w:noWrap/>
            <w:vAlign w:val="center"/>
            <w:hideMark/>
          </w:tcPr>
          <w:p w14:paraId="6FB79F8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5</w:t>
            </w:r>
          </w:p>
        </w:tc>
        <w:tc>
          <w:tcPr>
            <w:tcW w:w="1504" w:type="dxa"/>
            <w:tcBorders>
              <w:top w:val="nil"/>
              <w:left w:val="nil"/>
              <w:bottom w:val="nil"/>
              <w:right w:val="nil"/>
            </w:tcBorders>
            <w:noWrap/>
            <w:vAlign w:val="center"/>
            <w:hideMark/>
          </w:tcPr>
          <w:p w14:paraId="7270EC7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420" w:type="dxa"/>
            <w:tcBorders>
              <w:top w:val="nil"/>
              <w:left w:val="nil"/>
              <w:bottom w:val="nil"/>
              <w:right w:val="nil"/>
            </w:tcBorders>
            <w:noWrap/>
            <w:vAlign w:val="center"/>
            <w:hideMark/>
          </w:tcPr>
          <w:p w14:paraId="712B8D9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2EE36193"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64231326"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11</w:t>
            </w:r>
          </w:p>
        </w:tc>
      </w:tr>
      <w:tr w:rsidR="004E4F5C" w:rsidRPr="004E4F5C" w14:paraId="797E3F56" w14:textId="77777777" w:rsidTr="00B44024">
        <w:trPr>
          <w:trHeight w:val="600"/>
        </w:trPr>
        <w:tc>
          <w:tcPr>
            <w:tcW w:w="2671" w:type="dxa"/>
            <w:tcBorders>
              <w:top w:val="nil"/>
              <w:left w:val="single" w:sz="8" w:space="0" w:color="auto"/>
              <w:bottom w:val="nil"/>
              <w:right w:val="nil"/>
            </w:tcBorders>
            <w:vAlign w:val="bottom"/>
            <w:hideMark/>
          </w:tcPr>
          <w:p w14:paraId="6847D9BC"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Experimental / quasi-experimental</w:t>
            </w:r>
          </w:p>
        </w:tc>
        <w:tc>
          <w:tcPr>
            <w:tcW w:w="1565" w:type="dxa"/>
            <w:tcBorders>
              <w:top w:val="nil"/>
              <w:left w:val="nil"/>
              <w:bottom w:val="nil"/>
              <w:right w:val="nil"/>
            </w:tcBorders>
            <w:shd w:val="clear" w:color="000000" w:fill="D9D9D9"/>
            <w:noWrap/>
            <w:vAlign w:val="center"/>
            <w:hideMark/>
          </w:tcPr>
          <w:p w14:paraId="2778E4CE"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504" w:type="dxa"/>
            <w:tcBorders>
              <w:top w:val="nil"/>
              <w:left w:val="nil"/>
              <w:bottom w:val="nil"/>
              <w:right w:val="nil"/>
            </w:tcBorders>
            <w:noWrap/>
            <w:vAlign w:val="center"/>
            <w:hideMark/>
          </w:tcPr>
          <w:p w14:paraId="63EE6EB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420" w:type="dxa"/>
            <w:tcBorders>
              <w:top w:val="nil"/>
              <w:left w:val="nil"/>
              <w:bottom w:val="nil"/>
              <w:right w:val="nil"/>
            </w:tcBorders>
            <w:noWrap/>
            <w:vAlign w:val="center"/>
            <w:hideMark/>
          </w:tcPr>
          <w:p w14:paraId="4D19CE4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2</w:t>
            </w:r>
          </w:p>
        </w:tc>
        <w:tc>
          <w:tcPr>
            <w:tcW w:w="820" w:type="dxa"/>
            <w:tcBorders>
              <w:top w:val="nil"/>
              <w:left w:val="nil"/>
              <w:bottom w:val="nil"/>
              <w:right w:val="nil"/>
            </w:tcBorders>
            <w:noWrap/>
            <w:vAlign w:val="center"/>
            <w:hideMark/>
          </w:tcPr>
          <w:p w14:paraId="720A4570"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0" w:type="dxa"/>
            <w:tcBorders>
              <w:top w:val="nil"/>
              <w:left w:val="nil"/>
              <w:bottom w:val="nil"/>
              <w:right w:val="single" w:sz="8" w:space="0" w:color="auto"/>
            </w:tcBorders>
            <w:noWrap/>
            <w:vAlign w:val="center"/>
            <w:hideMark/>
          </w:tcPr>
          <w:p w14:paraId="0F16D1E0"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w:t>
            </w:r>
          </w:p>
        </w:tc>
      </w:tr>
      <w:tr w:rsidR="004E4F5C" w:rsidRPr="004E4F5C" w14:paraId="54AC5169" w14:textId="77777777" w:rsidTr="00B44024">
        <w:trPr>
          <w:trHeight w:val="300"/>
        </w:trPr>
        <w:tc>
          <w:tcPr>
            <w:tcW w:w="2671" w:type="dxa"/>
            <w:tcBorders>
              <w:top w:val="nil"/>
              <w:left w:val="single" w:sz="8" w:space="0" w:color="auto"/>
              <w:bottom w:val="nil"/>
              <w:right w:val="nil"/>
            </w:tcBorders>
            <w:vAlign w:val="bottom"/>
            <w:hideMark/>
          </w:tcPr>
          <w:p w14:paraId="7B50B296"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lastRenderedPageBreak/>
              <w:t>Interview study</w:t>
            </w:r>
          </w:p>
        </w:tc>
        <w:tc>
          <w:tcPr>
            <w:tcW w:w="1565" w:type="dxa"/>
            <w:tcBorders>
              <w:top w:val="nil"/>
              <w:left w:val="nil"/>
              <w:bottom w:val="nil"/>
              <w:right w:val="nil"/>
            </w:tcBorders>
            <w:shd w:val="clear" w:color="000000" w:fill="D9D9D9"/>
            <w:noWrap/>
            <w:vAlign w:val="center"/>
            <w:hideMark/>
          </w:tcPr>
          <w:p w14:paraId="61E01781"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504" w:type="dxa"/>
            <w:tcBorders>
              <w:top w:val="nil"/>
              <w:left w:val="nil"/>
              <w:bottom w:val="nil"/>
              <w:right w:val="nil"/>
            </w:tcBorders>
            <w:shd w:val="clear" w:color="000000" w:fill="D9D9D9"/>
            <w:noWrap/>
            <w:vAlign w:val="center"/>
            <w:hideMark/>
          </w:tcPr>
          <w:p w14:paraId="6CF2A92B"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9</w:t>
            </w:r>
          </w:p>
        </w:tc>
        <w:tc>
          <w:tcPr>
            <w:tcW w:w="1420" w:type="dxa"/>
            <w:tcBorders>
              <w:top w:val="nil"/>
              <w:left w:val="nil"/>
              <w:bottom w:val="nil"/>
              <w:right w:val="nil"/>
            </w:tcBorders>
            <w:noWrap/>
            <w:vAlign w:val="center"/>
            <w:hideMark/>
          </w:tcPr>
          <w:p w14:paraId="3450D9B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820" w:type="dxa"/>
            <w:tcBorders>
              <w:top w:val="nil"/>
              <w:left w:val="nil"/>
              <w:bottom w:val="nil"/>
              <w:right w:val="nil"/>
            </w:tcBorders>
            <w:noWrap/>
            <w:vAlign w:val="center"/>
            <w:hideMark/>
          </w:tcPr>
          <w:p w14:paraId="1CBE49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980" w:type="dxa"/>
            <w:tcBorders>
              <w:top w:val="nil"/>
              <w:left w:val="nil"/>
              <w:bottom w:val="nil"/>
              <w:right w:val="single" w:sz="8" w:space="0" w:color="auto"/>
            </w:tcBorders>
            <w:noWrap/>
            <w:vAlign w:val="center"/>
            <w:hideMark/>
          </w:tcPr>
          <w:p w14:paraId="4B13E105"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19</w:t>
            </w:r>
          </w:p>
        </w:tc>
      </w:tr>
      <w:tr w:rsidR="004E4F5C" w:rsidRPr="004E4F5C" w14:paraId="3728AFF1" w14:textId="77777777" w:rsidTr="00B44024">
        <w:trPr>
          <w:trHeight w:val="300"/>
        </w:trPr>
        <w:tc>
          <w:tcPr>
            <w:tcW w:w="2671" w:type="dxa"/>
            <w:tcBorders>
              <w:top w:val="nil"/>
              <w:left w:val="single" w:sz="8" w:space="0" w:color="auto"/>
              <w:bottom w:val="nil"/>
              <w:right w:val="nil"/>
            </w:tcBorders>
            <w:vAlign w:val="bottom"/>
            <w:hideMark/>
          </w:tcPr>
          <w:p w14:paraId="71BC05C1"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Participant observation</w:t>
            </w:r>
          </w:p>
        </w:tc>
        <w:tc>
          <w:tcPr>
            <w:tcW w:w="1565" w:type="dxa"/>
            <w:tcBorders>
              <w:top w:val="nil"/>
              <w:left w:val="nil"/>
              <w:bottom w:val="nil"/>
              <w:right w:val="nil"/>
            </w:tcBorders>
            <w:noWrap/>
            <w:vAlign w:val="center"/>
            <w:hideMark/>
          </w:tcPr>
          <w:p w14:paraId="5535AA6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1</w:t>
            </w:r>
          </w:p>
        </w:tc>
        <w:tc>
          <w:tcPr>
            <w:tcW w:w="1504" w:type="dxa"/>
            <w:tcBorders>
              <w:top w:val="nil"/>
              <w:left w:val="nil"/>
              <w:bottom w:val="nil"/>
              <w:right w:val="nil"/>
            </w:tcBorders>
            <w:noWrap/>
            <w:vAlign w:val="center"/>
            <w:hideMark/>
          </w:tcPr>
          <w:p w14:paraId="06D83EC4"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1420" w:type="dxa"/>
            <w:tcBorders>
              <w:top w:val="nil"/>
              <w:left w:val="nil"/>
              <w:bottom w:val="nil"/>
              <w:right w:val="nil"/>
            </w:tcBorders>
            <w:noWrap/>
            <w:vAlign w:val="center"/>
            <w:hideMark/>
          </w:tcPr>
          <w:p w14:paraId="30ECA1E5"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820" w:type="dxa"/>
            <w:tcBorders>
              <w:top w:val="nil"/>
              <w:left w:val="nil"/>
              <w:bottom w:val="nil"/>
              <w:right w:val="nil"/>
            </w:tcBorders>
            <w:noWrap/>
            <w:vAlign w:val="center"/>
            <w:hideMark/>
          </w:tcPr>
          <w:p w14:paraId="010BACF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pPr>
          </w:p>
        </w:tc>
        <w:tc>
          <w:tcPr>
            <w:tcW w:w="980" w:type="dxa"/>
            <w:tcBorders>
              <w:top w:val="nil"/>
              <w:left w:val="nil"/>
              <w:bottom w:val="nil"/>
              <w:right w:val="single" w:sz="8" w:space="0" w:color="auto"/>
            </w:tcBorders>
            <w:noWrap/>
            <w:vAlign w:val="center"/>
            <w:hideMark/>
          </w:tcPr>
          <w:p w14:paraId="37F7C40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w:t>
            </w:r>
          </w:p>
        </w:tc>
      </w:tr>
      <w:tr w:rsidR="004E4F5C" w:rsidRPr="004E4F5C" w14:paraId="70FDAF97" w14:textId="77777777" w:rsidTr="00B44024">
        <w:trPr>
          <w:trHeight w:val="300"/>
        </w:trPr>
        <w:tc>
          <w:tcPr>
            <w:tcW w:w="2671" w:type="dxa"/>
            <w:tcBorders>
              <w:top w:val="nil"/>
              <w:left w:val="single" w:sz="8" w:space="0" w:color="auto"/>
              <w:bottom w:val="nil"/>
              <w:right w:val="nil"/>
            </w:tcBorders>
            <w:vAlign w:val="bottom"/>
            <w:hideMark/>
          </w:tcPr>
          <w:p w14:paraId="2EF27C9B" w14:textId="77777777" w:rsidR="004E4F5C" w:rsidRPr="004E4F5C" w:rsidRDefault="004E4F5C" w:rsidP="004E4F5C">
            <w:pPr>
              <w:spacing w:after="0" w:line="240" w:lineRule="auto"/>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Survey</w:t>
            </w:r>
          </w:p>
        </w:tc>
        <w:tc>
          <w:tcPr>
            <w:tcW w:w="1565" w:type="dxa"/>
            <w:tcBorders>
              <w:top w:val="nil"/>
              <w:left w:val="nil"/>
              <w:bottom w:val="nil"/>
              <w:right w:val="nil"/>
            </w:tcBorders>
            <w:noWrap/>
            <w:vAlign w:val="center"/>
            <w:hideMark/>
          </w:tcPr>
          <w:p w14:paraId="27A307CC"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7</w:t>
            </w:r>
          </w:p>
        </w:tc>
        <w:tc>
          <w:tcPr>
            <w:tcW w:w="1504" w:type="dxa"/>
            <w:tcBorders>
              <w:top w:val="nil"/>
              <w:left w:val="nil"/>
              <w:bottom w:val="nil"/>
              <w:right w:val="nil"/>
            </w:tcBorders>
            <w:noWrap/>
            <w:vAlign w:val="center"/>
            <w:hideMark/>
          </w:tcPr>
          <w:p w14:paraId="346EED8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6</w:t>
            </w:r>
          </w:p>
        </w:tc>
        <w:tc>
          <w:tcPr>
            <w:tcW w:w="1420" w:type="dxa"/>
            <w:tcBorders>
              <w:top w:val="nil"/>
              <w:left w:val="nil"/>
              <w:bottom w:val="nil"/>
              <w:right w:val="nil"/>
            </w:tcBorders>
            <w:noWrap/>
            <w:vAlign w:val="center"/>
            <w:hideMark/>
          </w:tcPr>
          <w:p w14:paraId="1E9A6A3F"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r w:rsidRPr="004E4F5C">
              <w:rPr>
                <w:rFonts w:ascii="Calibri" w:eastAsia="Times New Roman" w:hAnsi="Calibri" w:cs="Calibri"/>
                <w:color w:val="000000"/>
                <w:kern w:val="0"/>
                <w14:ligatures w14:val="none"/>
              </w:rPr>
              <w:t>3</w:t>
            </w:r>
          </w:p>
        </w:tc>
        <w:tc>
          <w:tcPr>
            <w:tcW w:w="820" w:type="dxa"/>
            <w:tcBorders>
              <w:top w:val="nil"/>
              <w:left w:val="nil"/>
              <w:bottom w:val="nil"/>
              <w:right w:val="nil"/>
            </w:tcBorders>
            <w:noWrap/>
            <w:vAlign w:val="center"/>
            <w:hideMark/>
          </w:tcPr>
          <w:p w14:paraId="24EABA72" w14:textId="77777777" w:rsidR="004E4F5C" w:rsidRPr="004E4F5C" w:rsidRDefault="004E4F5C" w:rsidP="004E4F5C">
            <w:pPr>
              <w:spacing w:after="0" w:line="240" w:lineRule="auto"/>
              <w:jc w:val="center"/>
              <w:rPr>
                <w:rFonts w:ascii="Calibri" w:eastAsia="Times New Roman" w:hAnsi="Calibri" w:cs="Calibri"/>
                <w:color w:val="000000"/>
                <w:kern w:val="0"/>
                <w14:ligatures w14:val="none"/>
              </w:rPr>
            </w:pPr>
          </w:p>
        </w:tc>
        <w:tc>
          <w:tcPr>
            <w:tcW w:w="980" w:type="dxa"/>
            <w:tcBorders>
              <w:top w:val="nil"/>
              <w:left w:val="nil"/>
              <w:bottom w:val="nil"/>
              <w:right w:val="single" w:sz="8" w:space="0" w:color="auto"/>
            </w:tcBorders>
            <w:noWrap/>
            <w:vAlign w:val="center"/>
            <w:hideMark/>
          </w:tcPr>
          <w:p w14:paraId="5BFF6CC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16</w:t>
            </w:r>
          </w:p>
        </w:tc>
      </w:tr>
      <w:tr w:rsidR="004E4F5C" w:rsidRPr="004E4F5C" w14:paraId="3251D792" w14:textId="77777777" w:rsidTr="00B44024">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4F4619C2" w14:textId="77777777" w:rsidR="004E4F5C" w:rsidRPr="004E4F5C" w:rsidRDefault="004E4F5C" w:rsidP="004E4F5C">
            <w:pPr>
              <w:spacing w:after="0" w:line="240" w:lineRule="auto"/>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4F570284"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58085007"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51F300B9"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726F8D6C"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3C916EBB" w14:textId="77777777" w:rsidR="004E4F5C" w:rsidRPr="004E4F5C" w:rsidRDefault="004E4F5C" w:rsidP="004E4F5C">
            <w:pPr>
              <w:spacing w:after="0" w:line="240" w:lineRule="auto"/>
              <w:jc w:val="center"/>
              <w:rPr>
                <w:rFonts w:ascii="Calibri" w:eastAsia="Times New Roman" w:hAnsi="Calibri" w:cs="Calibri"/>
                <w:b/>
                <w:bCs/>
                <w:color w:val="000000"/>
                <w:kern w:val="0"/>
                <w14:ligatures w14:val="none"/>
              </w:rPr>
            </w:pPr>
            <w:r w:rsidRPr="004E4F5C">
              <w:rPr>
                <w:rFonts w:ascii="Calibri" w:eastAsia="Times New Roman" w:hAnsi="Calibri" w:cs="Calibri"/>
                <w:b/>
                <w:bCs/>
                <w:color w:val="000000"/>
                <w:kern w:val="0"/>
                <w14:ligatures w14:val="none"/>
              </w:rPr>
              <w:t>124</w:t>
            </w:r>
          </w:p>
        </w:tc>
      </w:tr>
    </w:tbl>
    <w:p w14:paraId="08C7DB80" w14:textId="77777777" w:rsidR="004E4F5C" w:rsidRPr="004E4F5C" w:rsidRDefault="004E4F5C" w:rsidP="004E4F5C">
      <w:pPr>
        <w:spacing w:after="0" w:line="240" w:lineRule="auto"/>
        <w:jc w:val="both"/>
        <w:rPr>
          <w:rFonts w:ascii="Times New Roman" w:eastAsia="Times New Roman" w:hAnsi="Times New Roman" w:cs="Times New Roman"/>
          <w:b/>
          <w:bCs/>
          <w:kern w:val="0"/>
          <w:lang w:val="en-US"/>
          <w14:ligatures w14:val="none"/>
        </w:rPr>
      </w:pPr>
      <w:r w:rsidRPr="004E4F5C">
        <w:rPr>
          <w:rFonts w:ascii="Times New Roman" w:eastAsia="Times New Roman" w:hAnsi="Times New Roman" w:cs="Times New Roman"/>
          <w:b/>
          <w:bCs/>
          <w:kern w:val="0"/>
          <w:lang w:val="en-US"/>
          <w14:ligatures w14:val="none"/>
        </w:rPr>
        <w:t xml:space="preserve">Table 4. </w:t>
      </w:r>
      <w:r w:rsidRPr="004E4F5C">
        <w:rPr>
          <w:rFonts w:ascii="Times New Roman" w:eastAsia="Times New Roman" w:hAnsi="Times New Roman" w:cs="Times New Roman"/>
          <w:b/>
          <w:bCs/>
          <w:kern w:val="0"/>
          <w14:ligatures w14:val="none"/>
        </w:rPr>
        <w:t>Distribution of research methods across NFIA subject domains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763C80B5"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0A229D56"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6CFAB033" w14:textId="77777777" w:rsidR="004E4F5C" w:rsidRPr="004E4F5C" w:rsidRDefault="004E4F5C" w:rsidP="004E4F5C">
      <w:pPr>
        <w:widowControl w:val="0"/>
        <w:spacing w:line="480" w:lineRule="auto"/>
        <w:ind w:firstLine="420"/>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kern w:val="0"/>
          <w14:ligatures w14:val="none"/>
        </w:rPr>
        <w:t>Collectively, these results document a transition in NFIA research: from early public-sector performance auditing toward a methodologically plural field currently dominated by sustainability-focused studies across diverse institutional settings.</w:t>
      </w:r>
      <w:r w:rsidRPr="004E4F5C">
        <w:rPr>
          <w:rFonts w:ascii="Times New Roman" w:eastAsia="Times New Roman" w:hAnsi="Times New Roman" w:cs="Times New Roman"/>
          <w:i/>
          <w:iCs/>
          <w:kern w:val="0"/>
          <w14:ligatures w14:val="none"/>
        </w:rPr>
        <w:br w:type="page"/>
      </w:r>
    </w:p>
    <w:p w14:paraId="68468B10" w14:textId="77777777" w:rsidR="004E4F5C" w:rsidRPr="004E4F5C" w:rsidRDefault="004E4F5C" w:rsidP="004E4F5C">
      <w:pPr>
        <w:spacing w:after="0" w:line="240" w:lineRule="auto"/>
        <w:jc w:val="both"/>
        <w:rPr>
          <w:rFonts w:ascii="Times New Roman" w:eastAsia="Times New Roman" w:hAnsi="Times New Roman" w:cs="Times New Roman"/>
          <w:i/>
          <w:iCs/>
          <w:kern w:val="0"/>
          <w:highlight w:val="cyan"/>
          <w14:ligatures w14:val="none"/>
        </w:rPr>
        <w:sectPr w:rsidR="004E4F5C" w:rsidRPr="004E4F5C" w:rsidSect="004E4F5C">
          <w:pgSz w:w="11906" w:h="16838"/>
          <w:pgMar w:top="1440" w:right="1440" w:bottom="1440" w:left="1440" w:header="851" w:footer="992" w:gutter="0"/>
          <w:cols w:space="425"/>
          <w:docGrid w:type="lines" w:linePitch="326"/>
        </w:sectPr>
      </w:pPr>
    </w:p>
    <w:p w14:paraId="7551CC6F" w14:textId="77777777" w:rsidR="004E4F5C" w:rsidRPr="004E4F5C" w:rsidRDefault="004E4F5C" w:rsidP="004E4F5C">
      <w:pPr>
        <w:spacing w:after="0" w:line="24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i/>
          <w:iCs/>
          <w:kern w:val="0"/>
          <w14:ligatures w14:val="none"/>
        </w:rPr>
        <w:lastRenderedPageBreak/>
        <w:t>Bibliometric Results</w:t>
      </w:r>
    </w:p>
    <w:p w14:paraId="5E1CC68B" w14:textId="77777777" w:rsidR="004E4F5C" w:rsidRPr="004E4F5C" w:rsidRDefault="004E4F5C" w:rsidP="004E4F5C">
      <w:pPr>
        <w:spacing w:after="0" w:line="240" w:lineRule="auto"/>
        <w:ind w:left="360" w:firstLine="491"/>
        <w:contextualSpacing/>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 </w:t>
      </w:r>
    </w:p>
    <w:p w14:paraId="10F9A508"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drawing>
          <wp:inline distT="0" distB="0" distL="0" distR="0" wp14:anchorId="0F0288B6" wp14:editId="6F43554D">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43CD1E9"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drawing>
          <wp:inline distT="0" distB="0" distL="0" distR="0" wp14:anchorId="052C6B1B" wp14:editId="14158F4D">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7"/>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3C4DC5B7"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Figure 3.</w:t>
      </w:r>
      <w:r w:rsidRPr="004E4F5C">
        <w:rPr>
          <w:rFonts w:ascii="Times New Roman" w:eastAsia="Times New Roman" w:hAnsi="Times New Roman" w:cs="Times New Roman"/>
          <w:kern w:val="0"/>
          <w14:ligatures w14:val="none"/>
        </w:rPr>
        <w:t xml:space="preserve"> Internal citation network and density visualisation of influential NFIA studies based on within-corpus citations</w:t>
      </w:r>
      <w:r w:rsidRPr="004E4F5C">
        <w:rPr>
          <w:rFonts w:ascii="Times New Roman" w:eastAsia="Times New Roman" w:hAnsi="Times New Roman" w:cs="Times New Roman"/>
          <w:kern w:val="0"/>
          <w14:ligatures w14:val="none"/>
        </w:rPr>
        <w:br/>
      </w:r>
      <w:r w:rsidRPr="004E4F5C">
        <w:rPr>
          <w:rFonts w:ascii="Times New Roman" w:eastAsia="Times New Roman" w:hAnsi="Times New Roman" w:cs="Times New Roman"/>
          <w:i/>
          <w:iCs/>
          <w:kern w:val="0"/>
          <w14:ligatures w14:val="none"/>
        </w:rPr>
        <w:t>Source: Author’s analysis</w:t>
      </w:r>
    </w:p>
    <w:p w14:paraId="0EA6D0CE"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The internal citation structure (Figure 3) reveals a dense, coherent research field. With 114 of the 124 studies linked through within-corpus references, the literature is characterised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Power (1997a) is cited by nearly half of the reviewed studies, confirming the enduring influence of the original "audit society" thesis. 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 This practitioner-led trajectory underscores the field's pragmatic origins and its ongoing struggle to stabilize theoretical boundaries.</w:t>
      </w:r>
    </w:p>
    <w:p w14:paraId="30A521B7" w14:textId="77777777" w:rsidR="004E4F5C" w:rsidRPr="004E4F5C" w:rsidRDefault="004E4F5C" w:rsidP="004E4F5C">
      <w:pPr>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br w:type="page"/>
      </w:r>
    </w:p>
    <w:p w14:paraId="4A0B29C5"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lastRenderedPageBreak/>
        <w:drawing>
          <wp:inline distT="0" distB="0" distL="0" distR="0" wp14:anchorId="1A27420F" wp14:editId="6F1DFF0E">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294E3E90"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b/>
          <w:bCs/>
          <w:kern w:val="0"/>
          <w14:ligatures w14:val="none"/>
        </w:rPr>
        <w:t>Figure 4.</w:t>
      </w:r>
      <w:r w:rsidRPr="004E4F5C">
        <w:rPr>
          <w:rFonts w:ascii="Times New Roman" w:eastAsia="Times New Roman" w:hAnsi="Times New Roman" w:cs="Times New Roman"/>
          <w:kern w:val="0"/>
          <w14:ligatures w14:val="none"/>
        </w:rPr>
        <w:t xml:space="preserve"> Network visualisation of keyword co-occurrence in the NFIA literature</w:t>
      </w:r>
    </w:p>
    <w:p w14:paraId="39C2E58B" w14:textId="77777777" w:rsidR="004E4F5C" w:rsidRPr="004E4F5C" w:rsidRDefault="004E4F5C" w:rsidP="004E4F5C">
      <w:pPr>
        <w:spacing w:after="0" w:line="240" w:lineRule="auto"/>
        <w:rPr>
          <w:rFonts w:ascii="Times New Roman" w:eastAsia="Times New Roman" w:hAnsi="Times New Roman" w:cs="Times New Roman"/>
          <w:kern w:val="0"/>
          <w14:ligatures w14:val="none"/>
        </w:rPr>
      </w:pPr>
      <w:r w:rsidRPr="004E4F5C">
        <w:rPr>
          <w:rFonts w:ascii="Times New Roman" w:eastAsia="Times New Roman" w:hAnsi="Times New Roman" w:cs="Times New Roman"/>
          <w:i/>
          <w:iCs/>
          <w:kern w:val="0"/>
          <w14:ligatures w14:val="none"/>
        </w:rPr>
        <w:t>Source: Author’s analysis</w:t>
      </w:r>
    </w:p>
    <w:p w14:paraId="04ECC710" w14:textId="77777777" w:rsidR="004E4F5C" w:rsidRPr="004E4F5C" w:rsidRDefault="004E4F5C" w:rsidP="004E4F5C">
      <w:pPr>
        <w:widowControl w:val="0"/>
        <w:spacing w:line="240" w:lineRule="auto"/>
        <w:ind w:firstLine="420"/>
        <w:jc w:val="both"/>
        <w:rPr>
          <w:rFonts w:ascii="Times New Roman" w:eastAsia="Times New Roman" w:hAnsi="Times New Roman" w:cs="Times New Roman"/>
          <w:kern w:val="0"/>
          <w14:ligatures w14:val="none"/>
        </w:rPr>
      </w:pPr>
    </w:p>
    <w:p w14:paraId="0A9D61D2" w14:textId="77777777" w:rsidR="004E4F5C" w:rsidRPr="004E4F5C" w:rsidRDefault="004E4F5C" w:rsidP="004E4F5C">
      <w:pPr>
        <w:ind w:firstLine="420"/>
        <w:rPr>
          <w:rFonts w:ascii="Times New Roman" w:eastAsia="Times New Roman" w:hAnsi="Times New Roman" w:cs="Times New Roman"/>
          <w:noProof/>
          <w:kern w:val="0"/>
          <w14:ligatures w14:val="none"/>
        </w:rPr>
        <w:sectPr w:rsidR="004E4F5C" w:rsidRPr="004E4F5C" w:rsidSect="004E4F5C">
          <w:pgSz w:w="16838" w:h="11906" w:orient="landscape"/>
          <w:pgMar w:top="1440" w:right="1440" w:bottom="1440" w:left="1440" w:header="851" w:footer="992" w:gutter="0"/>
          <w:cols w:space="425"/>
          <w:docGrid w:type="linesAndChars" w:linePitch="326"/>
        </w:sectPr>
      </w:pPr>
    </w:p>
    <w:p w14:paraId="52BE60D2" w14:textId="77777777" w:rsidR="004E4F5C" w:rsidRPr="004E4F5C" w:rsidRDefault="004E4F5C" w:rsidP="004E4F5C">
      <w:pPr>
        <w:spacing w:line="480" w:lineRule="auto"/>
        <w:ind w:firstLine="420"/>
        <w:jc w:val="both"/>
        <w:rPr>
          <w:rFonts w:ascii="Times New Roman" w:eastAsia="Times New Roman" w:hAnsi="Times New Roman" w:cs="Times New Roman"/>
          <w:noProof/>
          <w:kern w:val="0"/>
          <w14:ligatures w14:val="none"/>
        </w:rPr>
      </w:pPr>
      <w:r w:rsidRPr="004E4F5C">
        <w:rPr>
          <w:rFonts w:ascii="Times New Roman" w:eastAsia="Times New Roman" w:hAnsi="Times New Roman" w:cs="Times New Roman"/>
          <w:noProof/>
          <w:kern w:val="0"/>
          <w14:ligatures w14:val="none"/>
        </w:rPr>
        <w:lastRenderedPageBreak/>
        <w:t>Figure 4 visualises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The network appears dense, although this likely reflects shared citation practices rather than conceptual consensus. 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6C954695"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noProof/>
          <w:kern w:val="0"/>
          <w14:ligatures w14:val="none"/>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Pr="004E4F5C">
        <w:rPr>
          <w:rFonts w:ascii="Times New Roman" w:eastAsia="Times New Roman" w:hAnsi="Times New Roman" w:cs="Times New Roman"/>
          <w:kern w:val="0"/>
          <w14:ligatures w14:val="none"/>
        </w:rPr>
        <w:br w:type="page"/>
      </w:r>
    </w:p>
    <w:p w14:paraId="35C1AA5B" w14:textId="77777777" w:rsidR="004E4F5C" w:rsidRPr="004E4F5C" w:rsidRDefault="004E4F5C" w:rsidP="004E4F5C">
      <w:pPr>
        <w:spacing w:after="0" w:line="240" w:lineRule="auto"/>
        <w:jc w:val="center"/>
        <w:rPr>
          <w:rFonts w:ascii="Times New Roman" w:eastAsia="Times New Roman" w:hAnsi="Times New Roman" w:cs="Times New Roman"/>
          <w:kern w:val="0"/>
          <w14:ligatures w14:val="none"/>
        </w:rPr>
        <w:sectPr w:rsidR="004E4F5C" w:rsidRPr="004E4F5C" w:rsidSect="004E4F5C">
          <w:pgSz w:w="11906" w:h="16838"/>
          <w:pgMar w:top="1440" w:right="1440" w:bottom="1440" w:left="1440" w:header="851" w:footer="992" w:gutter="0"/>
          <w:cols w:space="425"/>
          <w:docGrid w:linePitch="326"/>
        </w:sectPr>
      </w:pPr>
    </w:p>
    <w:p w14:paraId="61B13202"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Analysis</w:t>
      </w:r>
      <w:r w:rsidRPr="004E4F5C">
        <w:rPr>
          <w:rFonts w:ascii="Times New Roman" w:eastAsia="Times New Roman" w:hAnsi="Times New Roman" w:cs="Times New Roman"/>
          <w:kern w:val="0"/>
          <w14:ligatures w14:val="none"/>
        </w:rPr>
        <w:t xml:space="preserve"> </w:t>
      </w:r>
      <w:r w:rsidRPr="004E4F5C">
        <w:rPr>
          <w:rFonts w:ascii="Times New Roman" w:eastAsia="Times New Roman" w:hAnsi="Times New Roman" w:cs="Times New Roman"/>
          <w:b/>
          <w:bCs/>
          <w:kern w:val="0"/>
          <w14:ligatures w14:val="none"/>
        </w:rPr>
        <w:t>and Thematic Synthesis</w:t>
      </w:r>
    </w:p>
    <w:p w14:paraId="65D86578" w14:textId="77777777" w:rsidR="004E4F5C" w:rsidRPr="004E4F5C" w:rsidRDefault="004E4F5C" w:rsidP="004E4F5C">
      <w:pPr>
        <w:spacing w:after="0" w:line="480" w:lineRule="auto"/>
        <w:rPr>
          <w:rFonts w:ascii="Times New Roman" w:eastAsia="Times New Roman" w:hAnsi="Times New Roman" w:cs="Times New Roman"/>
          <w:i/>
          <w:iCs/>
          <w:kern w:val="0"/>
          <w14:ligatures w14:val="none"/>
        </w:rPr>
      </w:pPr>
    </w:p>
    <w:p w14:paraId="39B99844" w14:textId="77777777" w:rsidR="004E4F5C" w:rsidRPr="004E4F5C" w:rsidRDefault="004E4F5C" w:rsidP="004E4F5C">
      <w:pPr>
        <w:spacing w:after="0" w:line="480" w:lineRule="auto"/>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Analytical framework and thematic development</w:t>
      </w:r>
    </w:p>
    <w:p w14:paraId="20134338" w14:textId="77777777" w:rsidR="004E4F5C" w:rsidRPr="004E4F5C" w:rsidRDefault="004E4F5C" w:rsidP="004E4F5C">
      <w:pPr>
        <w:spacing w:after="0" w:line="480" w:lineRule="auto"/>
        <w:rPr>
          <w:rFonts w:ascii="Times New Roman" w:eastAsia="Times New Roman" w:hAnsi="Times New Roman" w:cs="Times New Roman"/>
          <w:kern w:val="0"/>
          <w14:ligatures w14:val="none"/>
        </w:rPr>
      </w:pPr>
    </w:p>
    <w:p w14:paraId="1E067F02"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7A432406"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Viewed through this lens, the keyword network (Figure 4) aligns with the four interrelated roles of the accounting complex:</w:t>
      </w:r>
    </w:p>
    <w:p w14:paraId="7CC9F223"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Subjectivizing (Red Cluster): Centres on professional identity, trust, and socialization, emphasizing the construction of auditor expertise and credibility.</w:t>
      </w:r>
    </w:p>
    <w:p w14:paraId="6A5B2192"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Territorializing (Green/Yellow Cluster): Focused on supreme audit institutions, government, and jurisdiction, reflecting how auditing delineates governable spaces.</w:t>
      </w:r>
    </w:p>
    <w:p w14:paraId="4523DDCB"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Mediating (Blue Cluster): Organises around sustainability, stakeholders, and evidence, highlighting assurance as a boundary mechanism translating heterogeneous concerns into credible forms.</w:t>
      </w:r>
    </w:p>
    <w:p w14:paraId="0C0082FA" w14:textId="77777777" w:rsidR="004E4F5C" w:rsidRPr="004E4F5C" w:rsidRDefault="004E4F5C" w:rsidP="004E4F5C">
      <w:pPr>
        <w:widowControl w:val="0"/>
        <w:numPr>
          <w:ilvl w:val="0"/>
          <w:numId w:val="6"/>
        </w:num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Adjudicating (Purple/Orange Clusters): Associated with risk, financial distress, and investors, concerning the evaluation of performance and consequences.</w:t>
      </w:r>
    </w:p>
    <w:p w14:paraId="0AAD5637"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These dimensions are not discrete categories but patterns of emphasis; their dense interconnection indicates that NFIA research routinely mobilizes multiple dimensions simultaneously.</w:t>
      </w:r>
    </w:p>
    <w:p w14:paraId="36D12198" w14:textId="77777777" w:rsidR="004E4F5C" w:rsidRPr="004E4F5C" w:rsidRDefault="004E4F5C" w:rsidP="004E4F5C">
      <w:pPr>
        <w:widowControl w:val="0"/>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1002A51B" w14:textId="77777777" w:rsidR="004E4F5C" w:rsidRPr="004E4F5C" w:rsidRDefault="004E4F5C" w:rsidP="004E4F5C">
      <w:pPr>
        <w:widowControl w:val="0"/>
        <w:spacing w:line="240" w:lineRule="auto"/>
        <w:ind w:firstLine="420"/>
        <w:jc w:val="both"/>
        <w:rPr>
          <w:rFonts w:ascii="Times New Roman" w:eastAsia="Times New Roman" w:hAnsi="Times New Roman" w:cs="Times New Roman"/>
          <w:kern w:val="0"/>
          <w14:ligatures w14:val="none"/>
        </w:rPr>
        <w:sectPr w:rsidR="004E4F5C" w:rsidRPr="004E4F5C" w:rsidSect="004E4F5C">
          <w:pgSz w:w="11906" w:h="16838"/>
          <w:pgMar w:top="1440" w:right="1440" w:bottom="1440" w:left="1440" w:header="851" w:footer="992" w:gutter="0"/>
          <w:cols w:space="425"/>
          <w:docGrid w:linePitch="326"/>
        </w:sectPr>
      </w:pPr>
      <w:r w:rsidRPr="004E4F5C">
        <w:rPr>
          <w:rFonts w:ascii="Times New Roman" w:eastAsia="Times New Roman" w:hAnsi="Times New Roman" w:cs="Times New Roman"/>
          <w:kern w:val="0"/>
          <w14:ligatures w14:val="none"/>
        </w:rPr>
        <w:br w:type="page"/>
      </w:r>
    </w:p>
    <w:tbl>
      <w:tblPr>
        <w:tblStyle w:val="GridTable1Light1"/>
        <w:tblW w:w="14454" w:type="dxa"/>
        <w:tblLook w:val="04A0" w:firstRow="1" w:lastRow="0" w:firstColumn="1" w:lastColumn="0" w:noHBand="0" w:noVBand="1"/>
      </w:tblPr>
      <w:tblGrid>
        <w:gridCol w:w="1621"/>
        <w:gridCol w:w="2627"/>
        <w:gridCol w:w="2358"/>
        <w:gridCol w:w="2573"/>
        <w:gridCol w:w="5275"/>
      </w:tblGrid>
      <w:tr w:rsidR="004E4F5C" w:rsidRPr="004E4F5C" w14:paraId="1FEA363B" w14:textId="77777777" w:rsidTr="00B44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4AAF7" w14:textId="77777777" w:rsidR="004E4F5C" w:rsidRPr="004E4F5C" w:rsidRDefault="004E4F5C" w:rsidP="004E4F5C">
            <w:pPr>
              <w:widowControl w:val="0"/>
              <w:jc w:val="center"/>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lastRenderedPageBreak/>
              <w:t>VOSviewer colour cluster</w:t>
            </w:r>
          </w:p>
        </w:tc>
        <w:tc>
          <w:tcPr>
            <w:tcW w:w="2627" w:type="dxa"/>
            <w:hideMark/>
          </w:tcPr>
          <w:p w14:paraId="0C9F9B61"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Representative keywords</w:t>
            </w:r>
          </w:p>
        </w:tc>
        <w:tc>
          <w:tcPr>
            <w:tcW w:w="2358" w:type="dxa"/>
            <w:hideMark/>
          </w:tcPr>
          <w:p w14:paraId="62187CF4"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Accounting complex </w:t>
            </w:r>
            <w:r w:rsidRPr="004E4F5C">
              <w:rPr>
                <w:rFonts w:ascii="Times New Roman" w:eastAsia="Times New Roman" w:hAnsi="Times New Roman" w:cs="Times New Roman"/>
                <w:kern w:val="0"/>
                <w:sz w:val="20"/>
                <w:szCs w:val="20"/>
                <w14:ligatures w14:val="none"/>
              </w:rPr>
              <w:br/>
              <w:t>(Miller &amp; Power, 2013)</w:t>
            </w:r>
          </w:p>
        </w:tc>
        <w:tc>
          <w:tcPr>
            <w:tcW w:w="2573" w:type="dxa"/>
            <w:hideMark/>
          </w:tcPr>
          <w:p w14:paraId="607E76A1"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 theme in this review</w:t>
            </w:r>
          </w:p>
        </w:tc>
        <w:tc>
          <w:tcPr>
            <w:tcW w:w="5275" w:type="dxa"/>
            <w:hideMark/>
          </w:tcPr>
          <w:p w14:paraId="6E99DE18" w14:textId="77777777" w:rsidR="004E4F5C" w:rsidRPr="004E4F5C" w:rsidRDefault="004E4F5C" w:rsidP="004E4F5C">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Rationale for the linkage</w:t>
            </w:r>
          </w:p>
        </w:tc>
      </w:tr>
      <w:tr w:rsidR="004E4F5C" w:rsidRPr="004E4F5C" w14:paraId="71E46066"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772F447B"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FF0000"/>
                <w:kern w:val="0"/>
                <w:sz w:val="20"/>
                <w:szCs w:val="20"/>
                <w14:ligatures w14:val="none"/>
              </w:rPr>
              <w:t>Red</w:t>
            </w:r>
          </w:p>
        </w:tc>
        <w:tc>
          <w:tcPr>
            <w:tcW w:w="2627" w:type="dxa"/>
            <w:hideMark/>
          </w:tcPr>
          <w:p w14:paraId="6B6314B9"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profession; auditor; accountant; trust; logic; meaning; socialisation; client; user</w:t>
            </w:r>
          </w:p>
        </w:tc>
        <w:tc>
          <w:tcPr>
            <w:tcW w:w="2358" w:type="dxa"/>
            <w:hideMark/>
          </w:tcPr>
          <w:p w14:paraId="531EE8BA"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Subjectivising</w:t>
            </w:r>
          </w:p>
        </w:tc>
        <w:tc>
          <w:tcPr>
            <w:tcW w:w="2573" w:type="dxa"/>
            <w:hideMark/>
          </w:tcPr>
          <w:p w14:paraId="63D31A95"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Inter-professional Dynamics and the Sociology of the Profession</w:t>
            </w:r>
          </w:p>
        </w:tc>
        <w:tc>
          <w:tcPr>
            <w:tcW w:w="5275" w:type="dxa"/>
            <w:hideMark/>
          </w:tcPr>
          <w:p w14:paraId="34AFBF5D"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centres on actors and identity terms (</w:t>
            </w:r>
            <w:r w:rsidRPr="004E4F5C">
              <w:rPr>
                <w:rFonts w:ascii="Times New Roman" w:eastAsia="Times New Roman" w:hAnsi="Times New Roman" w:cs="Times New Roman"/>
                <w:i/>
                <w:iCs/>
                <w:kern w:val="0"/>
                <w:sz w:val="20"/>
                <w:szCs w:val="20"/>
                <w14:ligatures w14:val="none"/>
              </w:rPr>
              <w:t>auditor, profession</w:t>
            </w:r>
            <w:r w:rsidRPr="004E4F5C">
              <w:rPr>
                <w:rFonts w:ascii="Times New Roman" w:eastAsia="Times New Roman" w:hAnsi="Times New Roman" w:cs="Times New Roman"/>
                <w:kern w:val="0"/>
                <w:sz w:val="20"/>
                <w:szCs w:val="20"/>
                <w14:ligatures w14:val="none"/>
              </w:rPr>
              <w:t xml:space="preserve">). </w:t>
            </w:r>
          </w:p>
          <w:p w14:paraId="554D2894"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Dense ties to legitimacy-signalling concepts (</w:t>
            </w:r>
            <w:r w:rsidRPr="004E4F5C">
              <w:rPr>
                <w:rFonts w:ascii="Times New Roman" w:eastAsia="Times New Roman" w:hAnsi="Times New Roman" w:cs="Times New Roman"/>
                <w:i/>
                <w:iCs/>
                <w:kern w:val="0"/>
                <w:sz w:val="20"/>
                <w:szCs w:val="20"/>
                <w14:ligatures w14:val="none"/>
              </w:rPr>
              <w:t>trust, meaning, logic</w:t>
            </w:r>
            <w:r w:rsidRPr="004E4F5C">
              <w:rPr>
                <w:rFonts w:ascii="Times New Roman" w:eastAsia="Times New Roman" w:hAnsi="Times New Roman" w:cs="Times New Roman"/>
                <w:kern w:val="0"/>
                <w:sz w:val="20"/>
                <w:szCs w:val="20"/>
                <w14:ligatures w14:val="none"/>
              </w:rPr>
              <w:t xml:space="preserve">). </w:t>
            </w:r>
          </w:p>
          <w:p w14:paraId="0C1A8EC9"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This vocabulary foregrounds how NFIA constitutes credible professional subjects and inter-professional boundaries. </w:t>
            </w:r>
          </w:p>
        </w:tc>
      </w:tr>
      <w:tr w:rsidR="004E4F5C" w:rsidRPr="004E4F5C" w14:paraId="2AFB3297"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61532FC6"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00B050"/>
                <w:kern w:val="0"/>
                <w:sz w:val="20"/>
                <w:szCs w:val="20"/>
                <w14:ligatures w14:val="none"/>
              </w:rPr>
              <w:t>Green</w:t>
            </w:r>
            <w:r w:rsidRPr="004E4F5C">
              <w:rPr>
                <w:rFonts w:ascii="Times New Roman" w:eastAsia="Times New Roman" w:hAnsi="Times New Roman" w:cs="Times New Roman"/>
                <w:kern w:val="0"/>
                <w:sz w:val="20"/>
                <w:szCs w:val="20"/>
                <w14:ligatures w14:val="none"/>
              </w:rPr>
              <w:br/>
            </w:r>
            <w:r w:rsidRPr="004E4F5C">
              <w:rPr>
                <w:rFonts w:ascii="Times New Roman" w:eastAsia="Times New Roman" w:hAnsi="Times New Roman" w:cs="Times New Roman"/>
                <w:color w:val="FFFF00"/>
                <w:kern w:val="0"/>
                <w:sz w:val="20"/>
                <w:szCs w:val="20"/>
                <w:highlight w:val="green"/>
                <w14:ligatures w14:val="none"/>
              </w:rPr>
              <w:t>Yellow</w:t>
            </w:r>
          </w:p>
        </w:tc>
        <w:tc>
          <w:tcPr>
            <w:tcW w:w="2627" w:type="dxa"/>
            <w:hideMark/>
          </w:tcPr>
          <w:p w14:paraId="4F5CAF8C"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supreme audit institution; government; accountability; implementation; jurisdiction; court; parliament; local government</w:t>
            </w:r>
          </w:p>
        </w:tc>
        <w:tc>
          <w:tcPr>
            <w:tcW w:w="2358" w:type="dxa"/>
            <w:hideMark/>
          </w:tcPr>
          <w:p w14:paraId="31C767E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Territorialising</w:t>
            </w:r>
          </w:p>
        </w:tc>
        <w:tc>
          <w:tcPr>
            <w:tcW w:w="2573" w:type="dxa"/>
            <w:hideMark/>
          </w:tcPr>
          <w:p w14:paraId="49EAAF50"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NFIA as a Socially Constructed and Institutional Practice</w:t>
            </w:r>
          </w:p>
        </w:tc>
        <w:tc>
          <w:tcPr>
            <w:tcW w:w="5275" w:type="dxa"/>
            <w:hideMark/>
          </w:tcPr>
          <w:p w14:paraId="4B545D17"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anchors on institutional sites and objects of audit (</w:t>
            </w:r>
            <w:r w:rsidRPr="004E4F5C">
              <w:rPr>
                <w:rFonts w:ascii="Times New Roman" w:eastAsia="Times New Roman" w:hAnsi="Times New Roman" w:cs="Times New Roman"/>
                <w:i/>
                <w:iCs/>
                <w:kern w:val="0"/>
                <w:sz w:val="20"/>
                <w:szCs w:val="20"/>
                <w14:ligatures w14:val="none"/>
              </w:rPr>
              <w:t>SAI, government</w:t>
            </w:r>
            <w:r w:rsidRPr="004E4F5C">
              <w:rPr>
                <w:rFonts w:ascii="Times New Roman" w:eastAsia="Times New Roman" w:hAnsi="Times New Roman" w:cs="Times New Roman"/>
                <w:kern w:val="0"/>
                <w:sz w:val="20"/>
                <w:szCs w:val="20"/>
                <w14:ligatures w14:val="none"/>
              </w:rPr>
              <w:t xml:space="preserve">). </w:t>
            </w:r>
          </w:p>
          <w:p w14:paraId="7E840AB3"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Keywords imply boundary-setting and systematisation (</w:t>
            </w:r>
            <w:r w:rsidRPr="004E4F5C">
              <w:rPr>
                <w:rFonts w:ascii="Times New Roman" w:eastAsia="Times New Roman" w:hAnsi="Times New Roman" w:cs="Times New Roman"/>
                <w:i/>
                <w:iCs/>
                <w:kern w:val="0"/>
                <w:sz w:val="20"/>
                <w:szCs w:val="20"/>
                <w14:ligatures w14:val="none"/>
              </w:rPr>
              <w:t>jurisdiction, implementation, accountability</w:t>
            </w:r>
            <w:r w:rsidRPr="004E4F5C">
              <w:rPr>
                <w:rFonts w:ascii="Times New Roman" w:eastAsia="Times New Roman" w:hAnsi="Times New Roman" w:cs="Times New Roman"/>
                <w:kern w:val="0"/>
                <w:sz w:val="20"/>
                <w:szCs w:val="20"/>
                <w14:ligatures w14:val="none"/>
              </w:rPr>
              <w:t xml:space="preserve">). </w:t>
            </w:r>
          </w:p>
          <w:p w14:paraId="2A9B82F1"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This points to the construction of auditable domains and governable spaces.</w:t>
            </w:r>
          </w:p>
        </w:tc>
      </w:tr>
      <w:tr w:rsidR="004E4F5C" w:rsidRPr="004E4F5C" w14:paraId="166C4141"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01D098EF"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0070C0"/>
                <w:kern w:val="0"/>
                <w:sz w:val="20"/>
                <w:szCs w:val="20"/>
                <w14:ligatures w14:val="none"/>
              </w:rPr>
              <w:t>Blue</w:t>
            </w:r>
          </w:p>
        </w:tc>
        <w:tc>
          <w:tcPr>
            <w:tcW w:w="2627" w:type="dxa"/>
            <w:hideMark/>
          </w:tcPr>
          <w:p w14:paraId="3A87C6A4"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sustainability; corporate social responsibility; stakeholder; engagement; evidence; service; perception; demand</w:t>
            </w:r>
          </w:p>
        </w:tc>
        <w:tc>
          <w:tcPr>
            <w:tcW w:w="2358" w:type="dxa"/>
            <w:hideMark/>
          </w:tcPr>
          <w:p w14:paraId="05DC55CE"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Mediating</w:t>
            </w:r>
          </w:p>
        </w:tc>
        <w:tc>
          <w:tcPr>
            <w:tcW w:w="2573" w:type="dxa"/>
            <w:hideMark/>
          </w:tcPr>
          <w:p w14:paraId="70D46A3E"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The Broader Political and Managerial Utility of NFIA</w:t>
            </w:r>
          </w:p>
        </w:tc>
        <w:tc>
          <w:tcPr>
            <w:tcW w:w="5275" w:type="dxa"/>
            <w:hideMark/>
          </w:tcPr>
          <w:p w14:paraId="1FFCC563"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centres on assurance as an interface (</w:t>
            </w:r>
            <w:r w:rsidRPr="004E4F5C">
              <w:rPr>
                <w:rFonts w:ascii="Times New Roman" w:eastAsia="Times New Roman" w:hAnsi="Times New Roman" w:cs="Times New Roman"/>
                <w:i/>
                <w:iCs/>
                <w:kern w:val="0"/>
                <w:sz w:val="20"/>
                <w:szCs w:val="20"/>
                <w14:ligatures w14:val="none"/>
              </w:rPr>
              <w:t>service, engagement</w:t>
            </w:r>
            <w:r w:rsidRPr="004E4F5C">
              <w:rPr>
                <w:rFonts w:ascii="Times New Roman" w:eastAsia="Times New Roman" w:hAnsi="Times New Roman" w:cs="Times New Roman"/>
                <w:kern w:val="0"/>
                <w:sz w:val="20"/>
                <w:szCs w:val="20"/>
                <w14:ligatures w14:val="none"/>
              </w:rPr>
              <w:t xml:space="preserve">). </w:t>
            </w:r>
          </w:p>
          <w:p w14:paraId="3F2D19FE"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Strong links to disclosure domains and audiences (</w:t>
            </w:r>
            <w:r w:rsidRPr="004E4F5C">
              <w:rPr>
                <w:rFonts w:ascii="Times New Roman" w:eastAsia="Times New Roman" w:hAnsi="Times New Roman" w:cs="Times New Roman"/>
                <w:i/>
                <w:iCs/>
                <w:kern w:val="0"/>
                <w:sz w:val="20"/>
                <w:szCs w:val="20"/>
                <w14:ligatures w14:val="none"/>
              </w:rPr>
              <w:t>CSR, sustainability, stakeholder</w:t>
            </w:r>
            <w:r w:rsidRPr="004E4F5C">
              <w:rPr>
                <w:rFonts w:ascii="Times New Roman" w:eastAsia="Times New Roman" w:hAnsi="Times New Roman" w:cs="Times New Roman"/>
                <w:kern w:val="0"/>
                <w:sz w:val="20"/>
                <w:szCs w:val="20"/>
                <w14:ligatures w14:val="none"/>
              </w:rPr>
              <w:t xml:space="preserve">). </w:t>
            </w:r>
          </w:p>
          <w:p w14:paraId="404AF380" w14:textId="77777777" w:rsidR="004E4F5C" w:rsidRPr="004E4F5C" w:rsidRDefault="004E4F5C" w:rsidP="004E4F5C">
            <w:pPr>
              <w:widowControl w:val="0"/>
              <w:numPr>
                <w:ilvl w:val="0"/>
                <w:numId w:val="7"/>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Keywords imply translation of diverse information into credible forms (</w:t>
            </w:r>
            <w:r w:rsidRPr="004E4F5C">
              <w:rPr>
                <w:rFonts w:ascii="Times New Roman" w:eastAsia="Times New Roman" w:hAnsi="Times New Roman" w:cs="Times New Roman"/>
                <w:i/>
                <w:iCs/>
                <w:kern w:val="0"/>
                <w:sz w:val="20"/>
                <w:szCs w:val="20"/>
                <w14:ligatures w14:val="none"/>
              </w:rPr>
              <w:t>evidence, quality</w:t>
            </w:r>
            <w:r w:rsidRPr="004E4F5C">
              <w:rPr>
                <w:rFonts w:ascii="Times New Roman" w:eastAsia="Times New Roman" w:hAnsi="Times New Roman" w:cs="Times New Roman"/>
                <w:kern w:val="0"/>
                <w:sz w:val="20"/>
                <w:szCs w:val="20"/>
                <w14:ligatures w14:val="none"/>
              </w:rPr>
              <w:t xml:space="preserve">). </w:t>
            </w:r>
          </w:p>
        </w:tc>
      </w:tr>
      <w:tr w:rsidR="004E4F5C" w:rsidRPr="004E4F5C" w14:paraId="286CB758" w14:textId="77777777" w:rsidTr="00B44024">
        <w:tc>
          <w:tcPr>
            <w:cnfStyle w:val="001000000000" w:firstRow="0" w:lastRow="0" w:firstColumn="1" w:lastColumn="0" w:oddVBand="0" w:evenVBand="0" w:oddHBand="0" w:evenHBand="0" w:firstRowFirstColumn="0" w:firstRowLastColumn="0" w:lastRowFirstColumn="0" w:lastRowLastColumn="0"/>
            <w:tcW w:w="0" w:type="auto"/>
            <w:hideMark/>
          </w:tcPr>
          <w:p w14:paraId="52102697" w14:textId="77777777" w:rsidR="004E4F5C" w:rsidRPr="004E4F5C" w:rsidRDefault="004E4F5C" w:rsidP="004E4F5C">
            <w:pPr>
              <w:widowControl w:val="0"/>
              <w:jc w:val="both"/>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color w:val="7030A0"/>
                <w:kern w:val="0"/>
                <w:sz w:val="20"/>
                <w:szCs w:val="20"/>
                <w14:ligatures w14:val="none"/>
              </w:rPr>
              <w:t>Purple</w:t>
            </w:r>
            <w:r w:rsidRPr="004E4F5C">
              <w:rPr>
                <w:rFonts w:ascii="Times New Roman" w:eastAsia="Times New Roman" w:hAnsi="Times New Roman" w:cs="Times New Roman"/>
                <w:kern w:val="0"/>
                <w:sz w:val="20"/>
                <w:szCs w:val="20"/>
                <w14:ligatures w14:val="none"/>
              </w:rPr>
              <w:br/>
            </w:r>
            <w:r w:rsidRPr="004E4F5C">
              <w:rPr>
                <w:rFonts w:ascii="Times New Roman" w:eastAsia="Times New Roman" w:hAnsi="Times New Roman" w:cs="Times New Roman"/>
                <w:color w:val="FFC000"/>
                <w:kern w:val="0"/>
                <w:sz w:val="20"/>
                <w:szCs w:val="20"/>
                <w14:ligatures w14:val="none"/>
              </w:rPr>
              <w:t>Orange</w:t>
            </w:r>
          </w:p>
        </w:tc>
        <w:tc>
          <w:tcPr>
            <w:tcW w:w="2627" w:type="dxa"/>
            <w:hideMark/>
          </w:tcPr>
          <w:p w14:paraId="50A54FB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i/>
                <w:iCs/>
                <w:kern w:val="0"/>
                <w:sz w:val="20"/>
                <w:szCs w:val="20"/>
                <w14:ligatures w14:val="none"/>
              </w:rPr>
              <w:t>firm; risk; competition; financial distress likelihood; investor; decision; information asymmetry; cost; intention; ESG</w:t>
            </w:r>
          </w:p>
        </w:tc>
        <w:tc>
          <w:tcPr>
            <w:tcW w:w="2358" w:type="dxa"/>
            <w:hideMark/>
          </w:tcPr>
          <w:p w14:paraId="70F0DA2D"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Adjudicating</w:t>
            </w:r>
          </w:p>
        </w:tc>
        <w:tc>
          <w:tcPr>
            <w:tcW w:w="2573" w:type="dxa"/>
            <w:hideMark/>
          </w:tcPr>
          <w:p w14:paraId="62EEEC5A" w14:textId="77777777" w:rsidR="004E4F5C" w:rsidRPr="004E4F5C" w:rsidRDefault="004E4F5C" w:rsidP="004E4F5C">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Determinants and Consequences of NFIA</w:t>
            </w:r>
          </w:p>
        </w:tc>
        <w:tc>
          <w:tcPr>
            <w:tcW w:w="5275" w:type="dxa"/>
            <w:hideMark/>
          </w:tcPr>
          <w:p w14:paraId="02EE2A37"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Cluster vocabulary is evaluative and outcome-oriented (</w:t>
            </w:r>
            <w:r w:rsidRPr="004E4F5C">
              <w:rPr>
                <w:rFonts w:ascii="Times New Roman" w:eastAsia="Times New Roman" w:hAnsi="Times New Roman" w:cs="Times New Roman"/>
                <w:i/>
                <w:iCs/>
                <w:kern w:val="0"/>
                <w:sz w:val="20"/>
                <w:szCs w:val="20"/>
                <w14:ligatures w14:val="none"/>
              </w:rPr>
              <w:t>risk, distress, investor, information asymmetry</w:t>
            </w:r>
            <w:r w:rsidRPr="004E4F5C">
              <w:rPr>
                <w:rFonts w:ascii="Times New Roman" w:eastAsia="Times New Roman" w:hAnsi="Times New Roman" w:cs="Times New Roman"/>
                <w:kern w:val="0"/>
                <w:sz w:val="20"/>
                <w:szCs w:val="20"/>
                <w14:ligatures w14:val="none"/>
              </w:rPr>
              <w:t xml:space="preserve">). </w:t>
            </w:r>
          </w:p>
          <w:p w14:paraId="05D63A94"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It tracks determinants (why assurance is adopted) and consequences (market/behavioural effects). </w:t>
            </w:r>
          </w:p>
          <w:p w14:paraId="0691F4E5" w14:textId="77777777" w:rsidR="004E4F5C" w:rsidRPr="004E4F5C" w:rsidRDefault="004E4F5C" w:rsidP="004E4F5C">
            <w:pPr>
              <w:widowControl w:val="0"/>
              <w:numPr>
                <w:ilvl w:val="0"/>
                <w:numId w:val="8"/>
              </w:numPr>
              <w:ind w:left="347"/>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4E4F5C">
              <w:rPr>
                <w:rFonts w:ascii="Times New Roman" w:eastAsia="Times New Roman" w:hAnsi="Times New Roman" w:cs="Times New Roman"/>
                <w:kern w:val="0"/>
                <w:sz w:val="20"/>
                <w:szCs w:val="20"/>
                <w14:ligatures w14:val="none"/>
              </w:rPr>
              <w:t xml:space="preserve">This mirrors adjudicating: evaluating success/failure and attributing performance effects. </w:t>
            </w:r>
          </w:p>
        </w:tc>
      </w:tr>
    </w:tbl>
    <w:p w14:paraId="6DC28475" w14:textId="77777777" w:rsidR="004E4F5C" w:rsidRPr="004E4F5C" w:rsidRDefault="004E4F5C" w:rsidP="004E4F5C">
      <w:pPr>
        <w:spacing w:after="0" w:line="24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lang w:val="en-US"/>
          <w14:ligatures w14:val="none"/>
        </w:rPr>
        <w:t xml:space="preserve">Table 5. </w:t>
      </w:r>
      <w:r w:rsidRPr="004E4F5C">
        <w:rPr>
          <w:rFonts w:ascii="Times New Roman" w:eastAsia="Times New Roman" w:hAnsi="Times New Roman" w:cs="Times New Roman"/>
          <w:b/>
          <w:bCs/>
          <w:kern w:val="0"/>
          <w14:ligatures w14:val="none"/>
        </w:rPr>
        <w:t>Mapping VOSviewer keyword clusters to the accounting complex and empirically derived themes</w:t>
      </w:r>
    </w:p>
    <w:p w14:paraId="5A607F7A" w14:textId="77777777" w:rsidR="004E4F5C" w:rsidRPr="004E4F5C" w:rsidRDefault="004E4F5C" w:rsidP="004E4F5C">
      <w:pPr>
        <w:spacing w:after="0" w:line="240" w:lineRule="auto"/>
        <w:jc w:val="both"/>
        <w:rPr>
          <w:rFonts w:ascii="Times New Roman" w:eastAsia="Times New Roman" w:hAnsi="Times New Roman" w:cs="Times New Roman"/>
          <w:kern w:val="0"/>
          <w:lang w:val="en-US"/>
          <w14:ligatures w14:val="none"/>
        </w:rPr>
      </w:pPr>
      <w:r w:rsidRPr="004E4F5C">
        <w:rPr>
          <w:rFonts w:ascii="Times New Roman" w:eastAsia="Times New Roman" w:hAnsi="Times New Roman" w:cs="Times New Roman"/>
          <w:i/>
          <w:iCs/>
          <w:kern w:val="0"/>
          <w14:ligatures w14:val="none"/>
        </w:rPr>
        <w:t>Source: Author’s analysis, informed by Miller and Power (2013)</w:t>
      </w:r>
    </w:p>
    <w:p w14:paraId="430758A4"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0BE065F2"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sectPr w:rsidR="004E4F5C" w:rsidRPr="004E4F5C" w:rsidSect="004E4F5C">
          <w:pgSz w:w="16838" w:h="11906" w:orient="landscape"/>
          <w:pgMar w:top="1440" w:right="1440" w:bottom="1440" w:left="1440" w:header="851" w:footer="992" w:gutter="0"/>
          <w:cols w:space="425"/>
          <w:docGrid w:linePitch="326"/>
        </w:sectPr>
      </w:pPr>
    </w:p>
    <w:p w14:paraId="3AB3AAA3" w14:textId="77777777" w:rsidR="004E4F5C" w:rsidRPr="004E4F5C" w:rsidRDefault="004E4F5C" w:rsidP="004E4F5C">
      <w:pPr>
        <w:widowControl w:val="0"/>
        <w:spacing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 The following section moves from classification to narrative synthesis, analysing how these themes and sub-themes are substantively developed and theoretically mobilized within the NFIA literature.</w:t>
      </w:r>
    </w:p>
    <w:p w14:paraId="19A6121F" w14:textId="77777777" w:rsidR="004E4F5C" w:rsidRPr="004E4F5C" w:rsidRDefault="004E4F5C" w:rsidP="004E4F5C">
      <w:pPr>
        <w:widowControl w:val="0"/>
        <w:spacing w:line="240" w:lineRule="auto"/>
        <w:jc w:val="both"/>
        <w:rPr>
          <w:rFonts w:ascii="Times New Roman" w:eastAsia="Times New Roman" w:hAnsi="Times New Roman" w:cs="Times New Roman"/>
          <w:kern w:val="0"/>
          <w14:ligatures w14:val="none"/>
        </w:rPr>
      </w:pPr>
    </w:p>
    <w:p w14:paraId="1312001D" w14:textId="77777777" w:rsidR="004E4F5C" w:rsidRPr="004E4F5C" w:rsidRDefault="004E4F5C" w:rsidP="004E4F5C">
      <w:pPr>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br w:type="page"/>
      </w:r>
    </w:p>
    <w:p w14:paraId="349B0BA3"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i/>
          <w:iCs/>
          <w:kern w:val="0"/>
          <w14:ligatures w14:val="none"/>
        </w:rPr>
        <w:lastRenderedPageBreak/>
        <w:t>Meta-synthesis of empirical NFIA research themes</w:t>
      </w:r>
      <w:r w:rsidRPr="004E4F5C">
        <w:rPr>
          <w:rFonts w:ascii="Times New Roman" w:eastAsia="Times New Roman" w:hAnsi="Times New Roman" w:cs="Times New Roman"/>
          <w:b/>
          <w:bCs/>
          <w:noProof/>
          <w:kern w:val="0"/>
          <w14:ligatures w14:val="none"/>
        </w:rPr>
        <w:drawing>
          <wp:inline distT="0" distB="0" distL="0" distR="0" wp14:anchorId="6CCEB278" wp14:editId="50A1A57F">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9"/>
                    <a:stretch>
                      <a:fillRect/>
                    </a:stretch>
                  </pic:blipFill>
                  <pic:spPr>
                    <a:xfrm>
                      <a:off x="0" y="0"/>
                      <a:ext cx="5677692" cy="2372056"/>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6456D55F" wp14:editId="72448E5A">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0"/>
                    <a:stretch>
                      <a:fillRect/>
                    </a:stretch>
                  </pic:blipFill>
                  <pic:spPr>
                    <a:xfrm>
                      <a:off x="0" y="0"/>
                      <a:ext cx="5731510" cy="2072640"/>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4B1601AA" wp14:editId="264AB10C">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1"/>
                    <a:stretch>
                      <a:fillRect/>
                    </a:stretch>
                  </pic:blipFill>
                  <pic:spPr>
                    <a:xfrm>
                      <a:off x="0" y="0"/>
                      <a:ext cx="5731510" cy="1476375"/>
                    </a:xfrm>
                    <a:prstGeom prst="rect">
                      <a:avLst/>
                    </a:prstGeom>
                  </pic:spPr>
                </pic:pic>
              </a:graphicData>
            </a:graphic>
          </wp:inline>
        </w:drawing>
      </w:r>
      <w:r w:rsidRPr="004E4F5C">
        <w:rPr>
          <w:rFonts w:ascii="Times New Roman" w:eastAsia="Times New Roman" w:hAnsi="Times New Roman" w:cs="Times New Roman"/>
          <w:b/>
          <w:bCs/>
          <w:noProof/>
          <w:kern w:val="0"/>
          <w14:ligatures w14:val="none"/>
        </w:rPr>
        <w:drawing>
          <wp:inline distT="0" distB="0" distL="0" distR="0" wp14:anchorId="1A76EE7B" wp14:editId="5FA7A558">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2"/>
                    <a:stretch>
                      <a:fillRect/>
                    </a:stretch>
                  </pic:blipFill>
                  <pic:spPr>
                    <a:xfrm>
                      <a:off x="0" y="0"/>
                      <a:ext cx="5731510" cy="1767205"/>
                    </a:xfrm>
                    <a:prstGeom prst="rect">
                      <a:avLst/>
                    </a:prstGeom>
                  </pic:spPr>
                </pic:pic>
              </a:graphicData>
            </a:graphic>
          </wp:inline>
        </w:drawing>
      </w:r>
    </w:p>
    <w:p w14:paraId="3B1A4169" w14:textId="77777777" w:rsidR="004E4F5C" w:rsidRPr="004E4F5C" w:rsidRDefault="004E4F5C" w:rsidP="004E4F5C">
      <w:pPr>
        <w:spacing w:after="0" w:line="240" w:lineRule="auto"/>
        <w:jc w:val="both"/>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lang w:val="en-US"/>
          <w14:ligatures w14:val="none"/>
        </w:rPr>
        <w:t xml:space="preserve">Table 6. </w:t>
      </w:r>
      <w:r w:rsidRPr="004E4F5C">
        <w:rPr>
          <w:rFonts w:ascii="Times New Roman" w:eastAsia="Times New Roman" w:hAnsi="Times New Roman" w:cs="Times New Roman"/>
          <w:b/>
          <w:bCs/>
          <w:kern w:val="0"/>
          <w14:ligatures w14:val="none"/>
        </w:rPr>
        <w:t>A multi-dimensional meta-synthesis of empirical NFIA research themes</w:t>
      </w:r>
    </w:p>
    <w:p w14:paraId="794C20C6" w14:textId="77777777" w:rsidR="004E4F5C" w:rsidRPr="004E4F5C" w:rsidRDefault="004E4F5C" w:rsidP="004E4F5C">
      <w:pPr>
        <w:spacing w:after="0" w:line="240" w:lineRule="auto"/>
        <w:jc w:val="both"/>
        <w:rPr>
          <w:rFonts w:ascii="Times New Roman" w:eastAsia="Times New Roman" w:hAnsi="Times New Roman" w:cs="Times New Roman"/>
          <w:kern w:val="0"/>
          <w:lang w:val="en-US"/>
          <w14:ligatures w14:val="none"/>
        </w:rPr>
      </w:pPr>
      <w:r w:rsidRPr="004E4F5C">
        <w:rPr>
          <w:rFonts w:ascii="Times New Roman" w:eastAsia="Times New Roman" w:hAnsi="Times New Roman" w:cs="Times New Roman"/>
          <w:i/>
          <w:iCs/>
          <w:kern w:val="0"/>
          <w14:ligatures w14:val="none"/>
        </w:rPr>
        <w:t>Source: Author’s analysis</w:t>
      </w:r>
    </w:p>
    <w:p w14:paraId="78923EA4" w14:textId="77777777" w:rsidR="004E4F5C" w:rsidRPr="004E4F5C" w:rsidRDefault="004E4F5C" w:rsidP="004E4F5C">
      <w:pPr>
        <w:rPr>
          <w:rFonts w:ascii="Times New Roman" w:eastAsia="Times New Roman" w:hAnsi="Times New Roman" w:cs="Times New Roman"/>
          <w:b/>
          <w:bCs/>
          <w:kern w:val="0"/>
          <w14:ligatures w14:val="none"/>
        </w:rPr>
      </w:pPr>
    </w:p>
    <w:p w14:paraId="1D7A1D61"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Rather than mapping alone, the synthesis highlights what the field consistently examines—and what it tends to leave untouched, showing how the structure of NFIA research determines what can be governed. The field configuration reveals a pronounced orientation toward market-facing outcomes; NFIA is rendered legible primarily through economic consequences, while internal audit mechanics remain obscured (Fuhrmann, Ott, Looks and Guenther, 2017; Chi, Cheng and Wang, 2020; Carey, Khan, Mihret and Muttakin, 2021). 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(Clarkson, Li, Richardson and Tsang, 2019; Sánchez-Sancho, Martínez-Ferrero and Perote-Peña, 2025). Consequently, assurance is examined more through its effects on pricing and risk than through the situated interactions constituting audit practice (Perego &amp; Kolk, 2012; Owen, Swift, Humphrey and Bowerman, 2000).</w:t>
      </w:r>
    </w:p>
    <w:p w14:paraId="70C5D931"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methodological cleavage in the literature illustrates this dynamic. Archival approaches frame assurance as an adjudicating device valued for signalling and risk mitigation (Liao, Teng and Zhang, 2018;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While investors occasionally peer into the "black box" by differentiating based on scope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reputational heuristics and provider identity frequently substitute for engagement with actual assurance processes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Oware &amp; Appiah, 2022). </w:t>
      </w:r>
    </w:p>
    <w:p w14:paraId="712A2D86"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Qualitative research offers a counterpoint, foregrounding negotiated materiality, "dry runs," and the co-construction of auditability (O’Dwyer, 2011;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(Canning, O’Dwyer and Georgakopoulos, 2019; Farooq &amp; de Villiers, 2019).</w:t>
      </w:r>
    </w:p>
    <w:p w14:paraId="7A217047"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That said, the carbon (GHG) domain foregrounds team dynamics, signalling the normalization of multidisciplinary expertise (Green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2017; Ekasingh, Simnett and Green, 2019). Here, the auditor is a coordinating actor within hybrid calculative arrangements (Kim, Green and Johnstone, 2016).</w:t>
      </w:r>
    </w:p>
    <w:p w14:paraId="6FDD44B5"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concentration of market studies in CSR/ESG research points to a broader financialisation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2019)—remain fragmented. This leaves unresolved tensions between assurance as a credibility tool and as a catalyst for substantive change, particularly given the prevalence of limited assurance and reliance on internal data (Bepari &amp; Mollik, 2016;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w:t>
      </w:r>
    </w:p>
    <w:p w14:paraId="16A1C9C5" w14:textId="77777777" w:rsidR="004E4F5C" w:rsidRPr="004E4F5C" w:rsidRDefault="004E4F5C" w:rsidP="004E4F5C">
      <w:pPr>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From Heatmap Constraints to Sub-theme Deepening</w:t>
      </w:r>
    </w:p>
    <w:p w14:paraId="57C64156" w14:textId="77777777" w:rsidR="004E4F5C" w:rsidRPr="004E4F5C" w:rsidRDefault="004E4F5C" w:rsidP="004E4F5C">
      <w:pPr>
        <w:spacing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rsidRPr="004E4F5C">
        <w:rPr>
          <w:rFonts w:ascii="Times New Roman" w:eastAsia="Times New Roman" w:hAnsi="Times New Roman" w:cs="Times New Roman"/>
          <w:kern w:val="0"/>
          <w14:ligatures w14:val="none"/>
        </w:rP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BC577FA" w14:textId="77777777" w:rsidR="004E4F5C" w:rsidRPr="004E4F5C" w:rsidRDefault="004E4F5C" w:rsidP="004E4F5C">
      <w:pPr>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Inter-professional Dynamics and the Sociology of the Profession</w:t>
      </w:r>
    </w:p>
    <w:p w14:paraId="119895B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jurisdictional competition literature positions sustainability assurance as an arena of professional struggle in which accounting firms and specialist providers contest authority over methods, standards, and evaluative criteria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((Larrinaga, Rossi, Luque-Vílchez and Núñez-Solidoro, 2018; Ackers, 2009; Bradbury, Jia and Li, 2022).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(Casey &amp; Grenier, 2015; Bentley-Goode, Simnett, Thompson and Trotman, 2024).</w:t>
      </w:r>
    </w:p>
    <w:p w14:paraId="25B3D2D0"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Although this literature appears, on its surface, to operate at a field level, its dynamics can be reinterpreted through the lens of the accounting complex. In Miller and Power (2013)’s terms, subjectivization refers to the production of actors who come to understand responsibility, choice, and accountability through calculative norms. From this perspective, jurisdictional conflict is not external to subjectivization but constitutes one of its mechanisms. Competing assurance frameworks and professional logics reshape what it means to be an assurer. Accounting firms promote subject positions centred on procedural rigour, risk management, </w:t>
      </w:r>
      <w:r w:rsidRPr="004E4F5C">
        <w:rPr>
          <w:rFonts w:ascii="Times New Roman" w:eastAsia="Times New Roman" w:hAnsi="Times New Roman" w:cs="Times New Roman"/>
          <w:kern w:val="0"/>
          <w14:ligatures w14:val="none"/>
        </w:rPr>
        <w:lastRenderedPageBreak/>
        <w:t xml:space="preserve">and auditability through the privileging of ISAE 3000, while specialist providers advance alternative subjectivities grounded in contextual expertise, stakeholder engagement, and narrative justification, often articulated through AA1000 (Bepari &amp; Mollik, 2016; Perego &amp; Kolk, 2012;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7EAB46C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These dynamics are reinforced through responsibilisation.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Jurisdictional competition thus functions as a struggle over which calculative subjectivities become dominant and which responsibilities are rendered legitimate.</w:t>
      </w:r>
    </w:p>
    <w:p w14:paraId="0BC762F7"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7B2C5E6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Moreover, the persistence of fragmented markets and hybrid arrangements—particularly in GHG assurance, where cooperative and multidisciplinary models are observed—reflects what Miller and Power </w:t>
      </w:r>
      <w:r w:rsidRPr="004E4F5C">
        <w:rPr>
          <w:rFonts w:ascii="Times New Roman" w:eastAsia="Times New Roman" w:hAnsi="Times New Roman" w:cs="Times New Roman"/>
          <w:kern w:val="0"/>
          <w14:ligatures w14:val="none"/>
        </w:rPr>
        <w:lastRenderedPageBreak/>
        <w:t xml:space="preserve">(2013) describe as the accounting complex’s condition of constant reform and endemic failure to stabilise a single, global logic. Rather than anomalies, these fragmentations signal the fluidity and historical contingency of subjectivization processes within non-financial assurance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Martínez-Ferrero, Sánchez-Sancho and García-Meca, 2025; Mnif &amp; Kchaou, 2025).</w:t>
      </w:r>
    </w:p>
    <w:p w14:paraId="702E192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33883D65"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NFIA as a Socially Constructed and Institutional Practice</w:t>
      </w:r>
    </w:p>
    <w:p w14:paraId="0CA81D2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In Miller and Power (2013)’s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2013). Read through this lens, the NFIA literature reveals assurance as a key mechanism through which sustainability and public accountability are spatially organised and made administrable.</w:t>
      </w:r>
    </w:p>
    <w:p w14:paraId="2872B290"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Silvola and Vinnari, 2021; Farooq and de Villiers, 2019). In Miller and Power (2013)’s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533918E6"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Territorialisation is closely tied to the production of facticity and objectivity. Miller and Power (2013)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managerialisation in which political or ethical concerns are reframed as technical management problems solvable through appropriate assurance techniques (Radcliffe, 2008; Islam, Deegan and Gray, 2018; Rohani, Jabbour and Aliyu, 2023).</w:t>
      </w:r>
    </w:p>
    <w:p w14:paraId="507D208C"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literature exposes the loose coupling between these calculative envelopes (Miller and Power, 2013) and underlying practices. Backstage negotiations, pre-assurance reviews, and scope exclusions reveal how assurance territories are continuously adjusted to ensure manageability and avoid disruptive findings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Farooq and de Villiers, 2019). Consistent with Miller and Power (2013)’s argument that accounting elaboration often proceeds regardless of functional effectiveness, these practices help explain why NFIA can sustain legitimacy and order even when substantive change is limited (Morin, 2016;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6B56716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2022). As Miller and Power (2013) argue, such artefacts are not neutral tools but integral technologies through which programmes of accountability are realised and stabilised.</w:t>
      </w:r>
    </w:p>
    <w:p w14:paraId="6E494E63"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0D512162"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7C7A51FD"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lastRenderedPageBreak/>
        <w:t>The Broader Political and Managerial Utility of NFIA</w:t>
      </w:r>
    </w:p>
    <w:p w14:paraId="7BA8493F"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020EFD49"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Audit reports function as boundary objects that simultaneously support legislative oversight, managerial reform, and political contestation, even when these objectives sit in tension with one another (Funnell, Wade and Jupe, 2016; Lapsley and Vakkuri, 2002). In Miller and Power (2013)’s terms, performance audit operates as a mediating dispositif precisely because its inscriptions are sufficiently stable to circulate, yet sufficiently ambiguous to align diverse interests.</w:t>
      </w:r>
    </w:p>
    <w:p w14:paraId="141795B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 Hazgui, Triantafillou and Elmer Christensen, 2022). This loose coupling between political ideals and </w:t>
      </w:r>
      <w:r w:rsidRPr="004E4F5C">
        <w:rPr>
          <w:rFonts w:ascii="Times New Roman" w:eastAsia="Times New Roman" w:hAnsi="Times New Roman" w:cs="Times New Roman"/>
          <w:kern w:val="0"/>
          <w14:ligatures w14:val="none"/>
        </w:rPr>
        <w:lastRenderedPageBreak/>
        <w:t>organisational outcomes reflects Miller and Power (2013)’s observation that accounting reforms proliferate even where functional impacts are uncertain, sustaining legitimacy through symbolic alignment rather than substantive resolution (Morin, 2016; Cordery, Arora and Manochin, 2023).</w:t>
      </w:r>
    </w:p>
    <w:p w14:paraId="67D6554F"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Review-based syntheses similarly organise CSR/ESG assurance primarily around domain-specific assurance elements and greenwashing/credibility concerns, leaving the mediating role of assurance comparatively under-theorised (Farooq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Free, Jones &amp; Tremblay, 2024). This 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2493966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p>
    <w:p w14:paraId="4CFE0466" w14:textId="77777777" w:rsidR="004E4F5C" w:rsidRPr="004E4F5C" w:rsidRDefault="004E4F5C" w:rsidP="004E4F5C">
      <w:pPr>
        <w:widowControl w:val="0"/>
        <w:spacing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Determinants and Consequences of NFIA</w:t>
      </w:r>
    </w:p>
    <w:p w14:paraId="47FB971E"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w:t>
      </w:r>
      <w:r w:rsidRPr="004E4F5C">
        <w:rPr>
          <w:rFonts w:ascii="Times New Roman" w:eastAsia="Times New Roman" w:hAnsi="Times New Roman" w:cs="Times New Roman"/>
          <w:kern w:val="0"/>
          <w14:ligatures w14:val="none"/>
        </w:rPr>
        <w:lastRenderedPageBreak/>
        <w:t xml:space="preserve">disclosure credibility (Ballou, Chen, Grenier and Heitger, 2015; Casey and Grenier, 2015;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Pinnuck, Simnett, Soderstrom and Zhou, 2021;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2025; Yang and Maresova, 2025).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19E1407A"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Chi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2020;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Sánchez-Sancho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other studies demonstrate reliance on reputational heuristics, particularly the symbolic authority of Big 4 providers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Oware and Appiah, 2022). This tension illustrates Miller and Power (2013)’s claim that adjudication functions as a widely diffused “style of thought,” rather than a purely rational calculus.</w:t>
      </w:r>
    </w:p>
    <w:p w14:paraId="7173555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Assurance and Greenwashing sub-stream further exposes adjudication’s ambivalence. Assurance is shown to deter symbolic disclosure and detect errors (Ballou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2015; Pinnuck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2021; Bentley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2024), yet it can also be strategically constrained through limited scopes, provider shopping, and managerial capture, thereby sustaining a veneer of legitimacy </w:t>
      </w:r>
      <w:r w:rsidRPr="004E4F5C">
        <w:rPr>
          <w:rFonts w:ascii="Times New Roman" w:eastAsia="Times New Roman" w:hAnsi="Times New Roman" w:cs="Times New Roman"/>
          <w:kern w:val="0"/>
          <w14:ligatures w14:val="none"/>
        </w:rPr>
        <w:lastRenderedPageBreak/>
        <w:t>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(Douthit, Kachelmeier and Van Landuyt, 2024), consistent with Miller and Power (2013)’s observation that adjudication expands readily to new objects of valuation.</w:t>
      </w:r>
    </w:p>
    <w:p w14:paraId="709E06AE"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blackboxed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797328D5"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p>
    <w:p w14:paraId="51F27BAC"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5E7F5EE8"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5768D9EC"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Discussion and Conclusion</w:t>
      </w:r>
    </w:p>
    <w:p w14:paraId="6C7D254C" w14:textId="77777777" w:rsidR="004E4F5C" w:rsidRPr="004E4F5C" w:rsidRDefault="004E4F5C" w:rsidP="004E4F5C">
      <w:pPr>
        <w:spacing w:after="0" w:line="480" w:lineRule="auto"/>
        <w:ind w:left="360" w:firstLine="491"/>
        <w:contextualSpacing/>
        <w:jc w:val="both"/>
        <w:rPr>
          <w:rFonts w:ascii="Times New Roman" w:eastAsia="Times New Roman" w:hAnsi="Times New Roman" w:cs="Times New Roman"/>
          <w:kern w:val="0"/>
          <w14:ligatures w14:val="none"/>
        </w:rPr>
      </w:pPr>
    </w:p>
    <w:p w14:paraId="180CCA66"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Revisiting the Audit Society through NFIA</w:t>
      </w:r>
    </w:p>
    <w:p w14:paraId="3DBD733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empirical literature on NFIA has undergone a profound transformation over the past 35 years (Dalla Via &amp; Perego, 2020; Funnell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2016; Gipper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O'Dwyer, 2011). In the 1990s, the field was anchored in public-sector performance auditing and New Public Management (NPM) reforms, where state institutions sought to verify “value for money” (English, 2007; Funnell, 2015; Kastberg &amp; Ek Österberg, 2017;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During the 2000s, scholarly attention shifted towards corporate social responsibility (CSR) assurance as a voluntary mechanism for legitimacy repair following social and environmental controversies (Ackers &amp; Eccles, 2015; Perego &amp; Kolk, 2012; Simnett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2009). In the current decade, the literature documents an unprecedented acceleration and diversification into ESG, carbon accounting, and digitally mediated assurance regimes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Gipper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2024;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2023). This trajectory indicates that NFIA has evolved from a peripheral governance device—often dismissed as symbolic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Perego &amp; Kolk, 2012; Power, 1997a)—into a core part of contemporary regulation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Rika &amp; Jacobs, 2019).</w:t>
      </w:r>
    </w:p>
    <w:p w14:paraId="27F9B563"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(Ackers, 2009;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 In this sense, the audit society has matured into what can be described as an audit planet, where verification is not merely reactive but constitutive of how organisational and regulatory spaces are rendered governable.</w:t>
      </w:r>
    </w:p>
    <w:p w14:paraId="31B0577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NFIA provides a privileged empirical site for evaluating these developments because, unlike financial auditing, it remains visibly “in the making”. Financial audit has been largely stabilised and blackboxed through long-standing professional settlement. By contrast, NFIA is characterised by experimentation, contestation, and failure, as illustrated by the rise and decline of initiatives such as WebTrust (Barrett &amp; Gendron, 2006; Gendron, Cooper and Townley, 2007)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5518CC38"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335F6593"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Legitimacy without Observation</w:t>
      </w:r>
    </w:p>
    <w:p w14:paraId="6DC87B1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Bepari &amp; Mollik, 2016; Larrinaga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2018). These artefacts stabilise uncertainty inherent in non-financial data, translating heterogeneous social and environmental claims into defensible and auditable representations.</w:t>
      </w:r>
    </w:p>
    <w:p w14:paraId="3F26EE2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By the time NFIA outputs reach external audiences, the contingent and negotiated nature </w:t>
      </w:r>
      <w:r w:rsidRPr="004E4F5C">
        <w:rPr>
          <w:rFonts w:ascii="Times New Roman" w:eastAsia="Times New Roman" w:hAnsi="Times New Roman" w:cs="Times New Roman"/>
          <w:kern w:val="0"/>
          <w14:ligatures w14:val="none"/>
        </w:rPr>
        <w:lastRenderedPageBreak/>
        <w:t>of underlying performance has been largely erased, replaced by a rationalised narrative of compliance and rigour.</w:t>
      </w:r>
    </w:p>
    <w:p w14:paraId="538B556A"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Taylor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2001). Despite this, much of the empirical literature remains weakly reflexive, continuing to treat assurance as a proxy for objective performance rather than interrogating the procedural rituals through which such objectivity is produced (O’Dwyer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2011;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23589807"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18CD1A30"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Symbolic Verification and the Comfort Function</w:t>
      </w:r>
    </w:p>
    <w:p w14:paraId="0F726E8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Whereas procedural legitimacy concerns how assurance stabilises itself internally as a credible practice, the comfort function captures how that credibility is mobilised externally to reassure markets and stakeholders.</w:t>
      </w:r>
    </w:p>
    <w:p w14:paraId="340697F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The CSR and ESG assurance literature strongly corroborates the “comfort function” identified in the audit society thesis (Power, 1997a). Rather than driving substantive organisational transformation, NFIA frequently operates as a ritual of verification that produces reassurance for investors and regulators (Fuhrmann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Clear displacement effects are evident, whereby documentation and symbolic disclosure become ends in themselves, increasingly decoupled from underlying social or environmental outcomes (Perego &amp; Kolk, 2012; Bepari &amp; Mollik, 2016).</w:t>
      </w:r>
    </w:p>
    <w:p w14:paraId="7BFFD82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symbolic verification is mediated through reputational heuristics and moral licensing. The presence of a Big 4 assurance provider frequently substitutes for scrutiny of assurance </w:t>
      </w:r>
      <w:r w:rsidRPr="004E4F5C">
        <w:rPr>
          <w:rFonts w:ascii="Times New Roman" w:eastAsia="Times New Roman" w:hAnsi="Times New Roman" w:cs="Times New Roman"/>
          <w:kern w:val="0"/>
          <w14:ligatures w14:val="none"/>
        </w:rPr>
        <w:lastRenderedPageBreak/>
        <w:t xml:space="preserve">scope or depth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Casey &amp; Grenier, 2015; Yang &amp; Maresova, 2025). While provider identity underwrites investment decisions and risk assessments, moral licensing effects suggest that ESG assurance may also legitimise aggressive financial reporting or continued environmental externalisation (Douthit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2024).</w:t>
      </w:r>
    </w:p>
    <w:p w14:paraId="21146E0B"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 key contribution of the NFIA literature is showing that comfort production has migrated from public-sector governance into financialised markets. Whereas Power (1997a) framed audit as governing at a distance within the state, NFIA now operates as a market-facing infrastructure supplying the institutional comfort required for the circulation of capital under uncertainty.</w:t>
      </w:r>
    </w:p>
    <w:p w14:paraId="27CE6B0C"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p>
    <w:p w14:paraId="34ED770A"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Control of Control in Non-Financial Domains</w:t>
      </w:r>
    </w:p>
    <w:p w14:paraId="14FC7FA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2000; Bepari &amp; Mollik, 2016; Hummel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This systems-oriented focus privileges procedural integrity over substantive outcomes.</w:t>
      </w:r>
    </w:p>
    <w:p w14:paraId="35B99B9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2C92774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4E4F5C">
        <w:rPr>
          <w:rFonts w:ascii="Times New Roman" w:eastAsia="Times New Roman" w:hAnsi="Times New Roman" w:cs="Times New Roman"/>
          <w:kern w:val="0"/>
          <w14:ligatures w14:val="none"/>
        </w:rPr>
        <w:lastRenderedPageBreak/>
        <w:t>thus intensifies the dynamics identified by Power (2003b), rendering system-level control the dominant object of governance.</w:t>
      </w:r>
    </w:p>
    <w:p w14:paraId="09F69199"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533C53E7"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Professional Identities in an Audit Planet</w:t>
      </w:r>
    </w:p>
    <w:p w14:paraId="4C6B9D09"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NFIA constitutes a critical site for the production of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Gillet-Monjarret, 2022).</w:t>
      </w:r>
    </w:p>
    <w:p w14:paraId="57742D1F"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Bepari &amp; Mollik, 2016; Farooq &amp; de Villiers, 2019). The growing dominance of accounting firms signals a subjectivisation of the assuror as a risk-oriented procedural actor.</w:t>
      </w:r>
    </w:p>
    <w:p w14:paraId="1EF3E9B6"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Conversely, 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Green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2017; Ekasingh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 In the audit planet, professional identity becomes situational and continuously reconfigured.</w:t>
      </w:r>
    </w:p>
    <w:p w14:paraId="0E59B0BB"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21DD9F99"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t>From Audit Society to Audit Planet</w:t>
      </w:r>
    </w:p>
    <w:p w14:paraId="4E4063C2"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4E4F5C">
        <w:rPr>
          <w:rFonts w:ascii="Times New Roman" w:eastAsia="Times New Roman" w:hAnsi="Times New Roman" w:cs="Times New Roman"/>
          <w:kern w:val="0"/>
          <w14:ligatures w14:val="none"/>
        </w:rPr>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2022; Gu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2023).</w:t>
      </w:r>
    </w:p>
    <w:p w14:paraId="173FE5A4"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0959881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(Carey, Khan, Mihret and Muttakin, 2021; Oware &amp; Appiah, 2022; Tetteh, Agyenim-Boateng and Simpson, 2023).</w:t>
      </w:r>
    </w:p>
    <w:p w14:paraId="4AC6A715"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Meanwhile,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4204AA78"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480C8F44" w14:textId="77777777" w:rsidR="004E4F5C" w:rsidRPr="004E4F5C" w:rsidRDefault="004E4F5C" w:rsidP="004E4F5C">
      <w:pPr>
        <w:spacing w:after="0" w:line="480" w:lineRule="auto"/>
        <w:jc w:val="both"/>
        <w:rPr>
          <w:rFonts w:ascii="Times New Roman" w:eastAsia="Times New Roman" w:hAnsi="Times New Roman" w:cs="Times New Roman"/>
          <w:i/>
          <w:iCs/>
          <w:kern w:val="0"/>
          <w14:ligatures w14:val="none"/>
        </w:rPr>
      </w:pPr>
      <w:r w:rsidRPr="004E4F5C">
        <w:rPr>
          <w:rFonts w:ascii="Times New Roman" w:eastAsia="Times New Roman" w:hAnsi="Times New Roman" w:cs="Times New Roman"/>
          <w:i/>
          <w:iCs/>
          <w:kern w:val="0"/>
          <w14:ligatures w14:val="none"/>
        </w:rPr>
        <w:lastRenderedPageBreak/>
        <w:t>Conclusion</w:t>
      </w:r>
    </w:p>
    <w:p w14:paraId="24E0FD1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(Cordery &amp; Hay, 2022; English, 2003; Nath, Othman and Laswad, 2019) towards market-facing governance (Moroney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2012; Taylor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2001), system-based control (English, 2007; Kastberg &amp; Ek Österberg, 2017), and capital-market consequences (Baier, Göttsche, Hellmann and Schiemann, 2022; Caglio, Melloni and Perego, 2020), reflecting the deep entrenchment of audit logics within sustainability, ESG, and climate governance (Bouten &amp; Hoozée, 2025; Parker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2021; Silvola &amp; Vinnari, 2021).</w:t>
      </w:r>
    </w:p>
    <w:p w14:paraId="665A4FF1"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Channuntapipat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Research on symbolic verification, moral licensing, and reputational heuristics confirms the enduring comfort function of audit (Power, 1997a; Clarkson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2019; Douthit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xml:space="preserve">., 2025). Analyses of system-focused assurance, risk management, and blame avoidance extend the control-of-control logic into non-financial domains characterised by uncertainty (Power, 2003b; Bepari &amp; Mollik, 2016; Skærbæk &amp; Christensen, 2015). Finally, work on professional identity and jurisdictional competition illustrates how audit subjectivities are actively constructed and destabilised within contemporary assurance practices (O’Dwyer, 2011; Boiral </w:t>
      </w:r>
      <w:r w:rsidRPr="004E4F5C">
        <w:rPr>
          <w:rFonts w:ascii="Times New Roman" w:eastAsia="Times New Roman" w:hAnsi="Times New Roman" w:cs="Times New Roman"/>
          <w:i/>
          <w:kern w:val="0"/>
          <w14:ligatures w14:val="none"/>
        </w:rPr>
        <w:t>et al</w:t>
      </w:r>
      <w:r w:rsidRPr="004E4F5C">
        <w:rPr>
          <w:rFonts w:ascii="Times New Roman" w:eastAsia="Times New Roman" w:hAnsi="Times New Roman" w:cs="Times New Roman"/>
          <w:kern w:val="0"/>
          <w14:ligatures w14:val="none"/>
        </w:rPr>
        <w:t>., 2019).</w:t>
      </w:r>
    </w:p>
    <w:p w14:paraId="31B9C2AB"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Despite this progress, empirical attention remains uneven. Adjudicatory effects are concentrated in CSR and ESG contexts where data infrastructures enable quantification, while performance audit and emerging domains—most notably carbon and climate assurance—</w:t>
      </w:r>
      <w:r w:rsidRPr="004E4F5C">
        <w:rPr>
          <w:rFonts w:ascii="Times New Roman" w:eastAsia="Times New Roman" w:hAnsi="Times New Roman" w:cs="Times New Roman"/>
          <w:kern w:val="0"/>
          <w14:ligatures w14:val="none"/>
        </w:rPr>
        <w:lastRenderedPageBreak/>
        <w:t>remain under-explored (Datt, Luo, Tang and Mallik, 2018; Green &amp; Taylor, 2013; Zhou, Simnett and Green, 2016). Consequently, much of the literature captures audit after its calculative assumptions have stabilised (Power, 1996), leaving formative moments of auditability construction insufficiently examined.</w:t>
      </w:r>
    </w:p>
    <w:p w14:paraId="3E6DE619"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ab/>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 (Channuntapipat et al., 2019; Gendron &amp; Barrett, 2004; Humphrey, 2008; O'Dwyer, 2011; Power, 1996).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19212DF8" w14:textId="77777777" w:rsidR="004E4F5C" w:rsidRPr="004E4F5C" w:rsidRDefault="004E4F5C" w:rsidP="004E4F5C">
      <w:pPr>
        <w:spacing w:after="0" w:line="480" w:lineRule="auto"/>
        <w:ind w:firstLine="420"/>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Future research should therefore focus on these early-stage dynamics, investigating how new assurance domains are assembled before becoming blackboxed (Humphrey, 2008; Power, 1996). Greater attention to hybrid assurance models, political and managerial mediation, and lived audit subjectivities would deepen understanding of how the audit planet is being built and governed.</w:t>
      </w:r>
    </w:p>
    <w:p w14:paraId="28ED3140" w14:textId="77777777" w:rsidR="004E4F5C" w:rsidRPr="004E4F5C" w:rsidRDefault="004E4F5C" w:rsidP="004E4F5C">
      <w:pPr>
        <w:spacing w:after="0" w:line="480" w:lineRule="auto"/>
        <w:jc w:val="both"/>
        <w:rPr>
          <w:rFonts w:ascii="Times New Roman" w:eastAsia="Times New Roman" w:hAnsi="Times New Roman" w:cs="Times New Roman"/>
          <w:kern w:val="0"/>
          <w14:ligatures w14:val="none"/>
        </w:rPr>
      </w:pPr>
    </w:p>
    <w:p w14:paraId="2E8739E5" w14:textId="77777777" w:rsidR="004E4F5C" w:rsidRPr="004E4F5C" w:rsidRDefault="004E4F5C" w:rsidP="004E4F5C">
      <w:pP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br w:type="page"/>
      </w:r>
    </w:p>
    <w:p w14:paraId="14C4D146" w14:textId="77777777" w:rsidR="004E4F5C" w:rsidRPr="004E4F5C" w:rsidRDefault="004E4F5C" w:rsidP="004E4F5C">
      <w:pPr>
        <w:spacing w:after="0" w:line="480" w:lineRule="auto"/>
        <w:jc w:val="center"/>
        <w:rPr>
          <w:rFonts w:ascii="Times New Roman" w:eastAsia="Times New Roman" w:hAnsi="Times New Roman" w:cs="Times New Roman"/>
          <w:b/>
          <w:bCs/>
          <w:kern w:val="0"/>
          <w14:ligatures w14:val="none"/>
        </w:rPr>
      </w:pPr>
      <w:r w:rsidRPr="004E4F5C">
        <w:rPr>
          <w:rFonts w:ascii="Times New Roman" w:eastAsia="Times New Roman" w:hAnsi="Times New Roman" w:cs="Times New Roman"/>
          <w:b/>
          <w:bCs/>
          <w:kern w:val="0"/>
          <w14:ligatures w14:val="none"/>
        </w:rPr>
        <w:lastRenderedPageBreak/>
        <w:t>References</w:t>
      </w:r>
    </w:p>
    <w:p w14:paraId="5D9D1E0E" w14:textId="77777777" w:rsidR="004E4F5C" w:rsidRPr="004E4F5C" w:rsidRDefault="004E4F5C" w:rsidP="004E4F5C">
      <w:pPr>
        <w:spacing w:after="0" w:line="480" w:lineRule="auto"/>
        <w:rPr>
          <w:rFonts w:ascii="Times New Roman" w:eastAsia="Times New Roman" w:hAnsi="Times New Roman" w:cs="Times New Roman"/>
          <w:kern w:val="0"/>
          <w14:ligatures w14:val="none"/>
        </w:rPr>
      </w:pPr>
    </w:p>
    <w:p w14:paraId="6F96DEB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Ackers, B. (2009), “Corporate social responsibility assurance: how do South African publicly listed companies compare?”,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17 No. 2, pp. 1–17.</w:t>
      </w:r>
    </w:p>
    <w:p w14:paraId="09EA23D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Ackers, B. and Eccles, N. S. (2015), “Mandatory corporate social responsibility assurance practices”,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28 No. 4, pp. 515–550.</w:t>
      </w:r>
    </w:p>
    <w:p w14:paraId="766CB19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Adams, S., Hall, M. and Xiao, X. (2024), “Styles of verification and the pursuit of organisational repair: the case of social impact”,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113, 101478.</w:t>
      </w:r>
    </w:p>
    <w:p w14:paraId="42E69FB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Andon, P., Free, C. and O’Dwyer, B. (2015), “Annexing new audit spaces: challenges and adaptations”,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28 No. 8, pp. 1400–1430.</w:t>
      </w:r>
    </w:p>
    <w:p w14:paraId="2489F4A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Aquino, A.C.B., Lino, A.F., Azevedo, R.R. and Silva, P.B. (2022), “Digital affordances and remote public audit practice”,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38 No. 3, pp. 447–467.</w:t>
      </w:r>
    </w:p>
    <w:p w14:paraId="5B7B042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Baier, C., Göttsche, M., Hellmann, A. and Schiemann, F. (2022), “Too good to be true: influencing credibility perceptions with signalling reference explicitness and assurance depth”,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178 No. 3, pp. 695–714.</w:t>
      </w:r>
    </w:p>
    <w:p w14:paraId="195B3E7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Ballou, B., Chen, P.C., Grenier, J.H. and Heitger, D.L. (2015), “CSR assurance and reporting quality”,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131–155.</w:t>
      </w:r>
    </w:p>
    <w:p w14:paraId="5C77023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Barrett, M. and Gendron, Y. (2006), “WebTrust and the ‘commercialistic auditor’”,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19 No. 5, pp. 631–662.</w:t>
      </w:r>
    </w:p>
    <w:p w14:paraId="5C9DB6C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Bartoszewicz, A. and Rutkowska-Ziarko, A. (2021), “Practice of non-financial reports assurance services in the Polish audit market—the range, limits and prospects for the future”, </w:t>
      </w:r>
      <w:r w:rsidRPr="004E4F5C">
        <w:rPr>
          <w:rFonts w:ascii="Times New Roman" w:eastAsia="Times New Roman" w:hAnsi="Times New Roman" w:cs="Times New Roman"/>
          <w:i/>
          <w:iCs/>
          <w:kern w:val="0"/>
          <w14:ligatures w14:val="none"/>
        </w:rPr>
        <w:t>Risks</w:t>
      </w:r>
      <w:r w:rsidRPr="004E4F5C">
        <w:rPr>
          <w:rFonts w:ascii="Times New Roman" w:eastAsia="Times New Roman" w:hAnsi="Times New Roman" w:cs="Times New Roman"/>
          <w:kern w:val="0"/>
          <w14:ligatures w14:val="none"/>
        </w:rPr>
        <w:t>, Vol. 9 No. 10, 176.</w:t>
      </w:r>
    </w:p>
    <w:p w14:paraId="297AABB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Batra, G.S. and Kaur, N. (1993), “Emerging dimensions of audit accountability: a case study of public enterprise management and efficiency audit in India”,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8 No. 2, pp. 30–36.</w:t>
      </w:r>
    </w:p>
    <w:p w14:paraId="621B669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Batra, G.S. and Kaur, N. (1996), “New vistas in reducing the conflicts between tourism and the environment: an environmental audit approach”,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11 No. 3, pp. 3–12.</w:t>
      </w:r>
    </w:p>
    <w:p w14:paraId="503CD05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Bentley-Goode, K. A., Simnett, R., Thompson, A. and Trotman, A.J. (2024), “Choice of assurance provider and impact on quality of sustainability reporting: evidence from sustainability reporting restatements”,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65 No. 2, pp. 2135-2172.</w:t>
      </w:r>
    </w:p>
    <w:p w14:paraId="481210C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Bepari, M.K. and Mollik, A.T. (2016), “Stakeholders’ interest in sustainability assurance process”,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31 Nos. 6/7, pp. 655–687.</w:t>
      </w:r>
    </w:p>
    <w:p w14:paraId="781B1E8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and Brotherton, M.-C. (2020), “Professionalising the assurance of sustainability reports: the auditors’ perspective”,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33 No. 2, pp. 309–334.</w:t>
      </w:r>
    </w:p>
    <w:p w14:paraId="436DFDC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and Brotherton, M.C. (2018), “Improving the credibility of CSR reports”, </w:t>
      </w:r>
      <w:r w:rsidRPr="004E4F5C">
        <w:rPr>
          <w:rFonts w:ascii="Times New Roman" w:eastAsia="Times New Roman" w:hAnsi="Times New Roman" w:cs="Times New Roman"/>
          <w:i/>
          <w:iCs/>
          <w:kern w:val="0"/>
          <w14:ligatures w14:val="none"/>
        </w:rPr>
        <w:t>Business Ethics: A European Review</w:t>
      </w:r>
      <w:r w:rsidRPr="004E4F5C">
        <w:rPr>
          <w:rFonts w:ascii="Times New Roman" w:eastAsia="Times New Roman" w:hAnsi="Times New Roman" w:cs="Times New Roman"/>
          <w:kern w:val="0"/>
          <w14:ligatures w14:val="none"/>
        </w:rPr>
        <w:t>, Vol. 27 No. 1, pp. 71–88.</w:t>
      </w:r>
    </w:p>
    <w:p w14:paraId="6DAD76B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Boiral, O., Heras-Saizarbitoria, I., Brotherton, M.-C. and Bernard, J. (2019), “Ethical issues in the assurance of sustainability reports: perspectives from assurance providers”,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159 No. 4, pp. 1111–1125.</w:t>
      </w:r>
    </w:p>
    <w:p w14:paraId="32AFFF8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Bouten, L. and Hoozée, S. (2025), “How sustainability assurance work gets done: assurors’ sensemaking, socialisation and interactions with clients”,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38 No. 1, pp. 143–173.</w:t>
      </w:r>
    </w:p>
    <w:p w14:paraId="24EACEF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Bowerman, M., Humphrey, C. and Owen, D. (2003), “Struggling for supremacy: the case of UK public audit institutions”,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1–22.</w:t>
      </w:r>
    </w:p>
    <w:p w14:paraId="5F1282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Bradbury, M., Jia, J. and Li, Z. (2022), "Corporate social responsibility committees and the use of corporate social responsibility assurance services", </w:t>
      </w:r>
      <w:r w:rsidRPr="004E4F5C">
        <w:rPr>
          <w:rFonts w:ascii="Times New Roman" w:eastAsia="Times New Roman" w:hAnsi="Times New Roman" w:cs="Times New Roman"/>
          <w:i/>
          <w:iCs/>
          <w:kern w:val="0"/>
          <w14:ligatures w14:val="none"/>
        </w:rPr>
        <w:t>Journal of Contemporary Accounting &amp; Economics</w:t>
      </w:r>
      <w:r w:rsidRPr="004E4F5C">
        <w:rPr>
          <w:rFonts w:ascii="Times New Roman" w:eastAsia="Times New Roman" w:hAnsi="Times New Roman" w:cs="Times New Roman"/>
          <w:kern w:val="0"/>
          <w14:ligatures w14:val="none"/>
        </w:rPr>
        <w:t>, Vol. 18 No. 2, 100317.</w:t>
      </w:r>
    </w:p>
    <w:p w14:paraId="64362DA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Breslin, D. and Gatrell, C. (2023), “Theorising through literature reviews: the miner–prospector continuum”, </w:t>
      </w:r>
      <w:r w:rsidRPr="004E4F5C">
        <w:rPr>
          <w:rFonts w:ascii="Times New Roman" w:eastAsia="Times New Roman" w:hAnsi="Times New Roman" w:cs="Times New Roman"/>
          <w:i/>
          <w:iCs/>
          <w:kern w:val="0"/>
          <w14:ligatures w14:val="none"/>
        </w:rPr>
        <w:t>Organizational Research Methods</w:t>
      </w:r>
      <w:r w:rsidRPr="004E4F5C">
        <w:rPr>
          <w:rFonts w:ascii="Times New Roman" w:eastAsia="Times New Roman" w:hAnsi="Times New Roman" w:cs="Times New Roman"/>
          <w:kern w:val="0"/>
          <w14:ligatures w14:val="none"/>
        </w:rPr>
        <w:t>, Vol. 26 No. 1, pp. 139–167.</w:t>
      </w:r>
    </w:p>
    <w:p w14:paraId="0D81E17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Bromley, P. and Powell, W.W. (2012), “From smoke and mirrors to walking the talk: decoupling in the contemporary world”, </w:t>
      </w:r>
      <w:r w:rsidRPr="004E4F5C">
        <w:rPr>
          <w:rFonts w:ascii="Times New Roman" w:eastAsia="Times New Roman" w:hAnsi="Times New Roman" w:cs="Times New Roman"/>
          <w:i/>
          <w:iCs/>
          <w:kern w:val="0"/>
          <w14:ligatures w14:val="none"/>
        </w:rPr>
        <w:t>Academy of Management Annals</w:t>
      </w:r>
      <w:r w:rsidRPr="004E4F5C">
        <w:rPr>
          <w:rFonts w:ascii="Times New Roman" w:eastAsia="Times New Roman" w:hAnsi="Times New Roman" w:cs="Times New Roman"/>
          <w:kern w:val="0"/>
          <w14:ligatures w14:val="none"/>
        </w:rPr>
        <w:t>, Vol. 6 No. 1, pp. 483–530.</w:t>
      </w:r>
    </w:p>
    <w:p w14:paraId="4AB379D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Brown-Liburd, H., Cohen, J. and Zamora, V.L. (2018), “CSR disclosure items used as fairness heuristics in the investment decision”,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152 No. 1, pp. 275–289.</w:t>
      </w:r>
    </w:p>
    <w:p w14:paraId="6256A86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Brown-Liburd, H. and Zamora, V.L. (2015), “The role of corporate social responsibility (CSR) assurance in investors’ judgments when managerial pay is explicitly tied to CSR performance”,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75–96.</w:t>
      </w:r>
    </w:p>
    <w:p w14:paraId="3187CCE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Caglio, A., Melloni, G. and Perego, P. (2020), "Informational content and assurance of textual disclosures: evidence on integrated reporting",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29 No. 1, pp. 55-83.</w:t>
      </w:r>
    </w:p>
    <w:p w14:paraId="41CC0D4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Canning, M., O’Dwyer, B. and Georgakopoulos, G. (2019), “Processes of auditability in sustainability assurance: the case of materiality construction”,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49 No. 1, pp. 1–27.</w:t>
      </w:r>
    </w:p>
    <w:p w14:paraId="4C25934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Carey, P., Khan, A., Mihret, D.G. and Muttakin, M.B. (2021), “Voluntary sustainability assurance, capital constraint and cost of debt: international evidence”,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25 No. 2, pp. 351–372.</w:t>
      </w:r>
    </w:p>
    <w:p w14:paraId="5890507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Casey, R.J. and Grenier, J.H. (2015), “Understanding and contributing to the enigma of corporate social responsibility (CSR) assurance in the United States”,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1, pp. 97–130.</w:t>
      </w:r>
    </w:p>
    <w:p w14:paraId="336B526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Channuntapipat, C., Samsonova-Taddei, A. and Turley, S. (2019), “Exploring diversity in sustainability assurance practice: evidence from assurance providers in the UK”,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2, pp. 556–580.</w:t>
      </w:r>
    </w:p>
    <w:p w14:paraId="3745E2B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Channuntapipat, C., Samsonova-Taddei, A. and Turley, S. (2020), “Variation in sustainability assurance practice: an analysis of accounting versus non-accounting providers”,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52 No. 2, 100843.</w:t>
      </w:r>
    </w:p>
    <w:p w14:paraId="0F18168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Chi, W., Cheng, C.S.A. and Wang, L. (2020), “CSR assurance and stock crash risk”,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37 No. 4, pp. 2355–2384.</w:t>
      </w:r>
    </w:p>
    <w:p w14:paraId="2A25C0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Clarkson, P., Li, Y., Richardson, G. and Tsang, A. (2019), “Causes and consequences of voluntary assurance of CSR reports: international evidence involving Dow Jones Sustainability Index inclusion and firm valuation”,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8, pp. 2451–2474.</w:t>
      </w:r>
    </w:p>
    <w:p w14:paraId="0567AD5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 Arora, B. and Manochin, M. (2023), “Public sector audit and the state’s responsibility to ‘leave no-one behind’: the role of integrated democratic accountability”,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39 No. 3, pp. 304–326.</w:t>
      </w:r>
    </w:p>
    <w:p w14:paraId="75721A5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C.J. and Hay, D.C. (2019), “Supreme audit institutions and public value”,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35 No. 2, pp. 128–142.</w:t>
      </w:r>
    </w:p>
    <w:p w14:paraId="3568F10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Cordery, C.J. and Hay, D.C. (2022), “Public sector audit in uncertain times”,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38 No. 3, pp. 426–446.</w:t>
      </w:r>
    </w:p>
    <w:p w14:paraId="15F3F57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Dalla Via, N. and Perego, P. (2020), “The relative role of firm incentives, auditor specialisation, and country factors as antecedents of non-financial audit quality”,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39 No. 3, pp. 75–104.</w:t>
      </w:r>
    </w:p>
    <w:p w14:paraId="4B1C67C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Datt, R., Luo, L., Tang, Q. and Mallik, G. (2018), “An international study of determinants of voluntary carbon assurance”, </w:t>
      </w:r>
      <w:r w:rsidRPr="004E4F5C">
        <w:rPr>
          <w:rFonts w:ascii="Times New Roman" w:eastAsia="Times New Roman" w:hAnsi="Times New Roman" w:cs="Times New Roman"/>
          <w:i/>
          <w:iCs/>
          <w:kern w:val="0"/>
          <w14:ligatures w14:val="none"/>
        </w:rPr>
        <w:t>Journal of International Accounting Research</w:t>
      </w:r>
      <w:r w:rsidRPr="004E4F5C">
        <w:rPr>
          <w:rFonts w:ascii="Times New Roman" w:eastAsia="Times New Roman" w:hAnsi="Times New Roman" w:cs="Times New Roman"/>
          <w:kern w:val="0"/>
          <w14:ligatures w14:val="none"/>
        </w:rPr>
        <w:t>, Vol. 17 No. 3, pp. 1–20.</w:t>
      </w:r>
    </w:p>
    <w:p w14:paraId="1BC5910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Dogui, K., Boiral, O. and Gendron, Y. (2013), “ISO auditing and the construction of trust in auditor independence”,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26 No. 8, pp. 1279–1305.</w:t>
      </w:r>
    </w:p>
    <w:p w14:paraId="0558EC8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Donthu, N., Kumar, S., Mukherjee, D., Pandey, N. and Lim, W.M. (2021), “How to conduct a bibliometric analysis: an overview and guidelines”, </w:t>
      </w:r>
      <w:r w:rsidRPr="004E4F5C">
        <w:rPr>
          <w:rFonts w:ascii="Times New Roman" w:eastAsia="Times New Roman" w:hAnsi="Times New Roman" w:cs="Times New Roman"/>
          <w:i/>
          <w:iCs/>
          <w:kern w:val="0"/>
          <w14:ligatures w14:val="none"/>
        </w:rPr>
        <w:t>Journal of Business Research</w:t>
      </w:r>
      <w:r w:rsidRPr="004E4F5C">
        <w:rPr>
          <w:rFonts w:ascii="Times New Roman" w:eastAsia="Times New Roman" w:hAnsi="Times New Roman" w:cs="Times New Roman"/>
          <w:kern w:val="0"/>
          <w14:ligatures w14:val="none"/>
        </w:rPr>
        <w:t>, Vol. 133, pp. 285–296.</w:t>
      </w:r>
    </w:p>
    <w:p w14:paraId="3F76684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Douthit, J. D., Kachelmeier, S. J. and Van Landuyt, B. W. (2024), "Does auditor assurance of client prosocial activities affect subsequent reporter-auditor negotiations?",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112, 101550.</w:t>
      </w:r>
    </w:p>
    <w:p w14:paraId="3C8B745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Ekasingh, E., Simnett, R. and Green, W.J. (2019), “The effect of diversity and the mediating role of elaboration on multidisciplinary greenhouse gas assurance team effectiveness”, </w:t>
      </w:r>
      <w:r w:rsidRPr="004E4F5C">
        <w:rPr>
          <w:rFonts w:ascii="Times New Roman" w:eastAsia="Times New Roman" w:hAnsi="Times New Roman" w:cs="Times New Roman"/>
          <w:i/>
          <w:iCs/>
          <w:kern w:val="0"/>
          <w14:ligatures w14:val="none"/>
        </w:rPr>
        <w:t>Behavioral Research in Accounting</w:t>
      </w:r>
      <w:r w:rsidRPr="004E4F5C">
        <w:rPr>
          <w:rFonts w:ascii="Times New Roman" w:eastAsia="Times New Roman" w:hAnsi="Times New Roman" w:cs="Times New Roman"/>
          <w:kern w:val="0"/>
          <w14:ligatures w14:val="none"/>
        </w:rPr>
        <w:t>, Vol. 31 No. 2, pp. 81–96.</w:t>
      </w:r>
    </w:p>
    <w:p w14:paraId="4CF9F8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Emery, A.R.T. and Watson, M. (2003), “Eco-auditing and environmental liability: an international perspective”,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18 No. 8, pp. 631–636.</w:t>
      </w:r>
    </w:p>
    <w:p w14:paraId="2CD084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English, L. (2003), “Emasculating public accountability in the name of competition: transformation of state audit in Victoria”,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51–76.</w:t>
      </w:r>
    </w:p>
    <w:p w14:paraId="5689561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English, L.M. (2007), “Performance audit of Australian public–private partnerships: legitimising government policies or providing independent oversight?”,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23 No. 3, pp. 313–336.</w:t>
      </w:r>
    </w:p>
    <w:p w14:paraId="6DB874D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Everett, J. (2003), “The politics of comprehensive auditing in fields of high outcome and cause uncertainty”,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77–104.</w:t>
      </w:r>
    </w:p>
    <w:p w14:paraId="586736B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Fan, D., Breslin, D., Callahan, J.L. and Iszatt-White, M. (2022), “Advancing literature review methodology through rigour, generativity, scope and transparency”, </w:t>
      </w:r>
      <w:r w:rsidRPr="004E4F5C">
        <w:rPr>
          <w:rFonts w:ascii="Times New Roman" w:eastAsia="Times New Roman" w:hAnsi="Times New Roman" w:cs="Times New Roman"/>
          <w:i/>
          <w:iCs/>
          <w:kern w:val="0"/>
          <w14:ligatures w14:val="none"/>
        </w:rPr>
        <w:t>International Journal of Management Reviews</w:t>
      </w:r>
      <w:r w:rsidRPr="004E4F5C">
        <w:rPr>
          <w:rFonts w:ascii="Times New Roman" w:eastAsia="Times New Roman" w:hAnsi="Times New Roman" w:cs="Times New Roman"/>
          <w:kern w:val="0"/>
          <w14:ligatures w14:val="none"/>
        </w:rPr>
        <w:t>, Vol. 24 No. 2, pp. 171–180.</w:t>
      </w:r>
    </w:p>
    <w:p w14:paraId="0AAA155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Azantouti, A.S.A. and Zaman, R. (2023), “Non-financial information assurance: a review of the literature and directions for future research”, </w:t>
      </w:r>
      <w:r w:rsidRPr="004E4F5C">
        <w:rPr>
          <w:rFonts w:ascii="Times New Roman" w:eastAsia="Times New Roman" w:hAnsi="Times New Roman" w:cs="Times New Roman"/>
          <w:i/>
          <w:iCs/>
          <w:kern w:val="0"/>
          <w14:ligatures w14:val="none"/>
        </w:rPr>
        <w:t>Sustainability Accounting, Management and Policy Journal</w:t>
      </w:r>
      <w:r w:rsidRPr="004E4F5C">
        <w:rPr>
          <w:rFonts w:ascii="Times New Roman" w:eastAsia="Times New Roman" w:hAnsi="Times New Roman" w:cs="Times New Roman"/>
          <w:kern w:val="0"/>
          <w14:ligatures w14:val="none"/>
        </w:rPr>
        <w:t>, Vol. 15 No. 1, pp. 48–84.</w:t>
      </w:r>
    </w:p>
    <w:p w14:paraId="3A0294A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and De Villiers, C. (2019), “The shaping of sustainability assurance through the competition between accounting and non-accounting providers”,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2, pp. 307–336.</w:t>
      </w:r>
    </w:p>
    <w:p w14:paraId="100DE54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Farooq, M.B. and De Villiers, C. (2020), “How sustainability assurance engagement scopes are determined, and its impact on capture and credibility enhancement”,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33 No. 2, pp. 417–445.</w:t>
      </w:r>
    </w:p>
    <w:p w14:paraId="0020712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Ferguson, A. and Pündrich, G. (2015), “Does industry specialist assurance of non-financial information matter to investors?”,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34 No. 2, pp. 121–146.</w:t>
      </w:r>
    </w:p>
    <w:p w14:paraId="77A2127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Free, C., Jones, S. and Tremblay, M.S. (2024), “Greenwashing and sustainability assurance: a review and call for future research”, </w:t>
      </w:r>
      <w:r w:rsidRPr="004E4F5C">
        <w:rPr>
          <w:rFonts w:ascii="Times New Roman" w:eastAsia="Times New Roman" w:hAnsi="Times New Roman" w:cs="Times New Roman"/>
          <w:i/>
          <w:iCs/>
          <w:kern w:val="0"/>
          <w14:ligatures w14:val="none"/>
        </w:rPr>
        <w:t>Journal of Accounting Literature</w:t>
      </w:r>
      <w:r w:rsidRPr="004E4F5C">
        <w:rPr>
          <w:rFonts w:ascii="Times New Roman" w:eastAsia="Times New Roman" w:hAnsi="Times New Roman" w:cs="Times New Roman"/>
          <w:kern w:val="0"/>
          <w14:ligatures w14:val="none"/>
        </w:rPr>
        <w:t>, Vol. 47 No. 4, pp. 739–764.</w:t>
      </w:r>
    </w:p>
    <w:p w14:paraId="1FABB15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Fuhrmann, S., Ott, C., Looks, E. and Guenther, T.W. (2017), “The contents of assurance statements for sustainability reports and information asymmetry”,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47 No. 4, pp. 369–400.</w:t>
      </w:r>
    </w:p>
    <w:p w14:paraId="18BED80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(2015), “Performance auditing and adjudicating political disputes”,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31 No. 1, pp. 92–111.</w:t>
      </w:r>
    </w:p>
    <w:p w14:paraId="6C726FB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and Wade, M. (2012), “Negotiating the credibility of performance auditing”,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23 Nos. 4/5, pp. 434–450.</w:t>
      </w:r>
    </w:p>
    <w:p w14:paraId="7D33A96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Funnell, W., Wade, M. and Jupe, R. (2016), "Stakeholder perceptions of performance audit credibility", </w:t>
      </w:r>
      <w:r w:rsidRPr="004E4F5C">
        <w:rPr>
          <w:rFonts w:ascii="Times New Roman" w:eastAsia="Times New Roman" w:hAnsi="Times New Roman" w:cs="Times New Roman"/>
          <w:i/>
          <w:iCs/>
          <w:kern w:val="0"/>
          <w14:ligatures w14:val="none"/>
        </w:rPr>
        <w:t>Accounting and Business Research</w:t>
      </w:r>
      <w:r w:rsidRPr="004E4F5C">
        <w:rPr>
          <w:rFonts w:ascii="Times New Roman" w:eastAsia="Times New Roman" w:hAnsi="Times New Roman" w:cs="Times New Roman"/>
          <w:kern w:val="0"/>
          <w14:ligatures w14:val="none"/>
        </w:rPr>
        <w:t>, Vol. 46 No. 6, pp. 601-619.</w:t>
      </w:r>
    </w:p>
    <w:p w14:paraId="41F68EA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Gaudy, C. and Malsch, B. (2023), "Auditors’ search for meaningfulness in sustainability assurance work", </w:t>
      </w:r>
      <w:r w:rsidRPr="004E4F5C">
        <w:rPr>
          <w:rFonts w:ascii="Times New Roman" w:eastAsia="Times New Roman" w:hAnsi="Times New Roman" w:cs="Times New Roman"/>
          <w:i/>
          <w:iCs/>
          <w:kern w:val="0"/>
          <w14:ligatures w14:val="none"/>
        </w:rPr>
        <w:t>Qualitative Research in Accounting &amp; Management</w:t>
      </w:r>
      <w:r w:rsidRPr="004E4F5C">
        <w:rPr>
          <w:rFonts w:ascii="Times New Roman" w:eastAsia="Times New Roman" w:hAnsi="Times New Roman" w:cs="Times New Roman"/>
          <w:kern w:val="0"/>
          <w14:ligatures w14:val="none"/>
        </w:rPr>
        <w:t>, Vol. 20 No. 2, pp. 257-277.</w:t>
      </w:r>
    </w:p>
    <w:p w14:paraId="2ACAE24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Gendron, Y. and Barrett, M. (2004), “Professionalisation in action: accountants’ attempt at building a network of support for the WebTrust seal of assurance”,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21 No. 3, pp. 563–602.</w:t>
      </w:r>
    </w:p>
    <w:p w14:paraId="44586AB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Gendron, Y., Cooper, D.J. and Townley, B. (2007), “The construction of auditing expertise in measuring government performance”,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32 Nos. 1/2, pp. 101–129.</w:t>
      </w:r>
    </w:p>
    <w:p w14:paraId="0F02673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Gillet-Monjarret, C. (2022), “Promoting sustainability assurance missions in the European directive regulatory context”,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23 No. 1, pp. 184–206.</w:t>
      </w:r>
    </w:p>
    <w:p w14:paraId="6A3E6B1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Gipper, B., Ross, S. and Shi, S.X. (2025), “ESG assurance in the United States”, </w:t>
      </w:r>
      <w:r w:rsidRPr="004E4F5C">
        <w:rPr>
          <w:rFonts w:ascii="Times New Roman" w:eastAsia="Times New Roman" w:hAnsi="Times New Roman" w:cs="Times New Roman"/>
          <w:i/>
          <w:iCs/>
          <w:kern w:val="0"/>
          <w14:ligatures w14:val="none"/>
        </w:rPr>
        <w:t>Review of Accounting Studies</w:t>
      </w:r>
      <w:r w:rsidRPr="004E4F5C">
        <w:rPr>
          <w:rFonts w:ascii="Times New Roman" w:eastAsia="Times New Roman" w:hAnsi="Times New Roman" w:cs="Times New Roman"/>
          <w:kern w:val="0"/>
          <w14:ligatures w14:val="none"/>
        </w:rPr>
        <w:t>, Vol. 30 No. 2, pp. 1753–1803.</w:t>
      </w:r>
    </w:p>
    <w:p w14:paraId="779E4CF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Green, W. and Li, Q. (2011), “Evidence of an expectation gap for greenhouse gas emissions assurance”,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25 No. 1, pp. 146–173.</w:t>
      </w:r>
    </w:p>
    <w:p w14:paraId="0EFB2E6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Green, W. and Taylor, S. (2013), “Factors that influence perceptions of greenhouse gas assurance provider quality”,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17 No. 3, pp. 288–307.</w:t>
      </w:r>
    </w:p>
    <w:p w14:paraId="5530896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Green, W., Taylor, S. and Wu, J. (2017), "Determinants of greenhouse gas assurance provider choice",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25 No. 1, pp. 114-135.</w:t>
      </w:r>
    </w:p>
    <w:p w14:paraId="4214EA2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Gu, Y., Dai, J. and Vasarhelyi, M. A. (2023), "Audit 4.0-based ESG assurance: an example of using satellite images on GHG emissions", </w:t>
      </w:r>
      <w:r w:rsidRPr="004E4F5C">
        <w:rPr>
          <w:rFonts w:ascii="Times New Roman" w:eastAsia="Times New Roman" w:hAnsi="Times New Roman" w:cs="Times New Roman"/>
          <w:i/>
          <w:iCs/>
          <w:kern w:val="0"/>
          <w14:ligatures w14:val="none"/>
        </w:rPr>
        <w:t>International Journal of Accounting Information Systems</w:t>
      </w:r>
      <w:r w:rsidRPr="004E4F5C">
        <w:rPr>
          <w:rFonts w:ascii="Times New Roman" w:eastAsia="Times New Roman" w:hAnsi="Times New Roman" w:cs="Times New Roman"/>
          <w:kern w:val="0"/>
          <w14:ligatures w14:val="none"/>
        </w:rPr>
        <w:t>, Vol. 50, 100625.</w:t>
      </w:r>
    </w:p>
    <w:p w14:paraId="3768701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Guthrie, J.E. and Parker, L.D. (1999), “A quarter of a century of performance auditing in the Australian federal public sector: a malleable masque”, </w:t>
      </w:r>
      <w:r w:rsidRPr="004E4F5C">
        <w:rPr>
          <w:rFonts w:ascii="Times New Roman" w:eastAsia="Times New Roman" w:hAnsi="Times New Roman" w:cs="Times New Roman"/>
          <w:i/>
          <w:iCs/>
          <w:kern w:val="0"/>
          <w14:ligatures w14:val="none"/>
        </w:rPr>
        <w:t>Abacus</w:t>
      </w:r>
      <w:r w:rsidRPr="004E4F5C">
        <w:rPr>
          <w:rFonts w:ascii="Times New Roman" w:eastAsia="Times New Roman" w:hAnsi="Times New Roman" w:cs="Times New Roman"/>
          <w:kern w:val="0"/>
          <w14:ligatures w14:val="none"/>
        </w:rPr>
        <w:t>, Vol. 35 No. 3, pp. 302–332.</w:t>
      </w:r>
    </w:p>
    <w:p w14:paraId="3CA07DC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Haji, A.A., Coram, P. and Troshani, I. (2022), “Consequences of CSR reporting regulations worldwide: a review and research agenda”,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36 No. 1, pp. 177–208.</w:t>
      </w:r>
    </w:p>
    <w:p w14:paraId="7406960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Hasan, M., Maijoor, S., Mock, T. J., Roebuck, P., Simnett, R. and Vanstraelen, A. (2005), “The different types of assurance services and levels of assurance provided”,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9 No. 2, pp. 91–102.</w:t>
      </w:r>
    </w:p>
    <w:p w14:paraId="3BB5AC9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Hazgui, M., Triantafillou, P. and Elmer Christensen, S. (2022), "On the legitimacy and apoliticality of public sector performance audit: exploratory evidence from Canada and Denmark",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35 No. 6, pp. 1375-1401.</w:t>
      </w:r>
    </w:p>
    <w:p w14:paraId="43AAB2A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Hillary, R. (1998), “Environmental auditing: concepts, methods and developments”,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 No. 1, pp. 71–85.</w:t>
      </w:r>
    </w:p>
    <w:p w14:paraId="0694D1C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Hoang, H. and Trotman, K.T. (2021), “The effect of CSR assurance and explicit assessment on investor valuation judgments”,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40 No. 1, pp. 19–33.</w:t>
      </w:r>
    </w:p>
    <w:p w14:paraId="164013E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Humphrey, C. (2008), “Auditing research: a review across the disciplines”,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12 No. 3, pp. 171–203.</w:t>
      </w:r>
    </w:p>
    <w:p w14:paraId="3348A4F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Humphrey, C. and Miller, P. (2012), “Rethinking reform and judicial reform: the case of the audit of the audit”,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23 Nos. 4/5, pp. 321–328.</w:t>
      </w:r>
    </w:p>
    <w:p w14:paraId="04ED70F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Humphreys, K.A. and Trotman, K.T. (2022), “Judgment and decision-making research on CSR reporting in the COVID-19 pandemic environment”,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62 No. 1, pp. 739–765.</w:t>
      </w:r>
    </w:p>
    <w:p w14:paraId="2413C0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Hummel, K., Schlick, C. and Fifka, M. (2019), “The role of sustainability performance and accounting assurors in sustainability assurance engagements”,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154 No. 3, pp. 733–757.</w:t>
      </w:r>
    </w:p>
    <w:p w14:paraId="24D6336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Islam, M.A., Deegan, C. and Gray, R. (2018), “Social compliance audits and multinational corporation supply chain: evidence from a study of the rituals of social audits”, </w:t>
      </w:r>
      <w:r w:rsidRPr="004E4F5C">
        <w:rPr>
          <w:rFonts w:ascii="Times New Roman" w:eastAsia="Times New Roman" w:hAnsi="Times New Roman" w:cs="Times New Roman"/>
          <w:i/>
          <w:iCs/>
          <w:kern w:val="0"/>
          <w14:ligatures w14:val="none"/>
        </w:rPr>
        <w:t>Accounting &amp; Business Research</w:t>
      </w:r>
      <w:r w:rsidRPr="004E4F5C">
        <w:rPr>
          <w:rFonts w:ascii="Times New Roman" w:eastAsia="Times New Roman" w:hAnsi="Times New Roman" w:cs="Times New Roman"/>
          <w:kern w:val="0"/>
          <w14:ligatures w14:val="none"/>
        </w:rPr>
        <w:t>, Vol. 48 No. 2, pp. 190–224.</w:t>
      </w:r>
    </w:p>
    <w:p w14:paraId="487E01D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Justesen, L. and Skærbæk, P. (2010), “Performance auditing and the narrating of a new auditee identity”,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26 No. 3, pp. 325–343.</w:t>
      </w:r>
    </w:p>
    <w:p w14:paraId="251909F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Kim, S., Green, W.J. and Johnstone, K.M. (2016), “Biased evidence processing by multidisciplinary greenhouse gas assurance teams”,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35 No. 3, pp. 119–139.</w:t>
      </w:r>
    </w:p>
    <w:p w14:paraId="4C9F39E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Kastberg, G. and Ek Österberg, E. (2017), "Transforming social sector auditing – they audited more, but scrutinized less",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33 No. 3, pp. 284-298.</w:t>
      </w:r>
    </w:p>
    <w:p w14:paraId="137DBE4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Krasodomska, J., Simnett, R. and Street, D.L. (2021), “Extended external reporting assurance: current practices and challenges”, </w:t>
      </w:r>
      <w:r w:rsidRPr="004E4F5C">
        <w:rPr>
          <w:rFonts w:ascii="Times New Roman" w:eastAsia="Times New Roman" w:hAnsi="Times New Roman" w:cs="Times New Roman"/>
          <w:i/>
          <w:iCs/>
          <w:kern w:val="0"/>
          <w14:ligatures w14:val="none"/>
        </w:rPr>
        <w:t>Journal of International Financial Management &amp; Accounting</w:t>
      </w:r>
      <w:r w:rsidRPr="004E4F5C">
        <w:rPr>
          <w:rFonts w:ascii="Times New Roman" w:eastAsia="Times New Roman" w:hAnsi="Times New Roman" w:cs="Times New Roman"/>
          <w:kern w:val="0"/>
          <w14:ligatures w14:val="none"/>
        </w:rPr>
        <w:t>, Vol. 32 No. 1, pp. 104–142.</w:t>
      </w:r>
    </w:p>
    <w:p w14:paraId="59F924F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Lapsley, I. and Vakkuri, J. (2002), “Performance measurement and management in local government”,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15 No. 3, pp. 404–431.</w:t>
      </w:r>
    </w:p>
    <w:p w14:paraId="460D32D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Larrinaga, C., Rossi, A., Luque-Vílchez, M. and Núñez-Solidoro, S.T. (2018), “The role of independent assurance in sustainability reporting”, </w:t>
      </w:r>
      <w:r w:rsidRPr="004E4F5C">
        <w:rPr>
          <w:rFonts w:ascii="Times New Roman" w:eastAsia="Times New Roman" w:hAnsi="Times New Roman" w:cs="Times New Roman"/>
          <w:i/>
          <w:iCs/>
          <w:kern w:val="0"/>
          <w14:ligatures w14:val="none"/>
        </w:rPr>
        <w:t>Sustainability</w:t>
      </w:r>
      <w:r w:rsidRPr="004E4F5C">
        <w:rPr>
          <w:rFonts w:ascii="Times New Roman" w:eastAsia="Times New Roman" w:hAnsi="Times New Roman" w:cs="Times New Roman"/>
          <w:kern w:val="0"/>
          <w14:ligatures w14:val="none"/>
        </w:rPr>
        <w:t>, Vol. 10 No. 4.</w:t>
      </w:r>
    </w:p>
    <w:p w14:paraId="0365152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Liao, L., Teng, L. and Zhang, Y. (2018), “Corporate board and corporate social responsibility assurance: evidence from China”,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150 No. 1, pp. 211–225.</w:t>
      </w:r>
    </w:p>
    <w:p w14:paraId="57E9ADA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Linnenluecke, M.K., Marrone, M. and Singh, A.K. (2020), “Conducting systematic literature reviews and bibliometric analyses”, </w:t>
      </w:r>
      <w:r w:rsidRPr="004E4F5C">
        <w:rPr>
          <w:rFonts w:ascii="Times New Roman" w:eastAsia="Times New Roman" w:hAnsi="Times New Roman" w:cs="Times New Roman"/>
          <w:i/>
          <w:iCs/>
          <w:kern w:val="0"/>
          <w14:ligatures w14:val="none"/>
        </w:rPr>
        <w:t>Australian Journal of Management</w:t>
      </w:r>
      <w:r w:rsidRPr="004E4F5C">
        <w:rPr>
          <w:rFonts w:ascii="Times New Roman" w:eastAsia="Times New Roman" w:hAnsi="Times New Roman" w:cs="Times New Roman"/>
          <w:kern w:val="0"/>
          <w14:ligatures w14:val="none"/>
        </w:rPr>
        <w:t>, Vol. 45 No. 2, pp. 175–194.</w:t>
      </w:r>
    </w:p>
    <w:p w14:paraId="3AB868E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Maltby, J. (1995), “Environmental audit: theory and practices”,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10 No. 6, pp. 15–20.</w:t>
      </w:r>
    </w:p>
    <w:p w14:paraId="4F9DB32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Martínez-Ferrero, J. and García-Sánchez, I.-M. (2018), “The level of sustainability assurance: the effects of brand reputation and industry specialisation of assurance providers”,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150 No. 4, pp. 971–990.</w:t>
      </w:r>
    </w:p>
    <w:p w14:paraId="6FEE7FF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Martínez-Ferrero, J., Sánchez-Sancho, M. and García-Meca, E. (2025), "The paradigm of female directors in the managerial capture of sustainability assurance: an analysis supported by natural language processing methods",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33 No. 6, pp. 1397-1421.</w:t>
      </w:r>
    </w:p>
    <w:p w14:paraId="2BB0D5D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Massaro, M., Dumay, J. and Guthrie, J. (2016), “On the shoulders of giants: undertaking a structured literature review in accounting”,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29 No. 5, pp. 767–801.</w:t>
      </w:r>
    </w:p>
    <w:p w14:paraId="3A0782B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Mnif, Y. and Kchaou, J. (2025), "Sustainability assurance joint provision and assurance statement readability: does the assurance provider gender diversity matter?",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26 No. 1, pp. 1-27.</w:t>
      </w:r>
    </w:p>
    <w:p w14:paraId="4D2EDE3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Miller, P. and Power, M. (2013), “Accounting, organising and economising: connecting accounting research and organisation theory”, </w:t>
      </w:r>
      <w:r w:rsidRPr="004E4F5C">
        <w:rPr>
          <w:rFonts w:ascii="Times New Roman" w:eastAsia="Times New Roman" w:hAnsi="Times New Roman" w:cs="Times New Roman"/>
          <w:i/>
          <w:iCs/>
          <w:kern w:val="0"/>
          <w14:ligatures w14:val="none"/>
        </w:rPr>
        <w:t>Academy of Management Annals</w:t>
      </w:r>
      <w:r w:rsidRPr="004E4F5C">
        <w:rPr>
          <w:rFonts w:ascii="Times New Roman" w:eastAsia="Times New Roman" w:hAnsi="Times New Roman" w:cs="Times New Roman"/>
          <w:kern w:val="0"/>
          <w14:ligatures w14:val="none"/>
        </w:rPr>
        <w:t>, Vol. 7 No. 1, pp. 557–605.</w:t>
      </w:r>
    </w:p>
    <w:p w14:paraId="1A0F596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Morimoto, R., Ash, J. and Hope, C. (2005), “Corporate social responsibility audit: from theory to practice”,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62 No. 4, pp. 315–325.</w:t>
      </w:r>
    </w:p>
    <w:p w14:paraId="59E6204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Morin, D. (2011), “Serving as magistrate at the French Cour des comptes”,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24 No. 6, pp. 718–750.</w:t>
      </w:r>
    </w:p>
    <w:p w14:paraId="6C705B4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Morin, D. (2016), “Democratic accountability and public sector performance auditing”, </w:t>
      </w:r>
      <w:r w:rsidRPr="004E4F5C">
        <w:rPr>
          <w:rFonts w:ascii="Times New Roman" w:eastAsia="Times New Roman" w:hAnsi="Times New Roman" w:cs="Times New Roman"/>
          <w:i/>
          <w:iCs/>
          <w:kern w:val="0"/>
          <w14:ligatures w14:val="none"/>
        </w:rPr>
        <w:t>Public Money &amp; Management</w:t>
      </w:r>
      <w:r w:rsidRPr="004E4F5C">
        <w:rPr>
          <w:rFonts w:ascii="Times New Roman" w:eastAsia="Times New Roman" w:hAnsi="Times New Roman" w:cs="Times New Roman"/>
          <w:kern w:val="0"/>
          <w14:ligatures w14:val="none"/>
        </w:rPr>
        <w:t>, Vol. 36 No. 5, pp. 341–348.</w:t>
      </w:r>
    </w:p>
    <w:p w14:paraId="2D6A30F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Moroney, R., Windsor, C. and Aw, Y.T. (2012), “Evidence of assurance enhancing the quality of voluntary environmental disclosures: an empirical analysis”,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52 No. 3, pp. 903–939.</w:t>
      </w:r>
    </w:p>
    <w:p w14:paraId="5DE672B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Moroney, R., Campbell, F., Hamilton, J. and Warren, V. (2020), </w:t>
      </w:r>
      <w:r w:rsidRPr="004E4F5C">
        <w:rPr>
          <w:rFonts w:ascii="Times New Roman" w:eastAsia="Times New Roman" w:hAnsi="Times New Roman" w:cs="Times New Roman"/>
          <w:i/>
          <w:iCs/>
          <w:kern w:val="0"/>
          <w14:ligatures w14:val="none"/>
        </w:rPr>
        <w:t>Auditing: A Practical Approach</w:t>
      </w:r>
      <w:r w:rsidRPr="004E4F5C">
        <w:rPr>
          <w:rFonts w:ascii="Times New Roman" w:eastAsia="Times New Roman" w:hAnsi="Times New Roman" w:cs="Times New Roman"/>
          <w:kern w:val="0"/>
          <w14:ligatures w14:val="none"/>
        </w:rPr>
        <w:t>, Wiley, Hoboken, NJ.</w:t>
      </w:r>
    </w:p>
    <w:p w14:paraId="6CCAB1C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Nath, N., Othman, R. and Laswad, F. (2019), "External performance audit in new zealand public health: a legitimacy perspective", </w:t>
      </w:r>
      <w:r w:rsidRPr="004E4F5C">
        <w:rPr>
          <w:rFonts w:ascii="Times New Roman" w:eastAsia="Times New Roman" w:hAnsi="Times New Roman" w:cs="Times New Roman"/>
          <w:i/>
          <w:iCs/>
          <w:kern w:val="0"/>
          <w14:ligatures w14:val="none"/>
        </w:rPr>
        <w:t>Qualitative Research in Accounting &amp; Management</w:t>
      </w:r>
      <w:r w:rsidRPr="004E4F5C">
        <w:rPr>
          <w:rFonts w:ascii="Times New Roman" w:eastAsia="Times New Roman" w:hAnsi="Times New Roman" w:cs="Times New Roman"/>
          <w:kern w:val="0"/>
          <w14:ligatures w14:val="none"/>
        </w:rPr>
        <w:t>, Vol. 17 No. 2, pp. 145-175.</w:t>
      </w:r>
    </w:p>
    <w:p w14:paraId="371362C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O’Dwyer, B. (2011), “The case of sustainability assurance: constructing a new assurance service”,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28 No. 4, pp. 1230–1266.</w:t>
      </w:r>
    </w:p>
    <w:p w14:paraId="7DC168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O’Dwyer, B. and Owen, D.L. (2005), “Assurance statement practice in environmental, social and sustainability reporting: a critical evaluation”,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37 No. 2, pp. 205–229.</w:t>
      </w:r>
    </w:p>
    <w:p w14:paraId="7FDC5C4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O’Dwyer, B., Owen, D. and Unerman, J. (2011), “Seeking legitimacy for new assurance forms”,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36 No. 1, pp. 31–52.</w:t>
      </w:r>
    </w:p>
    <w:p w14:paraId="43CCD10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Okoli, C. (2015), “A guide to conducting a standalone systematic literature review”, </w:t>
      </w:r>
      <w:r w:rsidRPr="004E4F5C">
        <w:rPr>
          <w:rFonts w:ascii="Times New Roman" w:eastAsia="Times New Roman" w:hAnsi="Times New Roman" w:cs="Times New Roman"/>
          <w:i/>
          <w:iCs/>
          <w:kern w:val="0"/>
          <w14:ligatures w14:val="none"/>
        </w:rPr>
        <w:t>Communications of the Association for Information Systems</w:t>
      </w:r>
      <w:r w:rsidRPr="004E4F5C">
        <w:rPr>
          <w:rFonts w:ascii="Times New Roman" w:eastAsia="Times New Roman" w:hAnsi="Times New Roman" w:cs="Times New Roman"/>
          <w:kern w:val="0"/>
          <w14:ligatures w14:val="none"/>
        </w:rPr>
        <w:t>, Vol. 37, Article 43.</w:t>
      </w:r>
    </w:p>
    <w:p w14:paraId="237CE80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Oware, K.M. and Appiah, K. (2022), “CSR assurance practice and financial distress likelihood: evidence from India”,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30 No. 6, pp. 1470–1492.</w:t>
      </w:r>
    </w:p>
    <w:p w14:paraId="09DDCACE"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Owen, D.L., Swift, T.A., Humphrey, C. and Bowerman, M. (2000), “The new social audits: accountability, managerial capture or the agenda of social champions?”,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9 No. 1, pp. 81–98.</w:t>
      </w:r>
    </w:p>
    <w:p w14:paraId="1CBA032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L.D. and Guthrie, J. (1991), “Performance auditing: the jurisdiction of the Australian Auditor-General—de jure or de facto?”,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7 No. 2, p. 107.</w:t>
      </w:r>
    </w:p>
    <w:p w14:paraId="2717992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 D., Jacobs, K. and Schmitz, J. (2019), "New public management and the rise of public sector performance audit: evidence from the Australian case",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32 No. 1, pp. 280-306.</w:t>
      </w:r>
    </w:p>
    <w:p w14:paraId="4F5A5609"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Parker, L.D., Schmitz, J. and Jacobs, K. (2021), “Auditor and auditee engagement with public sector performance audit: an institutional logics perspective”,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37 No. 2, pp. 142–162.</w:t>
      </w:r>
    </w:p>
    <w:p w14:paraId="57A3894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Perego, P. and Kolk, A. (2012), “Multinationals’ accountability on sustainability: the evolution of third-party assurance of reports”, </w:t>
      </w:r>
      <w:r w:rsidRPr="004E4F5C">
        <w:rPr>
          <w:rFonts w:ascii="Times New Roman" w:eastAsia="Times New Roman" w:hAnsi="Times New Roman" w:cs="Times New Roman"/>
          <w:i/>
          <w:iCs/>
          <w:kern w:val="0"/>
          <w14:ligatures w14:val="none"/>
        </w:rPr>
        <w:t>Journal of Business Ethics</w:t>
      </w:r>
      <w:r w:rsidRPr="004E4F5C">
        <w:rPr>
          <w:rFonts w:ascii="Times New Roman" w:eastAsia="Times New Roman" w:hAnsi="Times New Roman" w:cs="Times New Roman"/>
          <w:kern w:val="0"/>
          <w14:ligatures w14:val="none"/>
        </w:rPr>
        <w:t>, Vol. 110 No. 2, pp. 173–190.</w:t>
      </w:r>
    </w:p>
    <w:p w14:paraId="37D7871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Pinnuck, M., Simnett, R., Soderstrom, N. and Zhou, S. (2021), “CSR reporting and earnings properties”,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38 No. 1, pp. 52–85.</w:t>
      </w:r>
    </w:p>
    <w:p w14:paraId="6265A28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Pollitt, C. (2003), “Performance audit in Western Europe: trends and choices”,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14 Nos. 1/2, pp. 157–163.</w:t>
      </w:r>
    </w:p>
    <w:p w14:paraId="701982A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Power, M. (1994), </w:t>
      </w:r>
      <w:r w:rsidRPr="004E4F5C">
        <w:rPr>
          <w:rFonts w:ascii="Times New Roman" w:eastAsia="Times New Roman" w:hAnsi="Times New Roman" w:cs="Times New Roman"/>
          <w:i/>
          <w:iCs/>
          <w:kern w:val="0"/>
          <w14:ligatures w14:val="none"/>
        </w:rPr>
        <w:t>The Audit Explosion</w:t>
      </w:r>
      <w:r w:rsidRPr="004E4F5C">
        <w:rPr>
          <w:rFonts w:ascii="Times New Roman" w:eastAsia="Times New Roman" w:hAnsi="Times New Roman" w:cs="Times New Roman"/>
          <w:kern w:val="0"/>
          <w14:ligatures w14:val="none"/>
        </w:rPr>
        <w:t>, Demos, London.</w:t>
      </w:r>
    </w:p>
    <w:p w14:paraId="1DB5A6B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(1996), “Making things auditable”,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21 Nos. 2/3, pp. 289–315.</w:t>
      </w:r>
    </w:p>
    <w:p w14:paraId="5CCAA6D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(1997a), </w:t>
      </w:r>
      <w:r w:rsidRPr="004E4F5C">
        <w:rPr>
          <w:rFonts w:ascii="Times New Roman" w:eastAsia="Times New Roman" w:hAnsi="Times New Roman" w:cs="Times New Roman"/>
          <w:i/>
          <w:iCs/>
          <w:kern w:val="0"/>
          <w14:ligatures w14:val="none"/>
        </w:rPr>
        <w:t>The Audit Society: Rituals of Verification</w:t>
      </w:r>
      <w:r w:rsidRPr="004E4F5C">
        <w:rPr>
          <w:rFonts w:ascii="Times New Roman" w:eastAsia="Times New Roman" w:hAnsi="Times New Roman" w:cs="Times New Roman"/>
          <w:kern w:val="0"/>
          <w14:ligatures w14:val="none"/>
        </w:rPr>
        <w:t>, Oxford University Press, Oxford.</w:t>
      </w:r>
    </w:p>
    <w:p w14:paraId="6570059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(1997b), “Expertise and the construction of relevance: accountants and environmental audit”,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22 No. 2, pp. 123–146.</w:t>
      </w:r>
    </w:p>
    <w:p w14:paraId="15941AA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(2003a), “Auditing and the production of legitimacy”,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28 No. 4, pp. 379–394.</w:t>
      </w:r>
    </w:p>
    <w:p w14:paraId="6DCF182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(2003b), “Evaluating the audit explosion”, </w:t>
      </w:r>
      <w:r w:rsidRPr="004E4F5C">
        <w:rPr>
          <w:rFonts w:ascii="Times New Roman" w:eastAsia="Times New Roman" w:hAnsi="Times New Roman" w:cs="Times New Roman"/>
          <w:i/>
          <w:iCs/>
          <w:kern w:val="0"/>
          <w14:ligatures w14:val="none"/>
        </w:rPr>
        <w:t>Law &amp; Policy</w:t>
      </w:r>
      <w:r w:rsidRPr="004E4F5C">
        <w:rPr>
          <w:rFonts w:ascii="Times New Roman" w:eastAsia="Times New Roman" w:hAnsi="Times New Roman" w:cs="Times New Roman"/>
          <w:kern w:val="0"/>
          <w14:ligatures w14:val="none"/>
        </w:rPr>
        <w:t>, Vol. 25 No. 3, pp. 185–202.</w:t>
      </w:r>
    </w:p>
    <w:p w14:paraId="3CDDDBA5"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(2004), “Counting, control and calculation: reflections on measuring and management”, </w:t>
      </w:r>
      <w:r w:rsidRPr="004E4F5C">
        <w:rPr>
          <w:rFonts w:ascii="Times New Roman" w:eastAsia="Times New Roman" w:hAnsi="Times New Roman" w:cs="Times New Roman"/>
          <w:i/>
          <w:iCs/>
          <w:kern w:val="0"/>
          <w14:ligatures w14:val="none"/>
        </w:rPr>
        <w:t>Human Relations</w:t>
      </w:r>
      <w:r w:rsidRPr="004E4F5C">
        <w:rPr>
          <w:rFonts w:ascii="Times New Roman" w:eastAsia="Times New Roman" w:hAnsi="Times New Roman" w:cs="Times New Roman"/>
          <w:kern w:val="0"/>
          <w14:ligatures w14:val="none"/>
        </w:rPr>
        <w:t>, Vol. 57 No. 6, pp. 765–783.</w:t>
      </w:r>
    </w:p>
    <w:p w14:paraId="2640163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(2005), “The invention of operational risk”, </w:t>
      </w:r>
      <w:r w:rsidRPr="004E4F5C">
        <w:rPr>
          <w:rFonts w:ascii="Times New Roman" w:eastAsia="Times New Roman" w:hAnsi="Times New Roman" w:cs="Times New Roman"/>
          <w:i/>
          <w:iCs/>
          <w:kern w:val="0"/>
          <w14:ligatures w14:val="none"/>
        </w:rPr>
        <w:t>Review of International Political Economy</w:t>
      </w:r>
      <w:r w:rsidRPr="004E4F5C">
        <w:rPr>
          <w:rFonts w:ascii="Times New Roman" w:eastAsia="Times New Roman" w:hAnsi="Times New Roman" w:cs="Times New Roman"/>
          <w:kern w:val="0"/>
          <w14:ligatures w14:val="none"/>
        </w:rPr>
        <w:t>, Vol. 12 No. 4, pp. 577–599.</w:t>
      </w:r>
    </w:p>
    <w:p w14:paraId="03A03A0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Power, M. (2021), “Modelling the micro-foundations of the audit society: organisations and the logic of the audit trail”, </w:t>
      </w:r>
      <w:r w:rsidRPr="004E4F5C">
        <w:rPr>
          <w:rFonts w:ascii="Times New Roman" w:eastAsia="Times New Roman" w:hAnsi="Times New Roman" w:cs="Times New Roman"/>
          <w:i/>
          <w:iCs/>
          <w:kern w:val="0"/>
          <w14:ligatures w14:val="none"/>
        </w:rPr>
        <w:t>Academy of Management Review</w:t>
      </w:r>
      <w:r w:rsidRPr="004E4F5C">
        <w:rPr>
          <w:rFonts w:ascii="Times New Roman" w:eastAsia="Times New Roman" w:hAnsi="Times New Roman" w:cs="Times New Roman"/>
          <w:kern w:val="0"/>
          <w14:ligatures w14:val="none"/>
        </w:rPr>
        <w:t>, Vol. 46 No. 1, pp. 6–32.</w:t>
      </w:r>
    </w:p>
    <w:p w14:paraId="34E00646"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Quick, R. and Inwinkl, P. (2020), “Assurance on CSR reports: impact on the credibility perceptions of non-financial information by bank directors”, </w:t>
      </w:r>
      <w:r w:rsidRPr="004E4F5C">
        <w:rPr>
          <w:rFonts w:ascii="Times New Roman" w:eastAsia="Times New Roman" w:hAnsi="Times New Roman" w:cs="Times New Roman"/>
          <w:i/>
          <w:iCs/>
          <w:kern w:val="0"/>
          <w14:ligatures w14:val="none"/>
        </w:rPr>
        <w:t>Meditari Accountancy Research</w:t>
      </w:r>
      <w:r w:rsidRPr="004E4F5C">
        <w:rPr>
          <w:rFonts w:ascii="Times New Roman" w:eastAsia="Times New Roman" w:hAnsi="Times New Roman" w:cs="Times New Roman"/>
          <w:kern w:val="0"/>
          <w14:ligatures w14:val="none"/>
        </w:rPr>
        <w:t>, Vol. 28 No. 5, pp. 833–862.</w:t>
      </w:r>
    </w:p>
    <w:p w14:paraId="115D877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Radcliffe, V.S. (2008), “Public secrecy in auditing: what government auditors cannot know”,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19 No. 1, pp. 99–126.</w:t>
      </w:r>
    </w:p>
    <w:p w14:paraId="4C21D5F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Rika, N. and Jacobs, K. (2019), “Reputational risk and environmental performance auditing: a study in the Australian Commonwealth public sector”, </w:t>
      </w:r>
      <w:r w:rsidRPr="004E4F5C">
        <w:rPr>
          <w:rFonts w:ascii="Times New Roman" w:eastAsia="Times New Roman" w:hAnsi="Times New Roman" w:cs="Times New Roman"/>
          <w:i/>
          <w:iCs/>
          <w:kern w:val="0"/>
          <w14:ligatures w14:val="none"/>
        </w:rPr>
        <w:t>Financial Accountability &amp; Management</w:t>
      </w:r>
      <w:r w:rsidRPr="004E4F5C">
        <w:rPr>
          <w:rFonts w:ascii="Times New Roman" w:eastAsia="Times New Roman" w:hAnsi="Times New Roman" w:cs="Times New Roman"/>
          <w:kern w:val="0"/>
          <w14:ligatures w14:val="none"/>
        </w:rPr>
        <w:t>, Vol. 35 No. 2, pp. 182–198.</w:t>
      </w:r>
    </w:p>
    <w:p w14:paraId="491B1FE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Rohani, A., Jabbour, M. and Aliyu, S. (2023), “Corporate incentives for higher carbon assurance”,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24 No. 4, pp. 701–725.</w:t>
      </w:r>
    </w:p>
    <w:p w14:paraId="30A2D3D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Sánchez-Sancho, M., Martínez-Ferrero, J. and Perote-Peña, J. (2025), “Sustainability assurance practice diversity”, </w:t>
      </w:r>
      <w:r w:rsidRPr="004E4F5C">
        <w:rPr>
          <w:rFonts w:ascii="Times New Roman" w:eastAsia="Times New Roman" w:hAnsi="Times New Roman" w:cs="Times New Roman"/>
          <w:i/>
          <w:iCs/>
          <w:kern w:val="0"/>
          <w14:ligatures w14:val="none"/>
        </w:rPr>
        <w:t>Accounting &amp; Finance</w:t>
      </w:r>
      <w:r w:rsidRPr="004E4F5C">
        <w:rPr>
          <w:rFonts w:ascii="Times New Roman" w:eastAsia="Times New Roman" w:hAnsi="Times New Roman" w:cs="Times New Roman"/>
          <w:kern w:val="0"/>
          <w14:ligatures w14:val="none"/>
        </w:rPr>
        <w:t>, Vol. 65 No. 1, pp. 153–189.</w:t>
      </w:r>
    </w:p>
    <w:p w14:paraId="71A544BA"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Shen, H., Wu, H. and Chand, P. (2017), “The impact of corporate social responsibility assurance on investor decisions: Chinese evidence”,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21 No. 3, pp. 271–287.</w:t>
      </w:r>
    </w:p>
    <w:p w14:paraId="6C4A962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Silvola, H. and Vinnari, E. (2021), “The limits of institutional work: a field study on auditors’ efforts to promote sustainability assurance in a trust society”,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34 No. 1, pp. 1–30.</w:t>
      </w:r>
    </w:p>
    <w:p w14:paraId="046FE08B"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Simnett, R., Nugent, M. and Huggins, A.L. (2009), “Developing an international assurance standard on greenhouse gas statements”, </w:t>
      </w:r>
      <w:r w:rsidRPr="004E4F5C">
        <w:rPr>
          <w:rFonts w:ascii="Times New Roman" w:eastAsia="Times New Roman" w:hAnsi="Times New Roman" w:cs="Times New Roman"/>
          <w:i/>
          <w:iCs/>
          <w:kern w:val="0"/>
          <w14:ligatures w14:val="none"/>
        </w:rPr>
        <w:t>Accounting Horizons</w:t>
      </w:r>
      <w:r w:rsidRPr="004E4F5C">
        <w:rPr>
          <w:rFonts w:ascii="Times New Roman" w:eastAsia="Times New Roman" w:hAnsi="Times New Roman" w:cs="Times New Roman"/>
          <w:kern w:val="0"/>
          <w14:ligatures w14:val="none"/>
        </w:rPr>
        <w:t>, Vol. 23 No. 4, pp. 347–363.</w:t>
      </w:r>
    </w:p>
    <w:p w14:paraId="5305DDC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Simnett, R., Vanstraelen, A. and Chua, W.F. (2009), “Assurance on general purpose non-financial reports: an international comparison”, </w:t>
      </w:r>
      <w:r w:rsidRPr="004E4F5C">
        <w:rPr>
          <w:rFonts w:ascii="Times New Roman" w:eastAsia="Times New Roman" w:hAnsi="Times New Roman" w:cs="Times New Roman"/>
          <w:i/>
          <w:iCs/>
          <w:kern w:val="0"/>
          <w14:ligatures w14:val="none"/>
        </w:rPr>
        <w:t>The Accounting Review</w:t>
      </w:r>
      <w:r w:rsidRPr="004E4F5C">
        <w:rPr>
          <w:rFonts w:ascii="Times New Roman" w:eastAsia="Times New Roman" w:hAnsi="Times New Roman" w:cs="Times New Roman"/>
          <w:kern w:val="0"/>
          <w14:ligatures w14:val="none"/>
        </w:rPr>
        <w:t>, Vol. 84 No. 3, pp. 937–967.</w:t>
      </w:r>
    </w:p>
    <w:p w14:paraId="231A1EB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Skærbæk, P. (2009), “Public sector auditor identities in making efficiency auditable: the National Audit Office of Denmark as independent auditor and moderniser”, </w:t>
      </w:r>
      <w:r w:rsidRPr="004E4F5C">
        <w:rPr>
          <w:rFonts w:ascii="Times New Roman" w:eastAsia="Times New Roman" w:hAnsi="Times New Roman" w:cs="Times New Roman"/>
          <w:i/>
          <w:iCs/>
          <w:kern w:val="0"/>
          <w14:ligatures w14:val="none"/>
        </w:rPr>
        <w:t>Accounting, Organizations and Society</w:t>
      </w:r>
      <w:r w:rsidRPr="004E4F5C">
        <w:rPr>
          <w:rFonts w:ascii="Times New Roman" w:eastAsia="Times New Roman" w:hAnsi="Times New Roman" w:cs="Times New Roman"/>
          <w:kern w:val="0"/>
          <w14:ligatures w14:val="none"/>
        </w:rPr>
        <w:t>, Vol. 34 No. 8, p. 971.</w:t>
      </w:r>
    </w:p>
    <w:p w14:paraId="3C19434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Skærbæk, P. and Christensen, M. (2015), “Auditing and the purification of blame”, </w:t>
      </w:r>
      <w:r w:rsidRPr="004E4F5C">
        <w:rPr>
          <w:rFonts w:ascii="Times New Roman" w:eastAsia="Times New Roman" w:hAnsi="Times New Roman" w:cs="Times New Roman"/>
          <w:i/>
          <w:iCs/>
          <w:kern w:val="0"/>
          <w14:ligatures w14:val="none"/>
        </w:rPr>
        <w:t>Contemporary Accounting Research</w:t>
      </w:r>
      <w:r w:rsidRPr="004E4F5C">
        <w:rPr>
          <w:rFonts w:ascii="Times New Roman" w:eastAsia="Times New Roman" w:hAnsi="Times New Roman" w:cs="Times New Roman"/>
          <w:kern w:val="0"/>
          <w14:ligatures w14:val="none"/>
        </w:rPr>
        <w:t>, Vol. 32 No. 4, pp. 1263–1284.</w:t>
      </w:r>
    </w:p>
    <w:p w14:paraId="3035AFE3"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Snyder, H. (2019), “Literature review as a research methodology: an overview and guidelines”, </w:t>
      </w:r>
      <w:r w:rsidRPr="004E4F5C">
        <w:rPr>
          <w:rFonts w:ascii="Times New Roman" w:eastAsia="Times New Roman" w:hAnsi="Times New Roman" w:cs="Times New Roman"/>
          <w:i/>
          <w:iCs/>
          <w:kern w:val="0"/>
          <w14:ligatures w14:val="none"/>
        </w:rPr>
        <w:t>Journal of Business Research</w:t>
      </w:r>
      <w:r w:rsidRPr="004E4F5C">
        <w:rPr>
          <w:rFonts w:ascii="Times New Roman" w:eastAsia="Times New Roman" w:hAnsi="Times New Roman" w:cs="Times New Roman"/>
          <w:kern w:val="0"/>
          <w14:ligatures w14:val="none"/>
        </w:rPr>
        <w:t>, Vol. 104, pp. 333–339.</w:t>
      </w:r>
    </w:p>
    <w:p w14:paraId="16A975C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Songini, L., Pistoni, A., Comerio, N. and Tettamanzi, P. (2023), “A decade of integrated reporting studies: state of the art and future research implications”, </w:t>
      </w:r>
      <w:r w:rsidRPr="004E4F5C">
        <w:rPr>
          <w:rFonts w:ascii="Times New Roman" w:eastAsia="Times New Roman" w:hAnsi="Times New Roman" w:cs="Times New Roman"/>
          <w:i/>
          <w:iCs/>
          <w:kern w:val="0"/>
          <w14:ligatures w14:val="none"/>
        </w:rPr>
        <w:t>Accounting, Auditing &amp; Accountability Journal</w:t>
      </w:r>
      <w:r w:rsidRPr="004E4F5C">
        <w:rPr>
          <w:rFonts w:ascii="Times New Roman" w:eastAsia="Times New Roman" w:hAnsi="Times New Roman" w:cs="Times New Roman"/>
          <w:kern w:val="0"/>
          <w14:ligatures w14:val="none"/>
        </w:rPr>
        <w:t>, Vol. 36 No. 1, pp. 226–252.</w:t>
      </w:r>
    </w:p>
    <w:p w14:paraId="7E19073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Sonnerfeldt, A.L.L. and Pontoppidan, C.A. (2020), “The challenges of assurance on non-financial reporting”, </w:t>
      </w:r>
      <w:r w:rsidRPr="004E4F5C">
        <w:rPr>
          <w:rFonts w:ascii="Times New Roman" w:eastAsia="Times New Roman" w:hAnsi="Times New Roman" w:cs="Times New Roman"/>
          <w:i/>
          <w:iCs/>
          <w:kern w:val="0"/>
          <w14:ligatures w14:val="none"/>
        </w:rPr>
        <w:t>Accounting, Economics and Law: A Convivium</w:t>
      </w:r>
      <w:r w:rsidRPr="004E4F5C">
        <w:rPr>
          <w:rFonts w:ascii="Times New Roman" w:eastAsia="Times New Roman" w:hAnsi="Times New Roman" w:cs="Times New Roman"/>
          <w:kern w:val="0"/>
          <w14:ligatures w14:val="none"/>
        </w:rPr>
        <w:t>, Vol. 10 No. 2. 20180050.</w:t>
      </w:r>
    </w:p>
    <w:p w14:paraId="2137EA8F"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Steinmeier, M. and Stich, M. (2019), “Does sustainability assurance improve managerial investment decisions?”, </w:t>
      </w:r>
      <w:r w:rsidRPr="004E4F5C">
        <w:rPr>
          <w:rFonts w:ascii="Times New Roman" w:eastAsia="Times New Roman" w:hAnsi="Times New Roman" w:cs="Times New Roman"/>
          <w:i/>
          <w:iCs/>
          <w:kern w:val="0"/>
          <w14:ligatures w14:val="none"/>
        </w:rPr>
        <w:t>European Accounting Review</w:t>
      </w:r>
      <w:r w:rsidRPr="004E4F5C">
        <w:rPr>
          <w:rFonts w:ascii="Times New Roman" w:eastAsia="Times New Roman" w:hAnsi="Times New Roman" w:cs="Times New Roman"/>
          <w:kern w:val="0"/>
          <w14:ligatures w14:val="none"/>
        </w:rPr>
        <w:t>, Vol. 28 No. 1, pp. 177–209.</w:t>
      </w:r>
    </w:p>
    <w:p w14:paraId="792E2E5C"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Tetteh, L. A., Agyenim-Boateng, C. and Simpson, S. N. Y. (2023), "Institutional pressures and strategic response to auditing implementation of sustainable development goals: the role of public sector auditors", </w:t>
      </w:r>
      <w:r w:rsidRPr="004E4F5C">
        <w:rPr>
          <w:rFonts w:ascii="Times New Roman" w:eastAsia="Times New Roman" w:hAnsi="Times New Roman" w:cs="Times New Roman"/>
          <w:i/>
          <w:iCs/>
          <w:kern w:val="0"/>
          <w14:ligatures w14:val="none"/>
        </w:rPr>
        <w:t>Journal of Applied Accounting Research</w:t>
      </w:r>
      <w:r w:rsidRPr="004E4F5C">
        <w:rPr>
          <w:rFonts w:ascii="Times New Roman" w:eastAsia="Times New Roman" w:hAnsi="Times New Roman" w:cs="Times New Roman"/>
          <w:kern w:val="0"/>
          <w14:ligatures w14:val="none"/>
        </w:rPr>
        <w:t>, Vol. 24 No. 2, pp. 403-423.</w:t>
      </w:r>
    </w:p>
    <w:p w14:paraId="7BB58B62"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Taylor, D.W., Sulaiman, M. and Sheahan, M. (2001), “Auditing of environmental management systems: a legitimacy theory perspective”, </w:t>
      </w:r>
      <w:r w:rsidRPr="004E4F5C">
        <w:rPr>
          <w:rFonts w:ascii="Times New Roman" w:eastAsia="Times New Roman" w:hAnsi="Times New Roman" w:cs="Times New Roman"/>
          <w:i/>
          <w:iCs/>
          <w:kern w:val="0"/>
          <w14:ligatures w14:val="none"/>
        </w:rPr>
        <w:t>Managerial Auditing Journal</w:t>
      </w:r>
      <w:r w:rsidRPr="004E4F5C">
        <w:rPr>
          <w:rFonts w:ascii="Times New Roman" w:eastAsia="Times New Roman" w:hAnsi="Times New Roman" w:cs="Times New Roman"/>
          <w:kern w:val="0"/>
          <w14:ligatures w14:val="none"/>
        </w:rPr>
        <w:t>, Vol. 16 No. 7, pp. 411–422.</w:t>
      </w:r>
    </w:p>
    <w:p w14:paraId="7EB13A7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Tillema, S. and Ter Bogt, H.J. (2010), “Performance auditing: improving the quality of political and democratic processes?”,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21 No. 8, pp. 754–769.</w:t>
      </w:r>
    </w:p>
    <w:p w14:paraId="701DD268"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Tranfield, D., Denyer, D. and Smart, P. (2003), “Towards a methodology for developing evidence-informed management knowledge by means of systematic review”, </w:t>
      </w:r>
      <w:r w:rsidRPr="004E4F5C">
        <w:rPr>
          <w:rFonts w:ascii="Times New Roman" w:eastAsia="Times New Roman" w:hAnsi="Times New Roman" w:cs="Times New Roman"/>
          <w:i/>
          <w:iCs/>
          <w:kern w:val="0"/>
          <w14:ligatures w14:val="none"/>
        </w:rPr>
        <w:t>British Journal of Management</w:t>
      </w:r>
      <w:r w:rsidRPr="004E4F5C">
        <w:rPr>
          <w:rFonts w:ascii="Times New Roman" w:eastAsia="Times New Roman" w:hAnsi="Times New Roman" w:cs="Times New Roman"/>
          <w:kern w:val="0"/>
          <w14:ligatures w14:val="none"/>
        </w:rPr>
        <w:t>, Vol. 14 No. 3, pp. 207–222.</w:t>
      </w:r>
    </w:p>
    <w:p w14:paraId="431DC981"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Vasarhelyi, M.A., Alles, M.G. and Williams, K.T. (2015), “Continuous assurance for the now economy”, </w:t>
      </w:r>
      <w:r w:rsidRPr="004E4F5C">
        <w:rPr>
          <w:rFonts w:ascii="Times New Roman" w:eastAsia="Times New Roman" w:hAnsi="Times New Roman" w:cs="Times New Roman"/>
          <w:i/>
          <w:iCs/>
          <w:kern w:val="0"/>
          <w14:ligatures w14:val="none"/>
        </w:rPr>
        <w:t>Journal of Information Systems</w:t>
      </w:r>
      <w:r w:rsidRPr="004E4F5C">
        <w:rPr>
          <w:rFonts w:ascii="Times New Roman" w:eastAsia="Times New Roman" w:hAnsi="Times New Roman" w:cs="Times New Roman"/>
          <w:kern w:val="0"/>
          <w14:ligatures w14:val="none"/>
        </w:rPr>
        <w:t>, Vol. 29 No. 2, pp. 1–10.</w:t>
      </w:r>
    </w:p>
    <w:p w14:paraId="68C83F1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lastRenderedPageBreak/>
        <w:t xml:space="preserve">Vera-Muñoz, S.C., Gaynor, L.M. and Kinney, W.R. (2020), “Communicating assurance using practitioner-customised procedures: an experiment and emerging research opportunities”,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39 No. 3, pp. 201–222.</w:t>
      </w:r>
    </w:p>
    <w:p w14:paraId="65293E67"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Wang, S., Scells, H., Koopman, B. and Zuccon, G. (2023), “Can ChatGPT write a good boolean query for systematic review literature search?”, in </w:t>
      </w:r>
      <w:r w:rsidRPr="004E4F5C">
        <w:rPr>
          <w:rFonts w:ascii="Times New Roman" w:eastAsia="Times New Roman" w:hAnsi="Times New Roman" w:cs="Times New Roman"/>
          <w:i/>
          <w:iCs/>
          <w:kern w:val="0"/>
          <w14:ligatures w14:val="none"/>
        </w:rPr>
        <w:t>Proceedings of the 46th International ACM SIGIR Conference on Research and Development in Information Retrieval</w:t>
      </w:r>
      <w:r w:rsidRPr="004E4F5C">
        <w:rPr>
          <w:rFonts w:ascii="Times New Roman" w:eastAsia="Times New Roman" w:hAnsi="Times New Roman" w:cs="Times New Roman"/>
          <w:kern w:val="0"/>
          <w14:ligatures w14:val="none"/>
        </w:rPr>
        <w:t>, ACM, New York, NY, pp. 1426–1436.</w:t>
      </w:r>
    </w:p>
    <w:p w14:paraId="7A4BE894"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Xing, C., Shan, Y. G., Yang, F. and Zhang, Y. (2025), "The effect of csr assurance on subsequent corporate greenwashing: suggestion acquisition or opinion shopping?", </w:t>
      </w:r>
      <w:r w:rsidRPr="004E4F5C">
        <w:rPr>
          <w:rFonts w:ascii="Times New Roman" w:eastAsia="Times New Roman" w:hAnsi="Times New Roman" w:cs="Times New Roman"/>
          <w:i/>
          <w:iCs/>
          <w:kern w:val="0"/>
          <w14:ligatures w14:val="none"/>
        </w:rPr>
        <w:t>The British Accounting Review</w:t>
      </w:r>
      <w:r w:rsidRPr="004E4F5C">
        <w:rPr>
          <w:rFonts w:ascii="Times New Roman" w:eastAsia="Times New Roman" w:hAnsi="Times New Roman" w:cs="Times New Roman"/>
          <w:kern w:val="0"/>
          <w14:ligatures w14:val="none"/>
        </w:rPr>
        <w:t>, Vol. 57 No. 1, 101744.</w:t>
      </w:r>
    </w:p>
    <w:p w14:paraId="4D267CF0"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Xu, S.G. and Andrew, B. (2021), “Competing for the leading role: trials in categorising greenhouse and energy auditors”, </w:t>
      </w:r>
      <w:r w:rsidRPr="004E4F5C">
        <w:rPr>
          <w:rFonts w:ascii="Times New Roman" w:eastAsia="Times New Roman" w:hAnsi="Times New Roman" w:cs="Times New Roman"/>
          <w:i/>
          <w:iCs/>
          <w:kern w:val="0"/>
          <w14:ligatures w14:val="none"/>
        </w:rPr>
        <w:t>Critical Perspectives on Accounting</w:t>
      </w:r>
      <w:r w:rsidRPr="004E4F5C">
        <w:rPr>
          <w:rFonts w:ascii="Times New Roman" w:eastAsia="Times New Roman" w:hAnsi="Times New Roman" w:cs="Times New Roman"/>
          <w:kern w:val="0"/>
          <w14:ligatures w14:val="none"/>
        </w:rPr>
        <w:t>, Vol. 77, 102236.</w:t>
      </w:r>
    </w:p>
    <w:p w14:paraId="5893D0B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Yang, M. and Maresova, P. (2025), "The effects of corporate social responsibility assurance and the choice of assurer on stock price crash risk: evidence from china", </w:t>
      </w:r>
      <w:r w:rsidRPr="004E4F5C">
        <w:rPr>
          <w:rFonts w:ascii="Times New Roman" w:eastAsia="Times New Roman" w:hAnsi="Times New Roman" w:cs="Times New Roman"/>
          <w:i/>
          <w:iCs/>
          <w:kern w:val="0"/>
          <w14:ligatures w14:val="none"/>
        </w:rPr>
        <w:t>International Journal of Auditing</w:t>
      </w:r>
      <w:r w:rsidRPr="004E4F5C">
        <w:rPr>
          <w:rFonts w:ascii="Times New Roman" w:eastAsia="Times New Roman" w:hAnsi="Times New Roman" w:cs="Times New Roman"/>
          <w:kern w:val="0"/>
          <w14:ligatures w14:val="none"/>
        </w:rPr>
        <w:t>, Vol. 29 No. 3, pp. 376-399.</w:t>
      </w:r>
    </w:p>
    <w:p w14:paraId="39BBBC6D" w14:textId="77777777" w:rsidR="004E4F5C" w:rsidRPr="004E4F5C" w:rsidRDefault="004E4F5C" w:rsidP="004E4F5C">
      <w:pPr>
        <w:spacing w:after="0" w:line="480" w:lineRule="auto"/>
        <w:ind w:left="567" w:hanging="567"/>
        <w:jc w:val="both"/>
        <w:rPr>
          <w:rFonts w:ascii="Times New Roman" w:eastAsia="Times New Roman" w:hAnsi="Times New Roman" w:cs="Times New Roman"/>
          <w:kern w:val="0"/>
          <w14:ligatures w14:val="none"/>
        </w:rPr>
      </w:pPr>
      <w:r w:rsidRPr="004E4F5C">
        <w:rPr>
          <w:rFonts w:ascii="Times New Roman" w:eastAsia="Times New Roman" w:hAnsi="Times New Roman" w:cs="Times New Roman"/>
          <w:kern w:val="0"/>
          <w14:ligatures w14:val="none"/>
        </w:rPr>
        <w:t xml:space="preserve">Zhou, S., Simnett, R. and Green, W. J. (2016), "Assuring a new market: the interplay between country-level and company-level factors on the demand for greenhouse gas (ghg) information assurance and the choice of assurance provider", </w:t>
      </w:r>
      <w:r w:rsidRPr="004E4F5C">
        <w:rPr>
          <w:rFonts w:ascii="Times New Roman" w:eastAsia="Times New Roman" w:hAnsi="Times New Roman" w:cs="Times New Roman"/>
          <w:i/>
          <w:iCs/>
          <w:kern w:val="0"/>
          <w14:ligatures w14:val="none"/>
        </w:rPr>
        <w:t>Auditing: A Journal of Practice &amp; Theory</w:t>
      </w:r>
      <w:r w:rsidRPr="004E4F5C">
        <w:rPr>
          <w:rFonts w:ascii="Times New Roman" w:eastAsia="Times New Roman" w:hAnsi="Times New Roman" w:cs="Times New Roman"/>
          <w:kern w:val="0"/>
          <w14:ligatures w14:val="none"/>
        </w:rPr>
        <w:t>, Vol. 35 No. 3, pp. 141-168.</w:t>
      </w:r>
    </w:p>
    <w:p w14:paraId="4EEA2756" w14:textId="77777777" w:rsidR="004E4F5C" w:rsidRPr="004E4F5C" w:rsidRDefault="004E4F5C" w:rsidP="004E4F5C"/>
    <w:sectPr w:rsidR="004E4F5C" w:rsidRPr="004E4F5C" w:rsidSect="004E4F5C">
      <w:pgSz w:w="11906" w:h="16838"/>
      <w:pgMar w:top="1440" w:right="1440" w:bottom="1440" w:left="1440" w:header="851" w:footer="992"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5C"/>
    <w:rsid w:val="00042A59"/>
    <w:rsid w:val="004E4F5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D625"/>
  <w15:chartTrackingRefBased/>
  <w15:docId w15:val="{9CC248E7-8CBB-44A1-93AD-E7F31BF3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hart" Target="charts/chart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E3BE-4A8A-B4F3-01163BAD2F7E}"/>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E3BE-4A8A-B4F3-01163BAD2F7E}"/>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E3BE-4A8A-B4F3-01163BAD2F7E}"/>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E3BE-4A8A-B4F3-01163BAD2F7E}"/>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66</Pages>
  <Words>15857</Words>
  <Characters>90386</Characters>
  <Application>Microsoft Office Word</Application>
  <DocSecurity>0</DocSecurity>
  <Lines>753</Lines>
  <Paragraphs>212</Paragraphs>
  <ScaleCrop>false</ScaleCrop>
  <Company/>
  <LinksUpToDate>false</LinksUpToDate>
  <CharactersWithSpaces>106031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2026-04-30T10:48:00Z</dcterms:created>
  <dcterms:modified xsi:type="dcterms:W3CDTF">2026-04-30T10:48:00Z</dcterms:modified>
</cp:coreProperties>
</file>