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A9F28" w14:textId="4DE9305A" w:rsidR="004B2038" w:rsidRPr="008F53EF" w:rsidRDefault="00725ECE" w:rsidP="004C4C68">
      <w:pPr>
        <w:jc w:val="center"/>
        <w:rPr>
          <w:b/>
          <w:bCs/>
          <w:sz w:val="36"/>
          <w:szCs w:val="36"/>
        </w:rPr>
      </w:pPr>
      <w:r w:rsidRPr="008F53EF">
        <w:rPr>
          <w:b/>
          <w:bCs/>
          <w:sz w:val="36"/>
          <w:szCs w:val="36"/>
        </w:rPr>
        <w:t xml:space="preserve">From </w:t>
      </w:r>
      <w:r w:rsidR="00F00106" w:rsidRPr="008F53EF">
        <w:rPr>
          <w:b/>
          <w:bCs/>
          <w:sz w:val="36"/>
          <w:szCs w:val="36"/>
        </w:rPr>
        <w:t>‘</w:t>
      </w:r>
      <w:r w:rsidR="00BA76B5">
        <w:rPr>
          <w:rFonts w:hint="eastAsia"/>
          <w:b/>
          <w:bCs/>
          <w:sz w:val="36"/>
          <w:szCs w:val="36"/>
        </w:rPr>
        <w:t>a</w:t>
      </w:r>
      <w:r w:rsidRPr="008F53EF">
        <w:rPr>
          <w:b/>
          <w:bCs/>
          <w:sz w:val="36"/>
          <w:szCs w:val="36"/>
        </w:rPr>
        <w:t xml:space="preserve">udit </w:t>
      </w:r>
      <w:r w:rsidR="00BA76B5">
        <w:rPr>
          <w:rFonts w:hint="eastAsia"/>
          <w:b/>
          <w:bCs/>
          <w:sz w:val="36"/>
          <w:szCs w:val="36"/>
        </w:rPr>
        <w:t>s</w:t>
      </w:r>
      <w:r w:rsidRPr="008F53EF">
        <w:rPr>
          <w:b/>
          <w:bCs/>
          <w:sz w:val="36"/>
          <w:szCs w:val="36"/>
        </w:rPr>
        <w:t>ociety</w:t>
      </w:r>
      <w:r w:rsidR="00F00106" w:rsidRPr="008F53EF">
        <w:rPr>
          <w:b/>
          <w:bCs/>
          <w:sz w:val="36"/>
          <w:szCs w:val="36"/>
        </w:rPr>
        <w:t>’</w:t>
      </w:r>
      <w:r w:rsidRPr="008F53EF">
        <w:rPr>
          <w:b/>
          <w:bCs/>
          <w:sz w:val="36"/>
          <w:szCs w:val="36"/>
        </w:rPr>
        <w:t xml:space="preserve"> to </w:t>
      </w:r>
      <w:r w:rsidR="00F00106" w:rsidRPr="008F53EF">
        <w:rPr>
          <w:b/>
          <w:bCs/>
          <w:sz w:val="36"/>
          <w:szCs w:val="36"/>
        </w:rPr>
        <w:t>‘</w:t>
      </w:r>
      <w:r w:rsidR="0022417C">
        <w:rPr>
          <w:b/>
          <w:bCs/>
          <w:sz w:val="36"/>
          <w:szCs w:val="36"/>
        </w:rPr>
        <w:t>audit planet</w:t>
      </w:r>
      <w:r w:rsidR="00F00106" w:rsidRPr="008F53EF">
        <w:rPr>
          <w:b/>
          <w:bCs/>
          <w:sz w:val="36"/>
          <w:szCs w:val="36"/>
        </w:rPr>
        <w:t>’</w:t>
      </w:r>
    </w:p>
    <w:p w14:paraId="614F3A1C" w14:textId="13F0C643" w:rsidR="00166F8E" w:rsidRPr="00B15648" w:rsidRDefault="00166F8E" w:rsidP="004C4C68">
      <w:pPr>
        <w:jc w:val="center"/>
        <w:rPr>
          <w:sz w:val="36"/>
          <w:szCs w:val="36"/>
        </w:rPr>
      </w:pPr>
      <w:r w:rsidRPr="00B15648">
        <w:rPr>
          <w:sz w:val="36"/>
          <w:szCs w:val="36"/>
        </w:rPr>
        <w:t xml:space="preserve">A systematic review of </w:t>
      </w:r>
      <w:r w:rsidR="00EF4950" w:rsidRPr="00B15648">
        <w:rPr>
          <w:sz w:val="36"/>
          <w:szCs w:val="36"/>
        </w:rPr>
        <w:t xml:space="preserve">the </w:t>
      </w:r>
      <w:r w:rsidR="00FE4D56" w:rsidRPr="00B15648">
        <w:rPr>
          <w:sz w:val="36"/>
          <w:szCs w:val="36"/>
        </w:rPr>
        <w:t>non-financial information assurance</w:t>
      </w:r>
      <w:r w:rsidR="00EF4950" w:rsidRPr="00B15648">
        <w:rPr>
          <w:sz w:val="36"/>
          <w:szCs w:val="36"/>
        </w:rPr>
        <w:t xml:space="preserve"> literature</w:t>
      </w:r>
      <w:r w:rsidR="00C31153" w:rsidRPr="00B15648">
        <w:rPr>
          <w:sz w:val="36"/>
          <w:szCs w:val="36"/>
        </w:rPr>
        <w:t xml:space="preserve"> (199</w:t>
      </w:r>
      <w:r w:rsidR="00A206C8">
        <w:rPr>
          <w:sz w:val="36"/>
          <w:szCs w:val="36"/>
        </w:rPr>
        <w:t>0</w:t>
      </w:r>
      <w:r w:rsidR="00C31153" w:rsidRPr="00B15648">
        <w:rPr>
          <w:sz w:val="36"/>
          <w:szCs w:val="36"/>
        </w:rPr>
        <w:t xml:space="preserve"> – 202</w:t>
      </w:r>
      <w:r w:rsidR="0022417C">
        <w:rPr>
          <w:sz w:val="36"/>
          <w:szCs w:val="36"/>
        </w:rPr>
        <w:t>5</w:t>
      </w:r>
      <w:r w:rsidR="00C31153" w:rsidRPr="00B15648">
        <w:rPr>
          <w:sz w:val="36"/>
          <w:szCs w:val="36"/>
        </w:rPr>
        <w:t>)</w:t>
      </w:r>
    </w:p>
    <w:p w14:paraId="513C7422" w14:textId="0A1EA39B" w:rsidR="001228E2" w:rsidRPr="008F53EF" w:rsidRDefault="00CD0B90">
      <w:pPr>
        <w:rPr>
          <w:b/>
          <w:bCs/>
          <w:sz w:val="28"/>
          <w:szCs w:val="28"/>
        </w:rPr>
      </w:pPr>
      <w:r w:rsidRPr="008F53EF">
        <w:rPr>
          <w:b/>
          <w:bCs/>
          <w:sz w:val="28"/>
          <w:szCs w:val="28"/>
        </w:rPr>
        <w:t>Abstract</w:t>
      </w:r>
    </w:p>
    <w:p w14:paraId="23DBCF63" w14:textId="0276F768" w:rsidR="007833FF" w:rsidRPr="008F53EF" w:rsidRDefault="009735AF">
      <w:pPr>
        <w:rPr>
          <w:b/>
          <w:bCs/>
        </w:rPr>
      </w:pPr>
      <w:r w:rsidRPr="008F53EF">
        <w:rPr>
          <w:b/>
          <w:bCs/>
        </w:rPr>
        <w:t xml:space="preserve">Purpose </w:t>
      </w:r>
      <w:r w:rsidR="000869FB" w:rsidRPr="001A0F79">
        <w:t>—</w:t>
      </w:r>
      <w:r w:rsidRPr="008F53EF">
        <w:rPr>
          <w:b/>
          <w:bCs/>
        </w:rPr>
        <w:t xml:space="preserve"> </w:t>
      </w:r>
      <w:r w:rsidR="002205DC" w:rsidRPr="002205DC">
        <w:t>Non-financial information assurance (NFIA) has grown across diverse domains over the past 35 years but remains fragmented. This paper asks how NFIA research has evolved and whether its disparate strands can be integrated into a more coherent field of study.</w:t>
      </w:r>
    </w:p>
    <w:p w14:paraId="3778A640" w14:textId="4C3C2FE5" w:rsidR="001057D6" w:rsidRDefault="00CD5CDF">
      <w:r w:rsidRPr="008F53EF">
        <w:rPr>
          <w:b/>
          <w:bCs/>
        </w:rPr>
        <w:t xml:space="preserve">Design/methodology/approach </w:t>
      </w:r>
      <w:r w:rsidR="000869FB" w:rsidRPr="001A0F79">
        <w:t>—</w:t>
      </w:r>
      <w:r w:rsidR="00583195">
        <w:t xml:space="preserve"> </w:t>
      </w:r>
      <w:r w:rsidR="000C292E" w:rsidRPr="000C292E">
        <w:t>Using a systematic literature review combined with content analysis, the study examines empirical NFIA research published in leading accounting journals between 1990 and 2024.</w:t>
      </w:r>
    </w:p>
    <w:p w14:paraId="36BC7174" w14:textId="3E66C9F3" w:rsidR="00F530D1" w:rsidRPr="00F530D1" w:rsidRDefault="00F530D1" w:rsidP="00F530D1">
      <w:pPr>
        <w:rPr>
          <w:b/>
          <w:bCs/>
        </w:rPr>
      </w:pPr>
      <w:r w:rsidRPr="00F530D1">
        <w:rPr>
          <w:b/>
          <w:bCs/>
        </w:rPr>
        <w:t xml:space="preserve">Findings </w:t>
      </w:r>
      <w:r w:rsidR="000869FB" w:rsidRPr="001A0F79">
        <w:t>—</w:t>
      </w:r>
      <w:r w:rsidRPr="00F530D1">
        <w:rPr>
          <w:b/>
          <w:bCs/>
        </w:rPr>
        <w:t xml:space="preserve"> </w:t>
      </w:r>
      <w:r w:rsidR="00E706AD" w:rsidRPr="00E706AD">
        <w:t>The review identifies five main subdomains of NFIA, each with distinct focuses but linked by recurring concerns such as the credibility of assurance providers, verifiability of information, and professional dynamics. Insights from one area are often relevant to others, offering opportunities to build shared theoretical ground.</w:t>
      </w:r>
    </w:p>
    <w:p w14:paraId="1A82A6E4" w14:textId="4A746A20" w:rsidR="002D29E8" w:rsidRPr="002D29E8" w:rsidRDefault="005F2A82" w:rsidP="002D29E8">
      <w:r w:rsidRPr="005F2A82">
        <w:rPr>
          <w:b/>
          <w:bCs/>
        </w:rPr>
        <w:t>Research limitations/implications</w:t>
      </w:r>
      <w:r>
        <w:rPr>
          <w:b/>
          <w:bCs/>
        </w:rPr>
        <w:t xml:space="preserve"> </w:t>
      </w:r>
      <w:r w:rsidR="000869FB" w:rsidRPr="001A0F79">
        <w:t>—</w:t>
      </w:r>
      <w:r w:rsidR="002D29E8">
        <w:t xml:space="preserve"> </w:t>
      </w:r>
      <w:r w:rsidR="00E706AD" w:rsidRPr="00E706AD">
        <w:t>The review is limited to empirical studies published in leading accounting journals, potentially overlooking relevant work in related disciplines. However, it offers a foundation for cross-domain theory building and highlights gaps for future NFIA research.</w:t>
      </w:r>
    </w:p>
    <w:p w14:paraId="2317FCC8" w14:textId="77777777" w:rsidR="00E706AD" w:rsidRDefault="00CD5CDF">
      <w:r w:rsidRPr="008F53EF">
        <w:rPr>
          <w:b/>
          <w:bCs/>
        </w:rPr>
        <w:t xml:space="preserve">Originality/value </w:t>
      </w:r>
      <w:r w:rsidR="000869FB" w:rsidRPr="001A0F79">
        <w:t>—</w:t>
      </w:r>
      <w:r w:rsidR="00150F46" w:rsidRPr="008F53EF">
        <w:rPr>
          <w:b/>
          <w:bCs/>
        </w:rPr>
        <w:t xml:space="preserve"> </w:t>
      </w:r>
      <w:r w:rsidR="00E706AD" w:rsidRPr="00E706AD">
        <w:t>By explicitly connecting previously fragmented strands of NFIA research, this review helps position the field as a more integrated area of inquiry. It encourages learning across subdomains and offers ideas that can inform both theory and practice.</w:t>
      </w:r>
    </w:p>
    <w:p w14:paraId="70D141B6" w14:textId="55D68E25" w:rsidR="008F53EF" w:rsidRPr="008F53EF" w:rsidRDefault="00CD5CDF">
      <w:pPr>
        <w:rPr>
          <w:b/>
          <w:bCs/>
        </w:rPr>
      </w:pPr>
      <w:r w:rsidRPr="008F53EF">
        <w:rPr>
          <w:b/>
          <w:bCs/>
        </w:rPr>
        <w:t>Keywords</w:t>
      </w:r>
      <w:r w:rsidR="00150F46" w:rsidRPr="008F53EF">
        <w:rPr>
          <w:rFonts w:hint="eastAsia"/>
          <w:b/>
          <w:bCs/>
        </w:rPr>
        <w:t xml:space="preserve"> </w:t>
      </w:r>
    </w:p>
    <w:p w14:paraId="1370F438" w14:textId="77777777" w:rsidR="000869FB" w:rsidRDefault="000869FB">
      <w:r w:rsidRPr="000869FB">
        <w:t>Systematic review, Literature review, Non-financial information assurance, NFIA, Sustainability assurance, Performance audit, Carbon assurance</w:t>
      </w:r>
    </w:p>
    <w:p w14:paraId="14745B60" w14:textId="0F4CA360" w:rsidR="001228E2" w:rsidRPr="008F53EF" w:rsidRDefault="00EA34C0">
      <w:r w:rsidRPr="008F53EF">
        <w:rPr>
          <w:b/>
          <w:bCs/>
        </w:rPr>
        <w:t>Paper type</w:t>
      </w:r>
      <w:r w:rsidR="00A31996" w:rsidRPr="008F53EF">
        <w:rPr>
          <w:b/>
          <w:bCs/>
        </w:rPr>
        <w:t xml:space="preserve"> </w:t>
      </w:r>
      <w:r w:rsidR="007B3BA0">
        <w:rPr>
          <w:rFonts w:hint="eastAsia"/>
        </w:rPr>
        <w:t>Literature Review</w:t>
      </w:r>
    </w:p>
    <w:p w14:paraId="2C9E940B" w14:textId="77777777" w:rsidR="007B3BA0" w:rsidRDefault="007B3BA0">
      <w:pPr>
        <w:rPr>
          <w:b/>
          <w:bCs/>
        </w:rPr>
      </w:pPr>
      <w:r>
        <w:rPr>
          <w:b/>
          <w:bCs/>
        </w:rPr>
        <w:br w:type="page"/>
      </w:r>
    </w:p>
    <w:p w14:paraId="5F41F78A" w14:textId="0A244603" w:rsidR="00A31996" w:rsidRPr="00C877A1" w:rsidRDefault="00A31996" w:rsidP="00AF6699">
      <w:pPr>
        <w:jc w:val="center"/>
        <w:rPr>
          <w:b/>
          <w:bCs/>
        </w:rPr>
      </w:pPr>
      <w:r w:rsidRPr="00C877A1">
        <w:rPr>
          <w:b/>
          <w:bCs/>
        </w:rPr>
        <w:lastRenderedPageBreak/>
        <w:t>Introduction</w:t>
      </w:r>
    </w:p>
    <w:p w14:paraId="69740213" w14:textId="40FA59B7" w:rsidR="00245E36" w:rsidRPr="00472F97" w:rsidRDefault="00D02A6B" w:rsidP="00AF6699">
      <w:pPr>
        <w:pStyle w:val="ListParagraph"/>
        <w:ind w:left="360" w:firstLine="491"/>
        <w:jc w:val="both"/>
      </w:pPr>
      <w:r w:rsidRPr="00D02A6B">
        <w:t>Assurance has moved far beyond financial statements. In an era of climate risk, social accountability, and governance failures, organisations increasingly seek independent assurance over non-financial disclosures</w:t>
      </w:r>
      <w:r>
        <w:t xml:space="preserve"> </w:t>
      </w:r>
      <w:r w:rsidRPr="00D02A6B">
        <w:t>—</w:t>
      </w:r>
      <w:r>
        <w:t xml:space="preserve"> </w:t>
      </w:r>
      <w:r w:rsidRPr="00D02A6B">
        <w:t>known broadly as non-financial information assurance (NFIA)</w:t>
      </w:r>
      <w:r>
        <w:t>. NFIA</w:t>
      </w:r>
      <w:r w:rsidR="00E60075" w:rsidRPr="00E60075">
        <w:t xml:space="preserve"> may include </w:t>
      </w:r>
      <w:r w:rsidR="00245E36" w:rsidRPr="002607A2">
        <w:t>General Purpose Non-Financial Reports</w:t>
      </w:r>
      <w:r w:rsidR="00245E36">
        <w:rPr>
          <w:rFonts w:hint="eastAsia"/>
        </w:rPr>
        <w:t xml:space="preserve"> </w:t>
      </w:r>
      <w:r w:rsidR="00245E36">
        <w:fldChar w:fldCharType="begin"/>
      </w:r>
      <w:r w:rsidR="009C1A2F">
        <w:instrText xml:space="preserve"> ADDIN EN.CITE &lt;EndNote&gt;&lt;Cite&gt;&lt;Author&gt;Simnett&lt;/Author&gt;&lt;Year&gt;2009&lt;/Year&gt;&lt;RecNum&gt;1259&lt;/RecNum&gt;&lt;DisplayText&gt;(Simnett, Vanstraelen and Chua, 2009)&lt;/DisplayText&gt;&lt;record&gt;&lt;rec-number&gt;1259&lt;/rec-number&gt;&lt;foreign-keys&gt;&lt;key app="EN" db-id="5tsetw9xmdwrwtetwx4vzv52zfavzzr20wsr" timestamp="1752897371"&gt;1259&lt;/key&gt;&lt;/foreign-keys&gt;&lt;ref-type name="Journal Article"&gt;17&lt;/ref-type&gt;&lt;contributors&gt;&lt;authors&gt;&lt;author&gt;Simnett, Roger&lt;/author&gt;&lt;author&gt;Vanstraelen, Ann&lt;/author&gt;&lt;author&gt;Chua, Wai Fong&lt;/author&gt;&lt;/authors&gt;&lt;/contributors&gt;&lt;titles&gt;&lt;title&gt;Assurance on general purpose non-financial reports: An international comparison&lt;/title&gt;&lt;secondary-title&gt;Accounting Review&lt;/secondary-title&gt;&lt;/titles&gt;&lt;periodical&gt;&lt;full-title&gt;Accounting Review&lt;/full-title&gt;&lt;/periodical&gt;&lt;pages&gt;937-967&lt;/pages&gt;&lt;volume&gt;84&lt;/volume&gt;&lt;number&gt;3&lt;/number&gt;&lt;dates&gt;&lt;year&gt;2009&lt;/year&gt;&lt;/dates&gt;&lt;urls&gt;&lt;/urls&gt;&lt;/record&gt;&lt;/Cite&gt;&lt;/EndNote&gt;</w:instrText>
      </w:r>
      <w:r w:rsidR="00245E36">
        <w:fldChar w:fldCharType="separate"/>
      </w:r>
      <w:r w:rsidR="009C1A2F">
        <w:rPr>
          <w:noProof/>
        </w:rPr>
        <w:t>(Simnett, Vanstraelen and Chua, 2009)</w:t>
      </w:r>
      <w:r w:rsidR="00245E36">
        <w:fldChar w:fldCharType="end"/>
      </w:r>
      <w:r w:rsidR="00245E36" w:rsidRPr="002607A2">
        <w:t>, Corporate Social Responsibility (CSR) reports</w:t>
      </w:r>
      <w:r w:rsidR="00245E36">
        <w:rPr>
          <w:rFonts w:hint="eastAsia"/>
        </w:rPr>
        <w:t xml:space="preserve"> </w:t>
      </w:r>
      <w:r w:rsidR="00245E36">
        <w:fldChar w:fldCharType="begin"/>
      </w:r>
      <w:r w:rsidR="009C1A2F">
        <w:instrText xml:space="preserve"> ADDIN EN.CITE &lt;EndNote&gt;&lt;Cite&gt;&lt;Author&gt;Quick&lt;/Author&gt;&lt;Year&gt;2020&lt;/Year&gt;&lt;RecNum&gt;1261&lt;/RecNum&gt;&lt;DisplayText&gt;(Quick and Inwinkl, 2020)&lt;/DisplayText&gt;&lt;record&gt;&lt;rec-number&gt;1261&lt;/rec-number&gt;&lt;foreign-keys&gt;&lt;key app="EN" db-id="5tsetw9xmdwrwtetwx4vzv52zfavzzr20wsr" timestamp="1752898077"&gt;1261&lt;/key&gt;&lt;/foreign-keys&gt;&lt;ref-type name="Journal Article"&gt;17&lt;/ref-type&gt;&lt;contributors&gt;&lt;authors&gt;&lt;author&gt;Quick, Reiner&lt;/author&gt;&lt;author&gt;Inwinkl, Petra&lt;/author&gt;&lt;/authors&gt;&lt;/contributors&gt;&lt;titles&gt;&lt;title&gt;Assurance on CSR reports: impact on the credibility perceptions of non-financial information by bank directors&lt;/title&gt;&lt;secondary-title&gt;Meditari Accountancy Research&lt;/secondary-title&gt;&lt;/titles&gt;&lt;periodical&gt;&lt;full-title&gt;Meditari Accountancy Research&lt;/full-title&gt;&lt;/periodical&gt;&lt;pages&gt;833-862&lt;/pages&gt;&lt;volume&gt;28&lt;/volume&gt;&lt;number&gt;5&lt;/number&gt;&lt;dates&gt;&lt;year&gt;2020&lt;/year&gt;&lt;/dates&gt;&lt;isbn&gt;2049-372X&lt;/isbn&gt;&lt;urls&gt;&lt;/urls&gt;&lt;/record&gt;&lt;/Cite&gt;&lt;/EndNote&gt;</w:instrText>
      </w:r>
      <w:r w:rsidR="00245E36">
        <w:fldChar w:fldCharType="separate"/>
      </w:r>
      <w:r w:rsidR="009C1A2F">
        <w:rPr>
          <w:noProof/>
        </w:rPr>
        <w:t>(Quick and Inwinkl, 2020)</w:t>
      </w:r>
      <w:r w:rsidR="00245E36">
        <w:fldChar w:fldCharType="end"/>
      </w:r>
      <w:r w:rsidR="00245E36" w:rsidRPr="002607A2">
        <w:t>, sustainability reporting assurance and integrated reporting assurance</w:t>
      </w:r>
      <w:r w:rsidR="00245E36">
        <w:rPr>
          <w:rFonts w:hint="eastAsia"/>
        </w:rPr>
        <w:t xml:space="preserve"> </w:t>
      </w:r>
      <w:r w:rsidR="00245E36">
        <w:fldChar w:fldCharType="begin"/>
      </w:r>
      <w:r w:rsidR="009C1A2F">
        <w:instrText xml:space="preserve"> ADDIN EN.CITE &lt;EndNote&gt;&lt;Cite&gt;&lt;Author&gt;Farooq&lt;/Author&gt;&lt;Year&gt;2023&lt;/Year&gt;&lt;RecNum&gt;1260&lt;/RecNum&gt;&lt;DisplayText&gt;(Farooq, Azantouti and Zaman, 2023)&lt;/DisplayText&gt;&lt;record&gt;&lt;rec-number&gt;1260&lt;/rec-number&gt;&lt;foreign-keys&gt;&lt;key app="EN" db-id="5tsetw9xmdwrwtetwx4vzv52zfavzzr20wsr" timestamp="1752897986"&gt;1260&lt;/key&gt;&lt;/foreign-keys&gt;&lt;ref-type name="Journal Article"&gt;17&lt;/ref-type&gt;&lt;contributors&gt;&lt;authors&gt;&lt;author&gt;Farooq, Muhammad Bilal&lt;/author&gt;&lt;author&gt;Azantouti, Asem Saad Ali&lt;/author&gt;&lt;author&gt;Zaman, Rashid&lt;/author&gt;&lt;/authors&gt;&lt;/contributors&gt;&lt;titles&gt;&lt;title&gt;Non-financial information assurance: a review of the literature and directions for future research&lt;/title&gt;&lt;secondary-title&gt;Sustainability accounting, management and policy journal&lt;/secondary-title&gt;&lt;/titles&gt;&lt;periodical&gt;&lt;full-title&gt;Sustainability Accounting, Management and Policy Journal&lt;/full-title&gt;&lt;/periodical&gt;&lt;pages&gt;48-84&lt;/pages&gt;&lt;volume&gt;15&lt;/volume&gt;&lt;number&gt;1&lt;/number&gt;&lt;dates&gt;&lt;year&gt;2023&lt;/year&gt;&lt;/dates&gt;&lt;isbn&gt;2040-8021&lt;/isbn&gt;&lt;urls&gt;&lt;/urls&gt;&lt;/record&gt;&lt;/Cite&gt;&lt;/EndNote&gt;</w:instrText>
      </w:r>
      <w:r w:rsidR="00245E36">
        <w:fldChar w:fldCharType="separate"/>
      </w:r>
      <w:r w:rsidR="009C1A2F">
        <w:rPr>
          <w:noProof/>
        </w:rPr>
        <w:t>(Farooq, Azantouti and Zaman, 2023)</w:t>
      </w:r>
      <w:r w:rsidR="00245E36">
        <w:fldChar w:fldCharType="end"/>
      </w:r>
      <w:r w:rsidR="00245E36" w:rsidRPr="002607A2">
        <w:t xml:space="preserve">, and </w:t>
      </w:r>
      <w:r w:rsidR="00A453BE">
        <w:rPr>
          <w:rFonts w:hint="eastAsia"/>
        </w:rPr>
        <w:t>e</w:t>
      </w:r>
      <w:r w:rsidR="00245E36" w:rsidRPr="002607A2">
        <w:t xml:space="preserve">xtended </w:t>
      </w:r>
      <w:r w:rsidR="00A453BE">
        <w:rPr>
          <w:rFonts w:hint="eastAsia"/>
        </w:rPr>
        <w:t>e</w:t>
      </w:r>
      <w:r w:rsidR="00245E36" w:rsidRPr="002607A2">
        <w:t xml:space="preserve">xternal </w:t>
      </w:r>
      <w:r w:rsidR="00A453BE">
        <w:rPr>
          <w:rFonts w:hint="eastAsia"/>
        </w:rPr>
        <w:t>r</w:t>
      </w:r>
      <w:r w:rsidR="00245E36" w:rsidRPr="002607A2">
        <w:t>eporting assurance</w:t>
      </w:r>
      <w:r w:rsidR="00245E36">
        <w:rPr>
          <w:rFonts w:hint="eastAsia"/>
        </w:rPr>
        <w:t xml:space="preserve"> </w:t>
      </w:r>
      <w:r w:rsidR="00245E36">
        <w:fldChar w:fldCharType="begin"/>
      </w:r>
      <w:r w:rsidR="009C1A2F">
        <w:instrText xml:space="preserve"> ADDIN EN.CITE &lt;EndNote&gt;&lt;Cite&gt;&lt;Author&gt;Krasodomska&lt;/Author&gt;&lt;Year&gt;2021&lt;/Year&gt;&lt;RecNum&gt;1262&lt;/RecNum&gt;&lt;DisplayText&gt;(Krasodomska, Simnett and Street, 2021)&lt;/DisplayText&gt;&lt;record&gt;&lt;rec-number&gt;1262&lt;/rec-number&gt;&lt;foreign-keys&gt;&lt;key app="EN" db-id="5tsetw9xmdwrwtetwx4vzv52zfavzzr20wsr" timestamp="1752898171"&gt;1262&lt;/key&gt;&lt;/foreign-keys&gt;&lt;ref-type name="Journal Article"&gt;17&lt;/ref-type&gt;&lt;contributors&gt;&lt;authors&gt;&lt;author&gt;Krasodomska, Joanna&lt;/author&gt;&lt;author&gt;Simnett, Roger&lt;/author&gt;&lt;author&gt;Street, Donna L&lt;/author&gt;&lt;/authors&gt;&lt;/contributors&gt;&lt;titles&gt;&lt;title&gt;Extended external reporting assurance: Current practices and challenges&lt;/title&gt;&lt;secondary-title&gt;Journal of International Financial Management &amp;amp; Accounting&lt;/secondary-title&gt;&lt;/titles&gt;&lt;periodical&gt;&lt;full-title&gt;Journal of international financial management &amp;amp; accounting&lt;/full-title&gt;&lt;/periodical&gt;&lt;pages&gt;104-142&lt;/pages&gt;&lt;volume&gt;32&lt;/volume&gt;&lt;number&gt;1&lt;/number&gt;&lt;dates&gt;&lt;year&gt;2021&lt;/year&gt;&lt;/dates&gt;&lt;isbn&gt;0954-1314&lt;/isbn&gt;&lt;urls&gt;&lt;/urls&gt;&lt;/record&gt;&lt;/Cite&gt;&lt;/EndNote&gt;</w:instrText>
      </w:r>
      <w:r w:rsidR="00245E36">
        <w:fldChar w:fldCharType="separate"/>
      </w:r>
      <w:r w:rsidR="009C1A2F">
        <w:rPr>
          <w:noProof/>
        </w:rPr>
        <w:t>(Krasodomska, Simnett and Street, 2021)</w:t>
      </w:r>
      <w:r w:rsidR="00245E36">
        <w:fldChar w:fldCharType="end"/>
      </w:r>
      <w:r w:rsidR="00245E36" w:rsidRPr="002607A2">
        <w:t xml:space="preserve">, among others. Much like the term </w:t>
      </w:r>
      <w:r w:rsidR="00245E36" w:rsidRPr="000F1085">
        <w:t xml:space="preserve">assurance </w:t>
      </w:r>
      <w:r w:rsidR="00245E36" w:rsidRPr="002607A2">
        <w:t>itself, which lacks a universally accepted definition, the terminology of NFIA is inconsistently defined but widely used across both academic literature and accounting practice</w:t>
      </w:r>
      <w:r w:rsidR="00245E36">
        <w:rPr>
          <w:rFonts w:hint="eastAsia"/>
        </w:rPr>
        <w:t xml:space="preserve"> </w:t>
      </w:r>
      <w:r w:rsidR="00245E36">
        <w:fldChar w:fldCharType="begin"/>
      </w:r>
      <w:r w:rsidR="009C1A2F">
        <w:instrText xml:space="preserve"> ADDIN EN.CITE &lt;EndNote&gt;&lt;Cite&gt;&lt;Author&gt;Sonnerfeldt&lt;/Author&gt;&lt;Year&gt;2020&lt;/Year&gt;&lt;RecNum&gt;1263&lt;/RecNum&gt;&lt;DisplayText&gt;(Sonnerfeldt and Pontoppidan, 2020)&lt;/DisplayText&gt;&lt;record&gt;&lt;rec-number&gt;1263&lt;/rec-number&gt;&lt;foreign-keys&gt;&lt;key app="EN" db-id="5tsetw9xmdwrwtetwx4vzv52zfavzzr20wsr" timestamp="1752898245"&gt;1263&lt;/key&gt;&lt;/foreign-keys&gt;&lt;ref-type name="Journal Article"&gt;17&lt;/ref-type&gt;&lt;contributors&gt;&lt;authors&gt;&lt;author&gt;Sonnerfeldt, Amanda Ling Li&lt;/author&gt;&lt;author&gt;Pontoppidan, Caroline Aggestam&lt;/author&gt;&lt;/authors&gt;&lt;/contributors&gt;&lt;titles&gt;&lt;title&gt;The challenges of assurance on non-financial reporting&lt;/title&gt;&lt;secondary-title&gt;Accounting, Economics, and Law: A Convivium&lt;/secondary-title&gt;&lt;/titles&gt;&lt;periodical&gt;&lt;full-title&gt;Accounting, Economics, and Law: A Convivium&lt;/full-title&gt;&lt;/periodical&gt;&lt;volume&gt;10&lt;/volume&gt;&lt;number&gt;2&lt;/number&gt;&lt;dates&gt;&lt;year&gt;2020&lt;/year&gt;&lt;/dates&gt;&lt;isbn&gt;2152-2820&lt;/isbn&gt;&lt;urls&gt;&lt;/urls&gt;&lt;/record&gt;&lt;/Cite&gt;&lt;/EndNote&gt;</w:instrText>
      </w:r>
      <w:r w:rsidR="00245E36">
        <w:fldChar w:fldCharType="separate"/>
      </w:r>
      <w:r w:rsidR="009C1A2F">
        <w:rPr>
          <w:noProof/>
        </w:rPr>
        <w:t>(Sonnerfeldt and Pontoppidan, 2020)</w:t>
      </w:r>
      <w:r w:rsidR="00245E36">
        <w:fldChar w:fldCharType="end"/>
      </w:r>
      <w:r w:rsidR="00245E36" w:rsidRPr="002607A2">
        <w:t>.</w:t>
      </w:r>
      <w:r w:rsidR="00245E36">
        <w:t xml:space="preserve"> </w:t>
      </w:r>
      <w:r w:rsidR="00245E36" w:rsidRPr="00063B72">
        <w:t xml:space="preserve">While sustainability and CSR reporting are common subsets of NFIA, the literature covers a broader spectrum. For example, </w:t>
      </w:r>
      <w:r w:rsidR="00245E36">
        <w:fldChar w:fldCharType="begin"/>
      </w:r>
      <w:r w:rsidR="00066BB2">
        <w:instrText xml:space="preserve"> ADDIN EN.CITE &lt;EndNote&gt;&lt;Cite AuthorYear="1"&gt;&lt;Author&gt;Ferguson&lt;/Author&gt;&lt;Year&gt;2015&lt;/Year&gt;&lt;RecNum&gt;1264&lt;/RecNum&gt;&lt;DisplayText&gt;Ferguson and Pündrich (2015)&lt;/DisplayText&gt;&lt;record&gt;&lt;rec-number&gt;1264&lt;/rec-number&gt;&lt;foreign-keys&gt;&lt;key app="EN" db-id="5tsetw9xmdwrwtetwx4vzv52zfavzzr20wsr" timestamp="1752898566"&gt;1264&lt;/key&gt;&lt;/foreign-keys&gt;&lt;ref-type name="Journal Article"&gt;17&lt;/ref-type&gt;&lt;contributors&gt;&lt;authors&gt;&lt;author&gt;Ferguson, Andrew&lt;/author&gt;&lt;author&gt;Pündrich, Gabriel&lt;/author&gt;&lt;/authors&gt;&lt;/contributors&gt;&lt;titles&gt;&lt;title&gt;Does industry specialist assurance of non-financial information matter to investors?&lt;/title&gt;&lt;secondary-title&gt;Auditing: A Journal of Practice &amp;amp; Theory&lt;/secondary-title&gt;&lt;/titles&gt;&lt;periodical&gt;&lt;full-title&gt;Auditing: A Journal of Practice &amp;amp; Theory&lt;/full-title&gt;&lt;/periodical&gt;&lt;pages&gt;121-146&lt;/pages&gt;&lt;volume&gt;34&lt;/volume&gt;&lt;number&gt;2&lt;/number&gt;&lt;dates&gt;&lt;year&gt;2015&lt;/year&gt;&lt;/dates&gt;&lt;isbn&gt;1558-7991&lt;/isbn&gt;&lt;urls&gt;&lt;/urls&gt;&lt;/record&gt;&lt;/Cite&gt;&lt;/EndNote&gt;</w:instrText>
      </w:r>
      <w:r w:rsidR="00245E36">
        <w:fldChar w:fldCharType="separate"/>
      </w:r>
      <w:r w:rsidR="00066BB2">
        <w:rPr>
          <w:noProof/>
        </w:rPr>
        <w:t>Ferguson and Pündrich (2015)</w:t>
      </w:r>
      <w:r w:rsidR="00245E36">
        <w:fldChar w:fldCharType="end"/>
      </w:r>
      <w:r w:rsidR="00245E36">
        <w:rPr>
          <w:rFonts w:hint="eastAsia"/>
        </w:rPr>
        <w:t xml:space="preserve"> </w:t>
      </w:r>
      <w:r w:rsidR="00245E36" w:rsidRPr="00063B72">
        <w:t>examined NFIA conducted not by traditional auditors but by Competent Persons</w:t>
      </w:r>
      <w:r w:rsidR="00245E36">
        <w:t xml:space="preserve"> </w:t>
      </w:r>
      <w:r w:rsidR="00245E36" w:rsidRPr="00063B72">
        <w:t>—</w:t>
      </w:r>
      <w:r w:rsidR="00245E36">
        <w:t xml:space="preserve"> </w:t>
      </w:r>
      <w:r w:rsidR="00245E36" w:rsidRPr="00063B72">
        <w:t>professionals in the minerals industry who are members or fellows of recognised geological organisations</w:t>
      </w:r>
      <w:r w:rsidR="00245E36">
        <w:t xml:space="preserve"> </w:t>
      </w:r>
      <w:r w:rsidR="00245E36" w:rsidRPr="00063B72">
        <w:t>—</w:t>
      </w:r>
      <w:r w:rsidR="00245E36">
        <w:t xml:space="preserve"> </w:t>
      </w:r>
      <w:r w:rsidR="00245E36" w:rsidRPr="00063B72">
        <w:t xml:space="preserve">who perform audit-like functions to verify critical information about mineral resource reserves. It has long been recognised that NFIA is delivered by a wide range of providers from different professional backgrounds, and that this multi-disciplinary nature has significant implications for assurance quality, practice, and broader social effects </w:t>
      </w:r>
      <w:r w:rsidR="00245E36">
        <w:fldChar w:fldCharType="begin">
          <w:fldData xml:space="preserve">PEVuZE5vdGU+PENpdGU+PEF1dGhvcj5IdW1waHJleXM8L0F1dGhvcj48WWVhcj4yMDIyPC9ZZWFy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</w:fldData>
        </w:fldChar>
      </w:r>
      <w:r w:rsidR="009C1A2F">
        <w:instrText xml:space="preserve"> ADDIN EN.CITE </w:instrText>
      </w:r>
      <w:r w:rsidR="009C1A2F">
        <w:fldChar w:fldCharType="begin">
          <w:fldData xml:space="preserve">PEVuZE5vdGU+PENpdGU+PEF1dGhvcj5IdW1waHJleXM8L0F1dGhvcj48WWVhcj4yMDIyPC9ZZWFy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</w:fldData>
        </w:fldChar>
      </w:r>
      <w:r w:rsidR="009C1A2F">
        <w:instrText xml:space="preserve"> ADDIN EN.CITE.DATA </w:instrText>
      </w:r>
      <w:r w:rsidR="009C1A2F">
        <w:fldChar w:fldCharType="end"/>
      </w:r>
      <w:r w:rsidR="00245E36">
        <w:fldChar w:fldCharType="separate"/>
      </w:r>
      <w:r w:rsidR="009C1A2F">
        <w:rPr>
          <w:noProof/>
        </w:rPr>
        <w:t>(Humphreys and Trotman, 2022; Muhammad Bilal and de Villiers, 2020; O'Dwyer, 2011; Power, 1997b; Xu and Andrew, 2021)</w:t>
      </w:r>
      <w:r w:rsidR="00245E36">
        <w:fldChar w:fldCharType="end"/>
      </w:r>
      <w:r w:rsidR="00245E36">
        <w:rPr>
          <w:rFonts w:hint="eastAsia"/>
        </w:rPr>
        <w:t xml:space="preserve"> </w:t>
      </w:r>
      <w:r w:rsidR="00A51C67" w:rsidRPr="00A51C67">
        <w:t>Unlike the established field of financial audit, where accountants typically audit financial information, NFIA is more complex, even when considering only the subject matter and the background of the provider.</w:t>
      </w:r>
    </w:p>
    <w:p w14:paraId="7D3D7034" w14:textId="580825EE" w:rsidR="0042577C" w:rsidRDefault="00C3058C" w:rsidP="00AF6699">
      <w:pPr>
        <w:pStyle w:val="ListParagraph"/>
        <w:ind w:left="360" w:firstLine="491"/>
        <w:jc w:val="both"/>
      </w:pPr>
      <w:r w:rsidRPr="005F3007">
        <w:t xml:space="preserve">Several prior literature reviews have examined key subsets of NFIA, including sustainability reporting assurance (SRA), integrated reporting assurance (IRA), CSR assurance, and the assurance of climate-related disclosures. For example, </w:t>
      </w:r>
      <w:r>
        <w:fldChar w:fldCharType="begin"/>
      </w:r>
      <w:r w:rsidR="00B9430A">
        <w:instrText xml:space="preserve"> ADDIN EN.CITE &lt;EndNote&gt;&lt;Cite AuthorYear="1"&gt;&lt;Author&gt;Farooq&lt;/Author&gt;&lt;Year&gt;2023&lt;/Year&gt;&lt;RecNum&gt;1260&lt;/RecNum&gt;&lt;DisplayText&gt;Farooq&lt;style face="italic"&gt; et al.&lt;/style&gt; (2023)&lt;/DisplayText&gt;&lt;record&gt;&lt;rec-number&gt;1260&lt;/rec-number&gt;&lt;foreign-keys&gt;&lt;key app="EN" db-id="5tsetw9xmdwrwtetwx4vzv52zfavzzr20wsr" timestamp="1752897986"&gt;1260&lt;/key&gt;&lt;/foreign-keys&gt;&lt;ref-type name="Journal Article"&gt;17&lt;/ref-type&gt;&lt;contributors&gt;&lt;authors&gt;&lt;author&gt;Farooq, Muhammad Bilal&lt;/author&gt;&lt;author&gt;Azantouti, Asem Saad Ali&lt;/author&gt;&lt;author&gt;Zaman, Rashid&lt;/author&gt;&lt;/authors&gt;&lt;/contributors&gt;&lt;titles&gt;&lt;title&gt;Non-financial information assurance: a review of the literature and directions for future research&lt;/title&gt;&lt;secondary-title&gt;Sustainability accounting, management and policy journal&lt;/secondary-title&gt;&lt;/titles&gt;&lt;periodical&gt;&lt;full-title&gt;Sustainability Accounting, Management and Policy Journal&lt;/full-title&gt;&lt;/periodical&gt;&lt;pages&gt;48-84&lt;/pages&gt;&lt;volume&gt;15&lt;/volume&gt;&lt;number&gt;1&lt;/number&gt;&lt;dates&gt;&lt;year&gt;2023&lt;/year&gt;&lt;/dates&gt;&lt;isbn&gt;2040-8021&lt;/isbn&gt;&lt;urls&gt;&lt;/urls&gt;&lt;/record&gt;&lt;/Cite&gt;&lt;/EndNote&gt;</w:instrText>
      </w:r>
      <w:r>
        <w:fldChar w:fldCharType="separate"/>
      </w:r>
      <w:r w:rsidR="00B9430A">
        <w:rPr>
          <w:noProof/>
        </w:rPr>
        <w:t>Farooq</w:t>
      </w:r>
      <w:r w:rsidR="00B9430A" w:rsidRPr="00B9430A">
        <w:rPr>
          <w:i/>
          <w:noProof/>
        </w:rPr>
        <w:t xml:space="preserve"> et al.</w:t>
      </w:r>
      <w:r w:rsidR="00B9430A">
        <w:rPr>
          <w:noProof/>
        </w:rPr>
        <w:t xml:space="preserve"> (2023)</w:t>
      </w:r>
      <w:r>
        <w:fldChar w:fldCharType="end"/>
      </w:r>
      <w:r>
        <w:rPr>
          <w:rFonts w:hint="eastAsia"/>
        </w:rPr>
        <w:t xml:space="preserve"> </w:t>
      </w:r>
      <w:r w:rsidRPr="005F3007">
        <w:t xml:space="preserve">and </w:t>
      </w:r>
      <w:r>
        <w:fldChar w:fldCharType="begin">
          <w:fldData xml:space="preserve">PEVuZE5vdGU+PENpdGUgQXV0aG9yWWVhcj0iMSI+PEF1dGhvcj5GcmVlPC9BdXRob3I+PFllYXI+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</w:fldData>
        </w:fldChar>
      </w:r>
      <w:r w:rsidR="00066BB2">
        <w:instrText xml:space="preserve"> ADDIN EN.CITE </w:instrText>
      </w:r>
      <w:r w:rsidR="00066BB2">
        <w:fldChar w:fldCharType="begin">
          <w:fldData xml:space="preserve">PEVuZE5vdGU+PENpdGUgQXV0aG9yWWVhcj0iMSI+PEF1dGhvcj5GcmVlPC9BdXRob3I+PFllYXI+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</w:fldData>
        </w:fldChar>
      </w:r>
      <w:r w:rsidR="00066BB2">
        <w:instrText xml:space="preserve"> ADDIN EN.CITE.DATA </w:instrText>
      </w:r>
      <w:r w:rsidR="00066BB2">
        <w:fldChar w:fldCharType="end"/>
      </w:r>
      <w:r>
        <w:fldChar w:fldCharType="separate"/>
      </w:r>
      <w:r w:rsidR="00066BB2">
        <w:rPr>
          <w:noProof/>
        </w:rPr>
        <w:t>Free, Jones and Tremblay (2024)</w:t>
      </w:r>
      <w:r>
        <w:fldChar w:fldCharType="end"/>
      </w:r>
      <w:r>
        <w:rPr>
          <w:rFonts w:hint="eastAsia"/>
        </w:rPr>
        <w:t xml:space="preserve"> </w:t>
      </w:r>
      <w:r w:rsidRPr="005F3007">
        <w:t xml:space="preserve">explicitly focus their reviews on the domain of NFIA. </w:t>
      </w:r>
      <w:r>
        <w:fldChar w:fldCharType="begin"/>
      </w:r>
      <w:r w:rsidR="00B9430A">
        <w:instrText xml:space="preserve"> ADDIN EN.CITE &lt;EndNote&gt;&lt;Cite AuthorYear="1"&gt;&lt;Author&gt;Farooq&lt;/Author&gt;&lt;Year&gt;2023&lt;/Year&gt;&lt;RecNum&gt;1260&lt;/RecNum&gt;&lt;DisplayText&gt;Farooq&lt;style face="italic"&gt; et al.&lt;/style&gt; (2023)&lt;/DisplayText&gt;&lt;record&gt;&lt;rec-number&gt;1260&lt;/rec-number&gt;&lt;foreign-keys&gt;&lt;key app="EN" db-id="5tsetw9xmdwrwtetwx4vzv52zfavzzr20wsr" timestamp="1752897986"&gt;1260&lt;/key&gt;&lt;/foreign-keys&gt;&lt;ref-type name="Journal Article"&gt;17&lt;/ref-type&gt;&lt;contributors&gt;&lt;authors&gt;&lt;author&gt;Farooq, Muhammad Bilal&lt;/author&gt;&lt;author&gt;Azantouti, Asem Saad Ali&lt;/author&gt;&lt;author&gt;Zaman, Rashid&lt;/author&gt;&lt;/authors&gt;&lt;/contributors&gt;&lt;titles&gt;&lt;title&gt;Non-financial information assurance: a review of the literature and directions for future research&lt;/title&gt;&lt;secondary-title&gt;Sustainability accounting, management and policy journal&lt;/secondary-title&gt;&lt;/titles&gt;&lt;periodical&gt;&lt;full-title&gt;Sustainability Accounting, Management and Policy Journal&lt;/full-title&gt;&lt;/periodical&gt;&lt;pages&gt;48-84&lt;/pages&gt;&lt;volume&gt;15&lt;/volume&gt;&lt;number&gt;1&lt;/number&gt;&lt;dates&gt;&lt;year&gt;2023&lt;/year&gt;&lt;/dates&gt;&lt;isbn&gt;2040-8021&lt;/isbn&gt;&lt;urls&gt;&lt;/urls&gt;&lt;/record&gt;&lt;/Cite&gt;&lt;/EndNote&gt;</w:instrText>
      </w:r>
      <w:r>
        <w:fldChar w:fldCharType="separate"/>
      </w:r>
      <w:r w:rsidR="00B9430A">
        <w:rPr>
          <w:noProof/>
        </w:rPr>
        <w:t>Farooq</w:t>
      </w:r>
      <w:r w:rsidR="00B9430A" w:rsidRPr="00B9430A">
        <w:rPr>
          <w:i/>
          <w:noProof/>
        </w:rPr>
        <w:t xml:space="preserve"> et al.</w:t>
      </w:r>
      <w:r w:rsidR="00B9430A">
        <w:rPr>
          <w:noProof/>
        </w:rPr>
        <w:t xml:space="preserve"> (2023)</w:t>
      </w:r>
      <w:r>
        <w:fldChar w:fldCharType="end"/>
      </w:r>
      <w:r>
        <w:rPr>
          <w:rFonts w:hint="eastAsia"/>
        </w:rPr>
        <w:t xml:space="preserve"> </w:t>
      </w:r>
      <w:r w:rsidR="00980E05" w:rsidRPr="00980E05">
        <w:t>conduct a structured review of SRA and IRA, framing their analysis around five assurance elements: tripartite arrangement, subject matter, criteria, evidence, and the assurance report. They find that Big Four firms dominate NFIA and that external assurance boosts perceived credibility. Yet challenges persist, including limited suitable criteria for integrated reports and the dominance of limited over reasonable assurance</w:t>
      </w:r>
      <w:r w:rsidRPr="005F3007">
        <w:t>.</w:t>
      </w:r>
      <w:r>
        <w:t xml:space="preserve"> </w:t>
      </w:r>
      <w:r w:rsidRPr="00372A60">
        <w:t xml:space="preserve">Similarly, </w:t>
      </w:r>
      <w:r>
        <w:fldChar w:fldCharType="begin">
          <w:fldData xml:space="preserve">PEVuZE5vdGU+PENpdGUgQXV0aG9yWWVhcj0iMSI+PEF1dGhvcj5GcmVlPC9BdXRob3I+PFllYXI+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</w:fldData>
        </w:fldChar>
      </w:r>
      <w:r w:rsidR="00B9430A">
        <w:instrText xml:space="preserve"> ADDIN EN.CITE </w:instrText>
      </w:r>
      <w:r w:rsidR="00B9430A">
        <w:fldChar w:fldCharType="begin">
          <w:fldData xml:space="preserve">PEVuZE5vdGU+PENpdGUgQXV0aG9yWWVhcj0iMSI+PEF1dGhvcj5GcmVlPC9BdXRob3I+PFllYXI+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</w:fldData>
        </w:fldChar>
      </w:r>
      <w:r w:rsidR="00B9430A">
        <w:instrText xml:space="preserve"> ADDIN EN.CITE.DATA </w:instrText>
      </w:r>
      <w:r w:rsidR="00B9430A">
        <w:fldChar w:fldCharType="end"/>
      </w:r>
      <w:r>
        <w:fldChar w:fldCharType="separate"/>
      </w:r>
      <w:r w:rsidR="00B9430A">
        <w:rPr>
          <w:noProof/>
        </w:rPr>
        <w:t>Free</w:t>
      </w:r>
      <w:r w:rsidR="00B9430A" w:rsidRPr="00B9430A">
        <w:rPr>
          <w:i/>
          <w:noProof/>
        </w:rPr>
        <w:t xml:space="preserve"> et al.</w:t>
      </w:r>
      <w:r w:rsidR="00B9430A">
        <w:rPr>
          <w:noProof/>
        </w:rPr>
        <w:t xml:space="preserve"> (2024)</w:t>
      </w:r>
      <w:r>
        <w:fldChar w:fldCharType="end"/>
      </w:r>
      <w:r>
        <w:rPr>
          <w:rFonts w:hint="eastAsia"/>
        </w:rPr>
        <w:t xml:space="preserve"> </w:t>
      </w:r>
      <w:proofErr w:type="spellStart"/>
      <w:r w:rsidRPr="00372A60">
        <w:t>s</w:t>
      </w:r>
      <w:r w:rsidR="0042577C" w:rsidRPr="0042577C">
        <w:t>review</w:t>
      </w:r>
      <w:proofErr w:type="spellEnd"/>
      <w:r w:rsidR="0042577C" w:rsidRPr="0042577C">
        <w:t xml:space="preserve"> greenwashing and sustainability assurance, noting rising concern in both academia and the public. They find that firms pursue NFIA to enhance credibility, especially in environmentally sensitive sectors, but auditors struggle to adapt financial audit methods to qualitative sustainability data. This creates ambiguity around audit roles and contributes to assurance quality variation, often shaped by client negotiations. Capital markets, however, appear to value high-quality NFIA as a signal that mitigates greenwashing risk and its potential reputational and financial costs.</w:t>
      </w:r>
    </w:p>
    <w:p w14:paraId="17E313A6" w14:textId="5BD8B8E7" w:rsidR="00C3058C" w:rsidRDefault="00C3058C" w:rsidP="00AF6699">
      <w:pPr>
        <w:pStyle w:val="ListParagraph"/>
        <w:ind w:left="360" w:firstLine="491"/>
        <w:jc w:val="both"/>
      </w:pPr>
      <w:r w:rsidRPr="005F3007">
        <w:t>Other literature reviews, while not exclusively focused on NFIA, still recognise its critical role within broader reporting and governance contexts. For instance,</w:t>
      </w:r>
      <w:r>
        <w:rPr>
          <w:rFonts w:hint="eastAsia"/>
        </w:rPr>
        <w:t xml:space="preserve"> </w:t>
      </w:r>
      <w:r>
        <w:fldChar w:fldCharType="begin"/>
      </w:r>
      <w:r w:rsidR="00066BB2">
        <w:instrText xml:space="preserve"> ADDIN EN.CITE &lt;EndNote&gt;&lt;Cite AuthorYear="1"&gt;&lt;Author&gt;Humphreys&lt;/Author&gt;&lt;Year&gt;2022&lt;/Year&gt;&lt;RecNum&gt;1074&lt;/RecNum&gt;&lt;DisplayText&gt;Humphreys and Trotman (2022)&lt;/DisplayText&gt;&lt;record&gt;&lt;rec-number&gt;1074&lt;/rec-number&gt;&lt;foreign-keys&gt;&lt;key app="EN" db-id="5tsetw9xmdwrwtetwx4vzv52zfavzzr20wsr" timestamp="1741432934"&gt;1074&lt;/key&gt;&lt;/foreign-keys&gt;&lt;ref-type name="Journal Article"&gt;17&lt;/ref-type&gt;&lt;contributors&gt;&lt;authors&gt;&lt;author&gt;Humphreys, Kerry A.&lt;/author&gt;&lt;author&gt;Trotman, Ken T.&lt;/author&gt;&lt;/authors&gt;&lt;/contributors&gt;&lt;titles&gt;&lt;title&gt;Judgment an</w:instrText>
      </w:r>
      <w:r w:rsidR="00066BB2">
        <w:rPr>
          <w:rFonts w:hint="eastAsia"/>
        </w:rPr>
        <w:instrText>d decision making research on CSR reporting in the COVID‐19 pandemic environment&lt;/title&gt;&lt;secondary-title&gt;Accounting &amp;amp; Finance&lt;/secondary-title&gt;&lt;/titles&gt;&lt;periodical&gt;&lt;full-title&gt;Accounting &amp;amp; Finance&lt;/full-title&gt;&lt;/periodical&gt;&lt;pages&gt;739-765&lt;/pages&gt;&lt;vo</w:instrText>
      </w:r>
      <w:r w:rsidR="00066BB2">
        <w:instrText>lume&gt;62&lt;/volume&gt;&lt;number&gt;1&lt;/number&gt;&lt;keywords&gt;&lt;keyword&gt;COVID-19 pandemic&lt;/keyword&gt;&lt;keyword&gt;Social responsibility of business&lt;/keyword&gt;&lt;keyword&gt;Decision making&lt;/keyword&gt;&lt;keyword&gt;Social change&lt;/keyword&gt;&lt;keyword&gt;Tax preparation&lt;/keyword&gt;&lt;keyword&gt;Legal judgment</w:instrText>
      </w:r>
      <w:r w:rsidR="00066BB2">
        <w:rPr>
          <w:rFonts w:hint="eastAsia"/>
        </w:rPr>
        <w:instrText>s&lt;/keyword&gt;&lt;keyword&gt;COVID‐19 pandemic&lt;/keyword&gt;&lt;keyword&gt;CSR reporting&lt;/keyword&gt;&lt;keyword&gt;JDM accounting research&lt;/keyword&gt;&lt;keyword&gt;Sustainability assurance&lt;/keyword&gt;&lt;/keywords&gt;&lt;dates&gt;&lt;year&gt;2022&lt;/year&gt;&lt;/dates&gt;&lt;publisher&gt;Wiley-Blackwell&lt;/publisher&gt;&lt;isbn&gt;0810</w:instrText>
      </w:r>
      <w:r w:rsidR="00066BB2">
        <w:instrText>5391&lt;/isbn&gt;&lt;accession-num&gt;155518239&lt;/accession-num&gt;&lt;work-type&gt;Article&lt;/work-type&gt;&lt;urls&gt;&lt;related-urls&gt;&lt;url&gt;http://ezproxy.newcastle.edu.au/login?url=https://search.ebscohost.com/login.aspx?direct=true&amp;amp;db=bsu&amp;amp;AN=155518239&amp;amp;site=ehost-live&lt;/url&gt;&lt;/related-urls&gt;&lt;/urls&gt;&lt;electronic-resource-num&gt;10.1111/acfi.12805&lt;/electronic-resource-num&gt;&lt;remote-database-name&gt;bsu&lt;/remote-database-name&gt;&lt;remote-database-provider&gt;EBSCOhost&lt;/remote-database-provider&gt;&lt;/record&gt;&lt;/Cite&gt;&lt;/EndNote&gt;</w:instrText>
      </w:r>
      <w:r>
        <w:fldChar w:fldCharType="separate"/>
      </w:r>
      <w:r w:rsidR="00066BB2">
        <w:rPr>
          <w:noProof/>
        </w:rPr>
        <w:t xml:space="preserve">Humphreys </w:t>
      </w:r>
      <w:r w:rsidR="00066BB2">
        <w:rPr>
          <w:noProof/>
        </w:rPr>
        <w:lastRenderedPageBreak/>
        <w:t>and Trotman (2022)</w:t>
      </w:r>
      <w:r>
        <w:fldChar w:fldCharType="end"/>
      </w:r>
      <w:r w:rsidRPr="005F3007">
        <w:t xml:space="preserve"> examine judgment and decision-making (JDM) research related to CSR reporting during the COVID-19 pandemic. They address how the pandemic influenced managerial decisions regarding CSR disclosures, increased the demand for assurance, and affected how assured CSR information shapes investor judgment. Notably, they reference findings by </w:t>
      </w:r>
      <w:r>
        <w:fldChar w:fldCharType="begin"/>
      </w:r>
      <w:r w:rsidR="00066BB2">
        <w:instrText xml:space="preserve"> ADDIN EN.CITE &lt;EndNote&gt;&lt;Cite AuthorYear="1"&gt;&lt;Author&gt;Hoang&lt;/Author&gt;&lt;Year&gt;2021&lt;/Year&gt;&lt;RecNum&gt;1265&lt;/RecNum&gt;&lt;DisplayText&gt;Hoang and Trotman (2021)&lt;/DisplayText&gt;&lt;record&gt;&lt;rec-number&gt;1265&lt;/rec-number&gt;&lt;foreign-keys&gt;&lt;key app="EN" db-id="5tsetw9xmdwrwtetwx4vzv52zfavzzr20wsr" timestamp="1752899744"&gt;1265&lt;/key&gt;&lt;/foreign-keys&gt;&lt;ref-type name="Journal Article"&gt;17&lt;/ref-type&gt;&lt;contributors&gt;&lt;authors&gt;&lt;author&gt;Hoang, Hien&lt;/author&gt;&lt;author&gt;Trotman, Ken T&lt;/author&gt;&lt;/authors&gt;&lt;/contributors&gt;&lt;titles&gt;&lt;title&gt;The effect of CSR assurance and explicit assessment on investor valuation judgments&lt;/title&gt;&lt;secondary-title&gt;Auditing: A Journal of Practice &amp;amp; Theory&lt;/secondary-title&gt;&lt;/titles&gt;&lt;periodical&gt;&lt;full-title&gt;Auditing: A Journal of Practice &amp;amp; Theory&lt;/full-title&gt;&lt;/periodical&gt;&lt;pages&gt;19-33&lt;/pages&gt;&lt;volume&gt;40&lt;/volume&gt;&lt;number&gt;1&lt;/number&gt;&lt;dates&gt;&lt;year&gt;2021&lt;/year&gt;&lt;/dates&gt;&lt;isbn&gt;1558-7991&lt;/isbn&gt;&lt;urls&gt;&lt;/urls&gt;&lt;/record&gt;&lt;/Cite&gt;&lt;/EndNote&gt;</w:instrText>
      </w:r>
      <w:r>
        <w:fldChar w:fldCharType="separate"/>
      </w:r>
      <w:r w:rsidR="00066BB2">
        <w:rPr>
          <w:noProof/>
        </w:rPr>
        <w:t>Hoang and Trotman (2021)</w:t>
      </w:r>
      <w:r>
        <w:fldChar w:fldCharType="end"/>
      </w:r>
      <w:r w:rsidRPr="005F3007">
        <w:t>, which suggest that both reasonable and limited NFIA enhance the perceived reliability of CSR disclosures, with reasonable assurance producing higher perceived fundamental value. The review also calls for further research into auditor judgments during periods of disruption, including the role of multidisciplinary assurance teams and challenges in collecting sufficient appropriate evidence.</w:t>
      </w:r>
      <w:r>
        <w:t xml:space="preserve"> </w:t>
      </w:r>
      <w:r>
        <w:fldChar w:fldCharType="begin"/>
      </w:r>
      <w:r w:rsidR="00066BB2">
        <w:instrText xml:space="preserve"> ADDIN EN.CITE &lt;EndNote&gt;&lt;Cite AuthorYear="1"&gt;&lt;Author&gt;Haji&lt;/Author&gt;&lt;Year&gt;2022&lt;/Year&gt;&lt;RecNum&gt;1266&lt;/RecNum&gt;&lt;DisplayText&gt;Haji, Coram and Troshani (2022)&lt;/DisplayText&gt;&lt;record&gt;&lt;rec-number&gt;1266&lt;/rec-number&gt;&lt;foreign-keys&gt;&lt;key app="EN" db-id="5tsetw9xmdwrwtetwx4vzv52zfavzzr20wsr" timestamp="1752899859"&gt;1266&lt;/key&gt;&lt;/foreign-keys&gt;&lt;ref-type name="Journal Article"&gt;17&lt;/ref-type&gt;&lt;contributors&gt;&lt;authors&gt;&lt;author&gt;Haji, Abdifatah Ahmed&lt;/author&gt;&lt;author&gt;Coram, Paul&lt;/author&gt;&lt;author&gt;Troshani, Indrit&lt;/author&gt;&lt;/authors&gt;&lt;/contributors&gt;&lt;titles&gt;&lt;title&gt;Consequences of CSR reporting regulations worldwide: a review and research agenda&lt;/title&gt;&lt;secondary-title&gt;Accounting, Auditing &amp;amp; Accountability Journal&lt;/secondary-title&gt;&lt;/titles&gt;&lt;periodical&gt;&lt;full-title&gt;Accounting, Auditing &amp;amp; Accountability Journal&lt;/full-title&gt;&lt;/periodical&gt;&lt;pages&gt;177-208&lt;/pages&gt;&lt;volume&gt;36&lt;/volume&gt;&lt;number&gt;1&lt;/number&gt;&lt;dates&gt;&lt;year&gt;2022&lt;/year&gt;&lt;/dates&gt;&lt;isbn&gt;0951-3574&lt;/isbn&gt;&lt;urls&gt;&lt;/urls&gt;&lt;/record&gt;&lt;/Cite&gt;&lt;/EndNote&gt;</w:instrText>
      </w:r>
      <w:r>
        <w:fldChar w:fldCharType="separate"/>
      </w:r>
      <w:r w:rsidR="00066BB2">
        <w:rPr>
          <w:noProof/>
        </w:rPr>
        <w:t>Haji, Coram and Troshani (2022)</w:t>
      </w:r>
      <w:r>
        <w:fldChar w:fldCharType="end"/>
      </w:r>
      <w:r w:rsidRPr="00372A60">
        <w:t xml:space="preserve"> </w:t>
      </w:r>
      <w:r w:rsidR="003074FE" w:rsidRPr="003074FE">
        <w:t>review CSR reporting regulations, noting most do not require assurance. Still, assurance is more common among large firms and those in regulated or environmentally sensitive sectors, aligning with legitimacy theory. They question the gap between the ceremonial nature of disclosures and their documented positive effects, suggesting NFIA may play a more complex role than recognised.</w:t>
      </w:r>
      <w:r w:rsidR="003074FE">
        <w:rPr>
          <w:rFonts w:hint="eastAsia"/>
        </w:rPr>
        <w:t xml:space="preserve"> </w:t>
      </w:r>
      <w:r>
        <w:fldChar w:fldCharType="begin"/>
      </w:r>
      <w:r w:rsidR="00066BB2">
        <w:instrText xml:space="preserve"> ADDIN EN.CITE &lt;EndNote&gt;&lt;Cite AuthorYear="1"&gt;&lt;Author&gt;Songini&lt;/Author&gt;&lt;Year&gt;2023&lt;/Year&gt;&lt;RecNum&gt;1267&lt;/RecNum&gt;&lt;DisplayText&gt;Songini, Pistoni, Comerio and Tettamanzi (2023)&lt;/DisplayText&gt;&lt;record&gt;&lt;rec-number&gt;1267&lt;/rec-number&gt;&lt;foreign-keys&gt;&lt;key app="EN" db-id="5tsetw9xmdwrwtetwx4vzv52zfavzzr20wsr" timestamp="1752899927"&gt;1267&lt;/key&gt;&lt;/foreign-keys&gt;&lt;ref-type name="Journal Article"&gt;17&lt;/ref-type&gt;&lt;contributors&gt;&lt;authors&gt;&lt;author&gt;Songini, Lucrezia&lt;/author&gt;&lt;author&gt;Pistoni, Anna&lt;/author&gt;&lt;author&gt;Comerio, Niccolò&lt;/author&gt;&lt;author&gt;Tettamanzi, Patrizia&lt;/author&gt;&lt;/authors&gt;&lt;/contributors&gt;&lt;titles&gt;&lt;title&gt;A decade of integrated reporting studies: state of the art and future research implications&lt;/title&gt;&lt;secondary-title&gt;Accounting, Auditing &amp;amp; Accountability Journal&lt;/secondary-title&gt;&lt;/titles&gt;&lt;periodical&gt;&lt;full-title&gt;Accounting, Auditing &amp;amp; Accountability Journal&lt;/full-title&gt;&lt;/periodical&gt;&lt;pages&gt;226-252&lt;/pages&gt;&lt;volume&gt;36&lt;/volume&gt;&lt;number&gt;9&lt;/number&gt;&lt;dates&gt;&lt;year&gt;2023&lt;/year&gt;&lt;/dates&gt;&lt;isbn&gt;0951-3574&lt;/isbn&gt;&lt;urls&gt;&lt;/urls&gt;&lt;/record&gt;&lt;/Cite&gt;&lt;/EndNote&gt;</w:instrText>
      </w:r>
      <w:r>
        <w:fldChar w:fldCharType="separate"/>
      </w:r>
      <w:r w:rsidR="00066BB2">
        <w:rPr>
          <w:noProof/>
        </w:rPr>
        <w:t>Songini, Pistoni, Comerio and Tettamanzi (2023)</w:t>
      </w:r>
      <w:r>
        <w:fldChar w:fldCharType="end"/>
      </w:r>
      <w:r w:rsidRPr="00372A60">
        <w:t xml:space="preserve"> </w:t>
      </w:r>
      <w:proofErr w:type="spellStart"/>
      <w:r w:rsidRPr="00372A60">
        <w:t>r</w:t>
      </w:r>
      <w:r w:rsidR="00D61910" w:rsidRPr="00D61910">
        <w:t>review</w:t>
      </w:r>
      <w:proofErr w:type="spellEnd"/>
      <w:r w:rsidR="00D61910" w:rsidRPr="00D61910">
        <w:t xml:space="preserve"> a decade of integrated reporting (IR) studies, highlighting growing interest in IR assurance, which remains under-researched and fraught with challenges in certifying non-financial data. While each review contributes to its domain, they often treat topics in isolation, limiting theoretical integration and cross-domain learning within NFIA.</w:t>
      </w:r>
    </w:p>
    <w:p w14:paraId="7D7576CE" w14:textId="2F92270B" w:rsidR="00C3058C" w:rsidRPr="00E712FA" w:rsidRDefault="00C3058C" w:rsidP="00AF6699">
      <w:pPr>
        <w:pStyle w:val="ListParagraph"/>
        <w:ind w:left="360" w:firstLine="491"/>
        <w:jc w:val="both"/>
      </w:pPr>
      <w:r w:rsidRPr="00013EAA">
        <w:t xml:space="preserve">This study contends that such subsets of knowledge should not be viewed in isolation. When conceptualised as interconnected instances within the broader domain of </w:t>
      </w:r>
      <w:r>
        <w:t>NFIA</w:t>
      </w:r>
      <w:r w:rsidRPr="00013EAA">
        <w:t>, they form part of a longer intellectual tradition in accounting scholarship. Framing them collectively under the NFIA umbrella not only enables a more comprehensive synthesis of assurance practices, but also opens new pathways for theoretical engagement and cumulative knowledge development.</w:t>
      </w:r>
      <w:r>
        <w:t xml:space="preserve"> </w:t>
      </w:r>
      <w:r w:rsidRPr="00E712FA">
        <w:t>Earlier literature has examined other forms of non-financial audit, including performance audits</w:t>
      </w:r>
      <w:r>
        <w:rPr>
          <w:rFonts w:hint="eastAsia"/>
        </w:rPr>
        <w:t xml:space="preserve"> </w:t>
      </w:r>
      <w:r>
        <w:fldChar w:fldCharType="begin">
          <w:fldData xml:space="preserve">PEVuZE5vdGU+PENpdGU+PEF1dGhvcj5QYXJrZXI8L0F1dGhvcj48WWVhcj4xOTkxPC9ZZWFyPjxS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</w:fldData>
        </w:fldChar>
      </w:r>
      <w:r w:rsidR="009C1A2F">
        <w:instrText xml:space="preserve"> ADDIN EN.CITE </w:instrText>
      </w:r>
      <w:r w:rsidR="009C1A2F">
        <w:fldChar w:fldCharType="begin">
          <w:fldData xml:space="preserve">PEVuZE5vdGU+PENpdGU+PEF1dGhvcj5QYXJrZXI8L0F1dGhvcj48WWVhcj4xOTkxPC9ZZWFyPjxS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</w:fldData>
        </w:fldChar>
      </w:r>
      <w:r w:rsidR="009C1A2F">
        <w:instrText xml:space="preserve"> ADDIN EN.CITE.DATA </w:instrText>
      </w:r>
      <w:r w:rsidR="009C1A2F">
        <w:fldChar w:fldCharType="end"/>
      </w:r>
      <w:r>
        <w:fldChar w:fldCharType="separate"/>
      </w:r>
      <w:r w:rsidR="009C1A2F">
        <w:rPr>
          <w:noProof/>
        </w:rPr>
        <w:t>(Parker and Guthrie, 1991; Parker, Schmitz and Jacobs, 2021; Pollitt, 2003; Rika and Jacobs, 2019; Skaerbaek and Christensen, 2015; Tillema and ter Bogt, 2010)</w:t>
      </w:r>
      <w:r>
        <w:fldChar w:fldCharType="end"/>
      </w:r>
      <w:r w:rsidRPr="00E712FA">
        <w:t>, environmental audits</w:t>
      </w:r>
      <w:r>
        <w:rPr>
          <w:rFonts w:hint="eastAsia"/>
        </w:rPr>
        <w:t xml:space="preserve"> </w:t>
      </w:r>
      <w:r>
        <w:fldChar w:fldCharType="begin">
          <w:fldData xml:space="preserve">PEVuZE5vdGU+PENpdGU+PEF1dGhvcj5FbWVyeTwvQXV0aG9yPjxZZWFyPjIwMDM8L1llYXI+PFJl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</w:fldData>
        </w:fldChar>
      </w:r>
      <w:r w:rsidR="009C1A2F">
        <w:instrText xml:space="preserve"> ADDIN EN.CITE </w:instrText>
      </w:r>
      <w:r w:rsidR="009C1A2F">
        <w:fldChar w:fldCharType="begin">
          <w:fldData xml:space="preserve">PEVuZE5vdGU+PENpdGU+PEF1dGhvcj5FbWVyeTwvQXV0aG9yPjxZZWFyPjIwMDM8L1llYXI+PFJl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</w:fldData>
        </w:fldChar>
      </w:r>
      <w:r w:rsidR="009C1A2F">
        <w:instrText xml:space="preserve"> ADDIN EN.CITE.DATA </w:instrText>
      </w:r>
      <w:r w:rsidR="009C1A2F">
        <w:fldChar w:fldCharType="end"/>
      </w:r>
      <w:r>
        <w:fldChar w:fldCharType="separate"/>
      </w:r>
      <w:r w:rsidR="009C1A2F">
        <w:rPr>
          <w:noProof/>
        </w:rPr>
        <w:t>(Emery and Watson, 2003; Hillary, 1998; Maltby, 1995; Moroney, Windsor and Aw, 2012; Rika and Jacobs, 2019; Taylor, Sulaiman and Sheahan, 2001)</w:t>
      </w:r>
      <w:r>
        <w:fldChar w:fldCharType="end"/>
      </w:r>
      <w:r w:rsidRPr="00E712FA">
        <w:t>, and e-commerce audits</w:t>
      </w:r>
      <w:r w:rsidR="00E006C4">
        <w:rPr>
          <w:rFonts w:hint="eastAsia"/>
        </w:rPr>
        <w:t xml:space="preserve"> </w:t>
      </w:r>
      <w:r w:rsidR="00697166">
        <w:fldChar w:fldCharType="begin">
          <w:fldData xml:space="preserve">PEVuZE5vdGU+PENpdGU+PEF1dGhvcj5CYXJyZXR0PC9BdXRob3I+PFllYXI+MjAwNjwvWWVhcj48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=
</w:fldData>
        </w:fldChar>
      </w:r>
      <w:r w:rsidR="00697166">
        <w:instrText xml:space="preserve"> ADDIN EN.CITE </w:instrText>
      </w:r>
      <w:r w:rsidR="00697166">
        <w:fldChar w:fldCharType="begin">
          <w:fldData xml:space="preserve">PEVuZE5vdGU+PENpdGU+PEF1dGhvcj5CYXJyZXR0PC9BdXRob3I+PFllYXI+MjAwNjwvWWVhcj48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=
</w:fldData>
        </w:fldChar>
      </w:r>
      <w:r w:rsidR="00697166">
        <w:instrText xml:space="preserve"> ADDIN EN.CITE.DATA </w:instrText>
      </w:r>
      <w:r w:rsidR="00697166">
        <w:fldChar w:fldCharType="end"/>
      </w:r>
      <w:r w:rsidR="00697166">
        <w:fldChar w:fldCharType="separate"/>
      </w:r>
      <w:r w:rsidR="00697166">
        <w:rPr>
          <w:noProof/>
        </w:rPr>
        <w:t>(Barrett and Gendron, 2006; Gendron and Barrett, 2004)</w:t>
      </w:r>
      <w:r w:rsidR="00697166">
        <w:fldChar w:fldCharType="end"/>
      </w:r>
      <w:r w:rsidR="00675666" w:rsidRPr="00675666">
        <w:t>.</w:t>
      </w:r>
      <w:r>
        <w:rPr>
          <w:rFonts w:hint="eastAsia"/>
        </w:rPr>
        <w:t xml:space="preserve"> </w:t>
      </w:r>
      <w:r w:rsidR="000564D2" w:rsidRPr="000564D2">
        <w:t>These studies illustrate the profession’s adaptive responses to shifting accountability expectations and emerging information domains. This review situates NFIA assurance within that broader tradition, examining performance audit, environmental audit, and sustainability assurance through a consistent analytical lens. This enables the identification of shared assumptions, overlapping mechanisms, and transferable insights often obscured by disciplinary silos. In turn, the analysis promotes theory transfer across contexts, supports cumulative knowledge development, and informs future research attuned to the evolving boundaries and functions of assurance in contemporary governance.</w:t>
      </w:r>
    </w:p>
    <w:p w14:paraId="1E5BC32F" w14:textId="7C38DD57" w:rsidR="00C3058C" w:rsidRPr="008F53EF" w:rsidRDefault="00C3058C" w:rsidP="00AF6699">
      <w:pPr>
        <w:pStyle w:val="ListParagraph"/>
        <w:ind w:left="360" w:firstLine="491"/>
        <w:jc w:val="both"/>
      </w:pPr>
      <w:r w:rsidRPr="002A5BEE">
        <w:t xml:space="preserve">To </w:t>
      </w:r>
      <w:r>
        <w:t xml:space="preserve">further </w:t>
      </w:r>
      <w:r w:rsidRPr="002A5BEE">
        <w:t>develop a more comprehensive understanding of NFIA, this study begins by examining the types of non-financial assurance services currently offered by leading accounting firms.</w:t>
      </w:r>
      <w:r>
        <w:t xml:space="preserve"> </w:t>
      </w:r>
      <w:r w:rsidRPr="008F53EF">
        <w:t xml:space="preserve">These firms routinely perform environmental performance audits, internal control audits, and compliance audits for their clients </w:t>
      </w:r>
      <w:r>
        <w:fldChar w:fldCharType="begin"/>
      </w:r>
      <w:r w:rsidR="009C1A2F">
        <w:instrText xml:space="preserve"> ADDIN EN.CITE &lt;EndNote&gt;&lt;Cite&gt;&lt;Author&gt;Hasan&lt;/Author&gt;&lt;Year&gt;2005&lt;/Year&gt;&lt;RecNum&gt;1268&lt;/RecNum&gt;&lt;DisplayText&gt;(Hasan, Maijoor, Mock, Roebuck, Simnett and Vanstraelen, 2005)&lt;/DisplayText&gt;&lt;record&gt;&lt;rec-number&gt;1268&lt;/rec-number&gt;&lt;foreign-keys&gt;&lt;key app="EN" db-id="5tsetw9xmdwrwtetwx4vzv52zfavzzr20wsr" timestamp="1752900456"&gt;1268&lt;/key&gt;&lt;/foreign-keys&gt;&lt;ref-type name="Journal Article"&gt;17&lt;/ref-type&gt;&lt;contributors&gt;&lt;authors&gt;&lt;author&gt;Hasan, Mahreen&lt;/author&gt;&lt;author&gt;Maijoor, Steven&lt;/author&gt;&lt;author&gt;Mock, Theodore J&lt;/author&gt;&lt;author&gt;Roebuck, Peter&lt;/author&gt;&lt;author&gt;Simnett, Roger&lt;/author&gt;&lt;author&gt;Vanstraelen, Ann&lt;/author&gt;&lt;/authors&gt;&lt;/contributors&gt;&lt;titles&gt;&lt;title&gt;The different types of assurance services and levels of assurance provided&lt;/title&gt;&lt;secondary-title&gt;International Journal of Auditing&lt;/secondary-title&gt;&lt;/titles&gt;&lt;periodical&gt;&lt;full-title&gt;International Journal of Auditing&lt;/full-title&gt;&lt;/periodical&gt;&lt;pages&gt;91-102&lt;/pages&gt;&lt;volume&gt;9&lt;/volume&gt;&lt;number&gt;2&lt;/number&gt;&lt;dates&gt;&lt;year&gt;2005&lt;/year&gt;&lt;/dates&gt;&lt;isbn&gt;1090-6738&lt;/isbn&gt;&lt;urls&gt;&lt;/urls&gt;&lt;/record&gt;&lt;/Cite&gt;&lt;/EndNote&gt;</w:instrText>
      </w:r>
      <w:r>
        <w:fldChar w:fldCharType="separate"/>
      </w:r>
      <w:r w:rsidR="009C1A2F">
        <w:rPr>
          <w:noProof/>
        </w:rPr>
        <w:t xml:space="preserve">(Hasan, Maijoor, Mock, </w:t>
      </w:r>
      <w:r w:rsidR="009C1A2F">
        <w:rPr>
          <w:noProof/>
        </w:rPr>
        <w:lastRenderedPageBreak/>
        <w:t>Roebuck, Simnett and Vanstraelen, 2005)</w:t>
      </w:r>
      <w:r>
        <w:fldChar w:fldCharType="end"/>
      </w:r>
      <w:r w:rsidRPr="008F53EF">
        <w:t>. Such practices extend well beyond financial audits and illustrate the breadth of audit services provided in contemporary professional contexts.</w:t>
      </w:r>
      <w:r w:rsidRPr="008F53EF">
        <w:rPr>
          <w:rFonts w:hint="eastAsia"/>
        </w:rPr>
        <w:t xml:space="preserve"> </w:t>
      </w:r>
      <w:r w:rsidRPr="008F53EF">
        <w:t>This view is supported by widely used auditing textbooks.</w:t>
      </w:r>
      <w:r>
        <w:rPr>
          <w:rFonts w:hint="eastAsia"/>
        </w:rPr>
        <w:t xml:space="preserve"> </w:t>
      </w:r>
      <w:r>
        <w:fldChar w:fldCharType="begin"/>
      </w:r>
      <w:r w:rsidR="00066BB2">
        <w:instrText xml:space="preserve"> ADDIN EN.CITE &lt;EndNote&gt;&lt;Cite AuthorYear="1"&gt;&lt;Author&gt;Moroney&lt;/Author&gt;&lt;Year&gt;2020&lt;/Year&gt;&lt;RecNum&gt;1269&lt;/RecNum&gt;&lt;DisplayText&gt;Moroney, Campbell, Hamilton and Warren (2020)&lt;/DisplayText&gt;&lt;record&gt;&lt;rec-number&gt;1269&lt;/rec-number&gt;&lt;foreign-keys&gt;&lt;key app="EN" db-id="5tsetw9xmdwrwtetwx4vzv52zfavzzr20wsr" timestamp="1752900579"&gt;1269&lt;/key&gt;&lt;/foreign-keys&gt;&lt;ref-type name="Book"&gt;6&lt;/ref-type&gt;&lt;contributors&gt;&lt;authors&gt;&lt;author&gt;Moroney, Robyn&lt;/author&gt;&lt;author&gt;Campbell, Fiona&lt;/author&gt;&lt;author&gt;Hamilton, Jane&lt;/author&gt;&lt;author&gt;Warren, Valerie&lt;/author&gt;&lt;/authors&gt;&lt;/contributors&gt;&lt;titles&gt;&lt;title&gt;Auditing: a practical approach&lt;/title&gt;&lt;/titles&gt;&lt;dates&gt;&lt;year&gt;2020&lt;/year&gt;&lt;/dates&gt;&lt;publisher&gt;Wiley Global Education&lt;/publisher&gt;&lt;isbn&gt;1119752701&lt;/isbn&gt;&lt;urls&gt;&lt;/urls&gt;&lt;/record&gt;&lt;/Cite&gt;&lt;/EndNote&gt;</w:instrText>
      </w:r>
      <w:r>
        <w:fldChar w:fldCharType="separate"/>
      </w:r>
      <w:r w:rsidR="00066BB2">
        <w:rPr>
          <w:noProof/>
        </w:rPr>
        <w:t>Moroney, Campbell, Hamilton and Warren (2020)</w:t>
      </w:r>
      <w:r>
        <w:fldChar w:fldCharType="end"/>
      </w:r>
      <w:r w:rsidRPr="008F53EF">
        <w:t xml:space="preserve"> describe how, in addition to financial audits, practitioners engage in compliance audits and comprehensive audit</w:t>
      </w:r>
      <w:r w:rsidR="00AE18BC">
        <w:rPr>
          <w:rFonts w:hint="eastAsia"/>
        </w:rPr>
        <w:t xml:space="preserve"> </w:t>
      </w:r>
      <w:r w:rsidRPr="008F53EF">
        <w:t>s—e</w:t>
      </w:r>
      <w:r w:rsidR="00AE18BC">
        <w:rPr>
          <w:rFonts w:hint="eastAsia"/>
        </w:rPr>
        <w:t xml:space="preserve"> </w:t>
      </w:r>
      <w:proofErr w:type="spellStart"/>
      <w:r w:rsidRPr="008F53EF">
        <w:t>ngagements</w:t>
      </w:r>
      <w:proofErr w:type="spellEnd"/>
      <w:r w:rsidRPr="008F53EF">
        <w:t xml:space="preserve"> that blend financial, compliance, and performance audit objectives. </w:t>
      </w:r>
      <w:r w:rsidRPr="00606B78">
        <w:t>They further note that these audits often extend into non-financial domains such as CSR. CSR assurance frequently involves the verification of environmental, social, and governance (ESG) disclosures, particularly greenhouse gas (GHG) emissions. Based on these understandings, NFIA is defined here as an assurance engagement over non-financial subject matter, conducted by an independent auditor.</w:t>
      </w:r>
    </w:p>
    <w:p w14:paraId="415BAFC6" w14:textId="625AA43B" w:rsidR="00C3058C" w:rsidRPr="009531A3" w:rsidRDefault="00923AB1" w:rsidP="00AF6699">
      <w:pPr>
        <w:pStyle w:val="ListParagraph"/>
        <w:ind w:left="360" w:firstLine="491"/>
        <w:jc w:val="both"/>
      </w:pPr>
      <w:r w:rsidRPr="00923AB1">
        <w:t>Considering the above, the scope of NFIA in this review includes sustainability (often used interchangeably with ESG or CSR), carbon and GHG emissions, and compliance auditing. While Hasan et al. and Moroney et al. primarily focus on private sector practices, this review extends to public and not-for-profit sector audits</w:t>
      </w:r>
      <w:r w:rsidR="00C3058C">
        <w:t xml:space="preserve"> </w:t>
      </w:r>
      <w:r w:rsidR="00C3058C" w:rsidRPr="008F53EF">
        <w:t>—</w:t>
      </w:r>
      <w:r w:rsidR="00C3058C">
        <w:t xml:space="preserve"> </w:t>
      </w:r>
      <w:r w:rsidR="00C3058C" w:rsidRPr="008F53EF">
        <w:t>particularly performance audits, including efforts to make concepts like governance and efficiency auditable</w:t>
      </w:r>
      <w:r w:rsidR="00C3058C">
        <w:rPr>
          <w:rFonts w:hint="eastAsia"/>
        </w:rPr>
        <w:t xml:space="preserve"> </w:t>
      </w:r>
      <w:r w:rsidR="00C3058C">
        <w:fldChar w:fldCharType="begin">
          <w:fldData xml:space="preserve">PEVuZE5vdGU+PENpdGU+PEF1dGhvcj5HZW5kcm9uPC9BdXRob3I+PFllYXI+MjAwNzwvWWVhcj48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</w:fldData>
        </w:fldChar>
      </w:r>
      <w:r w:rsidR="009C1A2F">
        <w:instrText xml:space="preserve"> ADDIN EN.CITE </w:instrText>
      </w:r>
      <w:r w:rsidR="009C1A2F">
        <w:fldChar w:fldCharType="begin">
          <w:fldData xml:space="preserve">PEVuZE5vdGU+PENpdGU+PEF1dGhvcj5HZW5kcm9uPC9BdXRob3I+PFllYXI+MjAwNzwvWWVhcj48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</w:fldData>
        </w:fldChar>
      </w:r>
      <w:r w:rsidR="009C1A2F">
        <w:instrText xml:space="preserve"> ADDIN EN.CITE.DATA </w:instrText>
      </w:r>
      <w:r w:rsidR="009C1A2F">
        <w:fldChar w:fldCharType="end"/>
      </w:r>
      <w:r w:rsidR="00C3058C">
        <w:fldChar w:fldCharType="separate"/>
      </w:r>
      <w:r w:rsidR="009C1A2F">
        <w:rPr>
          <w:noProof/>
        </w:rPr>
        <w:t>(Gendron, Cooper and Townley, 2007; Skaerbaek, 2009)</w:t>
      </w:r>
      <w:r w:rsidR="00C3058C">
        <w:fldChar w:fldCharType="end"/>
      </w:r>
      <w:r w:rsidR="00C3058C" w:rsidRPr="008F53EF">
        <w:t>.</w:t>
      </w:r>
      <w:r w:rsidR="00C3058C">
        <w:t xml:space="preserve"> </w:t>
      </w:r>
      <w:r w:rsidR="00C3058C" w:rsidRPr="009531A3">
        <w:t xml:space="preserve">Finally, discontinued practices such as e-commerce auditing (e.g. </w:t>
      </w:r>
      <w:proofErr w:type="spellStart"/>
      <w:r w:rsidR="00C3058C" w:rsidRPr="009531A3">
        <w:t>WebTrust</w:t>
      </w:r>
      <w:proofErr w:type="spellEnd"/>
      <w:r w:rsidR="00C3058C" w:rsidRPr="009531A3">
        <w:t xml:space="preserve"> audits) are also included where relevant, as their rise and fall offer valuable insights</w:t>
      </w:r>
      <w:r w:rsidR="00B46FFD">
        <w:rPr>
          <w:rFonts w:hint="eastAsia"/>
        </w:rPr>
        <w:t xml:space="preserve"> </w:t>
      </w:r>
      <w:r w:rsidR="00B46FFD">
        <w:fldChar w:fldCharType="begin">
          <w:fldData xml:space="preserve">PEVuZE5vdGU+PENpdGU+PEF1dGhvcj5CYXJyZXR0PC9BdXRob3I+PFllYXI+MjAwNjwvWWVhcj48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=
</w:fldData>
        </w:fldChar>
      </w:r>
      <w:r w:rsidR="00B46FFD">
        <w:instrText xml:space="preserve"> ADDIN EN.CITE </w:instrText>
      </w:r>
      <w:r w:rsidR="00B46FFD">
        <w:fldChar w:fldCharType="begin">
          <w:fldData xml:space="preserve">PEVuZE5vdGU+PENpdGU+PEF1dGhvcj5CYXJyZXR0PC9BdXRob3I+PFllYXI+MjAwNjwvWWVhcj48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=
</w:fldData>
        </w:fldChar>
      </w:r>
      <w:r w:rsidR="00B46FFD">
        <w:instrText xml:space="preserve"> ADDIN EN.CITE.DATA </w:instrText>
      </w:r>
      <w:r w:rsidR="00B46FFD">
        <w:fldChar w:fldCharType="end"/>
      </w:r>
      <w:r w:rsidR="00B46FFD">
        <w:fldChar w:fldCharType="separate"/>
      </w:r>
      <w:r w:rsidR="00B46FFD">
        <w:rPr>
          <w:noProof/>
        </w:rPr>
        <w:t>(Barrett and Gendron, 2006; Gendron and Barrett, 2004)</w:t>
      </w:r>
      <w:r w:rsidR="00B46FFD">
        <w:fldChar w:fldCharType="end"/>
      </w:r>
      <w:r w:rsidR="0072144E" w:rsidRPr="00E712FA">
        <w:t>.</w:t>
      </w:r>
      <w:r w:rsidR="00C3058C" w:rsidRPr="009531A3">
        <w:t xml:space="preserve"> Internal audits and audit types unrelated to public interest (e.g. tax audits) are excluded due to their limited independence or relevance.</w:t>
      </w:r>
    </w:p>
    <w:p w14:paraId="757326A1" w14:textId="77777777" w:rsidR="00C3058C" w:rsidRPr="008F53EF" w:rsidRDefault="00C3058C" w:rsidP="00AF6699">
      <w:pPr>
        <w:pStyle w:val="ListParagraph"/>
        <w:ind w:left="360" w:firstLine="491"/>
        <w:jc w:val="both"/>
      </w:pPr>
      <w:r w:rsidRPr="00D817C7">
        <w:t xml:space="preserve">Building on the definition and scope of NFIA, this review aims to examine what the accounting literature has revealed </w:t>
      </w:r>
      <w:r>
        <w:t xml:space="preserve">on this topic </w:t>
      </w:r>
      <w:r w:rsidRPr="00D817C7">
        <w:t>over the past 35 years. The objective is twofold: first, to synthesise empirical insights across the diverse subdomains of NFIA; and second, to identify findings that can inform the theoretical and practical development of NFIA as an integrated field, including opportunities for cross-domain learning and conceptual advancement.</w:t>
      </w:r>
      <w:r w:rsidRPr="008F53EF">
        <w:t xml:space="preserve"> Specifically, the results of this review provide answers to the following </w:t>
      </w:r>
      <w:r>
        <w:rPr>
          <w:rFonts w:hint="eastAsia"/>
        </w:rPr>
        <w:t xml:space="preserve">research </w:t>
      </w:r>
      <w:r w:rsidRPr="008F53EF">
        <w:t>questions:</w:t>
      </w:r>
    </w:p>
    <w:p w14:paraId="0B59F667" w14:textId="47A60020" w:rsidR="00C3058C" w:rsidRPr="00066639" w:rsidRDefault="00C3058C" w:rsidP="00AF6699">
      <w:pPr>
        <w:pStyle w:val="ListParagraph"/>
        <w:ind w:left="360"/>
        <w:jc w:val="both"/>
        <w:rPr>
          <w:b/>
          <w:bCs/>
          <w:highlight w:val="cyan"/>
        </w:rPr>
      </w:pPr>
      <w:r w:rsidRPr="008F53EF">
        <w:br/>
      </w:r>
      <w:r w:rsidRPr="00066639">
        <w:rPr>
          <w:b/>
          <w:bCs/>
          <w:highlight w:val="cyan"/>
        </w:rPr>
        <w:t xml:space="preserve">RQ1. </w:t>
      </w:r>
      <w:r w:rsidR="005C60C2" w:rsidRPr="00066639">
        <w:rPr>
          <w:highlight w:val="cyan"/>
        </w:rPr>
        <w:t xml:space="preserve">How has the empirical literature on NFIA </w:t>
      </w:r>
      <w:r w:rsidR="00DA6A25">
        <w:rPr>
          <w:highlight w:val="cyan"/>
        </w:rPr>
        <w:t>developed</w:t>
      </w:r>
      <w:r w:rsidR="005C60C2" w:rsidRPr="00066639">
        <w:rPr>
          <w:highlight w:val="cyan"/>
        </w:rPr>
        <w:t xml:space="preserve"> over the past 35 years?</w:t>
      </w:r>
    </w:p>
    <w:p w14:paraId="1FE0FDD0" w14:textId="7FA90A9A" w:rsidR="001330FA" w:rsidRPr="003607FE" w:rsidRDefault="00C3058C" w:rsidP="00AF6699">
      <w:pPr>
        <w:pStyle w:val="ListParagraph"/>
        <w:ind w:left="360"/>
        <w:jc w:val="both"/>
      </w:pPr>
      <w:r w:rsidRPr="00066639">
        <w:rPr>
          <w:b/>
          <w:bCs/>
          <w:highlight w:val="cyan"/>
        </w:rPr>
        <w:t xml:space="preserve">RQ2. </w:t>
      </w:r>
      <w:r w:rsidR="004E645E" w:rsidRPr="00066639">
        <w:rPr>
          <w:highlight w:val="cyan"/>
        </w:rPr>
        <w:t>To what extent does the empirical NFIA literature engage with the later theoretical refinements of the audit society advanced by Power (2003a, 2003b), and what does this reveal about how legitimacy production, symbolic verification practices, governance and control, and professional identities are empirically conceptualised and examined in non-financial assurance research?</w:t>
      </w:r>
    </w:p>
    <w:p w14:paraId="7F364C29" w14:textId="6B348581" w:rsidR="00575637" w:rsidRDefault="00C3058C" w:rsidP="00AF6699">
      <w:pPr>
        <w:pStyle w:val="ListParagraph"/>
        <w:ind w:left="360" w:firstLine="491"/>
        <w:jc w:val="both"/>
      </w:pPr>
      <w:r w:rsidRPr="001804C4">
        <w:t>This review contributes to the accounting literature in three important ways.</w:t>
      </w:r>
      <w:r>
        <w:t xml:space="preserve"> </w:t>
      </w:r>
      <w:r w:rsidRPr="001804C4">
        <w:t>First, although prior literature reviews have recognised the growing significance of NFIA, they have typically concentrated on individual subdomains</w:t>
      </w:r>
      <w:r>
        <w:rPr>
          <w:rFonts w:hint="eastAsia"/>
        </w:rPr>
        <w:t xml:space="preserve"> </w:t>
      </w:r>
      <w:r w:rsidRPr="001804C4">
        <w:t>—</w:t>
      </w:r>
      <w:r>
        <w:rPr>
          <w:rFonts w:hint="eastAsia"/>
        </w:rPr>
        <w:t xml:space="preserve"> </w:t>
      </w:r>
      <w:r w:rsidRPr="001804C4">
        <w:t>such as Sustainability Reporting Assurance or Integrated Reporting Assurance</w:t>
      </w:r>
      <w:r>
        <w:rPr>
          <w:rFonts w:hint="eastAsia"/>
        </w:rPr>
        <w:t xml:space="preserve"> </w:t>
      </w:r>
      <w:r w:rsidRPr="001804C4">
        <w:t>—</w:t>
      </w:r>
      <w:r>
        <w:rPr>
          <w:rFonts w:hint="eastAsia"/>
        </w:rPr>
        <w:t xml:space="preserve"> </w:t>
      </w:r>
      <w:r w:rsidRPr="001804C4">
        <w:t xml:space="preserve">in isolation </w:t>
      </w:r>
      <w:r>
        <w:fldChar w:fldCharType="begin">
          <w:fldData xml:space="preserve">PEVuZE5vdGU+PENpdGU+PEF1dGhvcj5GYXJvb3E8L0F1dGhvcj48WWVhcj4yMDIzPC9ZZWFyPjxS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=
</w:fldData>
        </w:fldChar>
      </w:r>
      <w:r w:rsidR="00B9430A">
        <w:instrText xml:space="preserve"> ADDIN EN.CITE </w:instrText>
      </w:r>
      <w:r w:rsidR="00B9430A">
        <w:fldChar w:fldCharType="begin">
          <w:fldData xml:space="preserve">PEVuZE5vdGU+PENpdGU+PEF1dGhvcj5GYXJvb3E8L0F1dGhvcj48WWVhcj4yMDIzPC9ZZWFyPjxS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=
</w:fldData>
        </w:fldChar>
      </w:r>
      <w:r w:rsidR="00B9430A">
        <w:instrText xml:space="preserve"> ADDIN EN.CITE.DATA </w:instrText>
      </w:r>
      <w:r w:rsidR="00B9430A">
        <w:fldChar w:fldCharType="end"/>
      </w:r>
      <w:r>
        <w:fldChar w:fldCharType="separate"/>
      </w:r>
      <w:r w:rsidR="00B9430A">
        <w:rPr>
          <w:noProof/>
        </w:rPr>
        <w:t>(Farooq</w:t>
      </w:r>
      <w:r w:rsidR="00B9430A" w:rsidRPr="00B9430A">
        <w:rPr>
          <w:i/>
          <w:noProof/>
        </w:rPr>
        <w:t xml:space="preserve"> et al.</w:t>
      </w:r>
      <w:r w:rsidR="00B9430A">
        <w:rPr>
          <w:noProof/>
        </w:rPr>
        <w:t>, 2023; Free</w:t>
      </w:r>
      <w:r w:rsidR="00B9430A" w:rsidRPr="00B9430A">
        <w:rPr>
          <w:i/>
          <w:noProof/>
        </w:rPr>
        <w:t xml:space="preserve"> et al.</w:t>
      </w:r>
      <w:r w:rsidR="00B9430A">
        <w:rPr>
          <w:noProof/>
        </w:rPr>
        <w:t>, 2024)</w:t>
      </w:r>
      <w:r>
        <w:fldChar w:fldCharType="end"/>
      </w:r>
      <w:r>
        <w:rPr>
          <w:rFonts w:hint="eastAsia"/>
        </w:rPr>
        <w:t xml:space="preserve">. </w:t>
      </w:r>
      <w:r w:rsidR="00575637" w:rsidRPr="00575637">
        <w:t xml:space="preserve">In contrast, this study adopts a broader analytical lens, synthesising empirical findings across the full spectrum of NFIA. By integrating previously fragmented literature into a coherent whole, the review positions NFIA as a cumulative field of inquiry grounded </w:t>
      </w:r>
      <w:r w:rsidR="00575637" w:rsidRPr="00575637">
        <w:lastRenderedPageBreak/>
        <w:t>in shared institutional and methodological foundations</w:t>
      </w:r>
      <w:r w:rsidR="00A350A5">
        <w:rPr>
          <w:rFonts w:hint="eastAsia"/>
        </w:rPr>
        <w:t xml:space="preserve"> </w:t>
      </w:r>
      <w:r w:rsidR="00575637" w:rsidRPr="00575637">
        <w:t>—</w:t>
      </w:r>
      <w:r w:rsidR="00A350A5">
        <w:rPr>
          <w:rFonts w:hint="eastAsia"/>
        </w:rPr>
        <w:t xml:space="preserve"> </w:t>
      </w:r>
      <w:r w:rsidR="00575637" w:rsidRPr="00575637">
        <w:t>a consolidation largely absent in prior research. This integrative framing also facilitates the transfer of insights across subdomains. By conceptualising individual assurance types as nested within a broader NFIA domain, the review enables inductive generalisation</w:t>
      </w:r>
      <w:r w:rsidR="00A350A5">
        <w:rPr>
          <w:rFonts w:hint="eastAsia"/>
        </w:rPr>
        <w:t xml:space="preserve"> </w:t>
      </w:r>
      <w:r w:rsidR="00575637" w:rsidRPr="00575637">
        <w:t>—</w:t>
      </w:r>
      <w:r w:rsidR="00A350A5">
        <w:rPr>
          <w:rFonts w:hint="eastAsia"/>
        </w:rPr>
        <w:t xml:space="preserve"> </w:t>
      </w:r>
      <w:r w:rsidR="00575637" w:rsidRPr="00575637">
        <w:t>where findings from sustainability assurance, for instance, may inform performance or carbon audits unless bounded by domain-specific conditions. This approach supports theory building and comparative testing across domains traditionally treated in isolation. Finally, reconfiguring NFIA as a unified empirical field expands the scope for future research. It uncovers neglected questions in one subdomain by drawing on insights from another, providing a platform for theoretical integration and opening new avenues for cumulative, cross-domain scholarship.</w:t>
      </w:r>
    </w:p>
    <w:p w14:paraId="724C8454" w14:textId="4D90EF66" w:rsidR="00575637" w:rsidRDefault="00C3058C" w:rsidP="00AF6699">
      <w:pPr>
        <w:pStyle w:val="ListParagraph"/>
        <w:ind w:left="360" w:firstLine="491"/>
        <w:jc w:val="both"/>
      </w:pPr>
      <w:r w:rsidRPr="00473917">
        <w:t>The remainder of this paper is organised as follows. Section 2 elaborates on Michael</w:t>
      </w:r>
      <w:r>
        <w:rPr>
          <w:rFonts w:hint="eastAsia"/>
        </w:rPr>
        <w:t xml:space="preserve"> Power</w:t>
      </w:r>
      <w:r>
        <w:t>’</w:t>
      </w:r>
      <w:r>
        <w:rPr>
          <w:rFonts w:hint="eastAsia"/>
        </w:rPr>
        <w:t>s</w:t>
      </w:r>
      <w:r w:rsidRPr="00473917">
        <w:t xml:space="preserve"> </w:t>
      </w:r>
      <w:r>
        <w:fldChar w:fldCharType="begin"/>
      </w:r>
      <w:r w:rsidR="009C1A2F">
        <w:instrText xml:space="preserve"> ADDIN EN.CITE &lt;EndNote&gt;&lt;Cite ExcludeAuth="1"&gt;&lt;Author&gt;Power&lt;/Author&gt;&lt;Year&gt;1997&lt;/Year&gt;&lt;RecNum&gt;1270&lt;/RecNum&gt;&lt;DisplayText&gt;(1997a)&lt;/DisplayText&gt;&lt;record&gt;&lt;rec-number&gt;1270&lt;/rec-number&gt;&lt;foreign-keys&gt;&lt;key app="EN" db-id="5tsetw9xmdwrwtetwx4vzv52zfavzzr20wsr" timestamp="1752901085"&gt;1270&lt;/key&gt;&lt;/foreign-keys&gt;&lt;ref-type name="Book"&gt;6&lt;/ref-type&gt;&lt;contributors&gt;&lt;authors&gt;&lt;author&gt;Power, Michael&lt;/author&gt;&lt;/authors&gt;&lt;/contributors&gt;&lt;titles&gt;&lt;title&gt;The audit society: Rituals of verification&lt;/title&gt;&lt;/titles&gt;&lt;dates&gt;&lt;year&gt;1997&lt;/year&gt;&lt;/dates&gt;&lt;publisher&gt;OUP Oxford&lt;/publisher&gt;&lt;isbn&gt;0191638927&lt;/isbn&gt;&lt;urls&gt;&lt;/urls&gt;&lt;/record&gt;&lt;/Cite&gt;&lt;/EndNote&gt;</w:instrText>
      </w:r>
      <w:r>
        <w:fldChar w:fldCharType="separate"/>
      </w:r>
      <w:r w:rsidR="009C1A2F">
        <w:rPr>
          <w:noProof/>
        </w:rPr>
        <w:t>(1997a)</w:t>
      </w:r>
      <w:r>
        <w:fldChar w:fldCharType="end"/>
      </w:r>
      <w:r>
        <w:rPr>
          <w:rFonts w:hint="eastAsia"/>
        </w:rPr>
        <w:t xml:space="preserve"> </w:t>
      </w:r>
      <w:r w:rsidRPr="00756306">
        <w:rPr>
          <w:rFonts w:hint="eastAsia"/>
          <w:i/>
          <w:iCs/>
        </w:rPr>
        <w:t>Audit Society</w:t>
      </w:r>
      <w:r>
        <w:rPr>
          <w:rFonts w:hint="eastAsia"/>
        </w:rPr>
        <w:t xml:space="preserve"> Persp</w:t>
      </w:r>
      <w:r w:rsidRPr="00473917">
        <w:t xml:space="preserve">ective, which serves as the theoretical foundation for this literature review. This section establishes the relevance of viewing NFIA as a coherent and cumulative body of knowledge situated within a long-standing tradition of social inquiry, particularly within interpretive and critical auditing research since the 1990s. It also clarifies the concepts of </w:t>
      </w:r>
      <w:r w:rsidRPr="00756306">
        <w:t>audit and assurance, and ex</w:t>
      </w:r>
      <w:r w:rsidRPr="00473917">
        <w:t>plains why these terms are used interchangeably throughout the review. Section 3 outlines the methodology adopted for conducting the systematic review. Section 4 presents and analyses the subdomains and key themes that have emerged in the NFIA literature. Section 5 offers a broader discussion of the literature, including the transferability of theoretical insights across NFIA subdomains, and concludes the paper by outlining key implications, limitations, and directions for future research.</w:t>
      </w:r>
    </w:p>
    <w:p w14:paraId="17A376A2" w14:textId="77777777" w:rsidR="00B969FA" w:rsidRDefault="00B969FA" w:rsidP="00AF6699">
      <w:pPr>
        <w:pStyle w:val="ListParagraph"/>
        <w:ind w:left="360" w:firstLine="491"/>
        <w:jc w:val="both"/>
      </w:pPr>
    </w:p>
    <w:p w14:paraId="6E62039E" w14:textId="77777777" w:rsidR="003E1887" w:rsidRPr="00A01393" w:rsidRDefault="003E1887" w:rsidP="00A01393">
      <w:pPr>
        <w:jc w:val="center"/>
        <w:rPr>
          <w:b/>
          <w:bCs/>
        </w:rPr>
      </w:pPr>
      <w:r w:rsidRPr="005F5CF4">
        <w:rPr>
          <w:b/>
          <w:bCs/>
          <w:highlight w:val="cyan"/>
        </w:rPr>
        <w:t>Conceptual Foundations: The Evolution of the Audit Society</w:t>
      </w:r>
    </w:p>
    <w:p w14:paraId="4131A7AE" w14:textId="77777777" w:rsidR="003E1887" w:rsidRPr="003E1887" w:rsidRDefault="003E1887" w:rsidP="003E1887">
      <w:pPr>
        <w:pStyle w:val="ListParagraph"/>
        <w:ind w:left="360" w:firstLine="491"/>
        <w:jc w:val="both"/>
      </w:pPr>
      <w:r w:rsidRPr="003E1887">
        <w:t xml:space="preserve">The conceptualisation of auditing as a pervasive social and organisational phenomenon is most commonly traced to Michael Power’s </w:t>
      </w:r>
      <w:r w:rsidRPr="003E1887">
        <w:rPr>
          <w:i/>
          <w:iCs/>
        </w:rPr>
        <w:t>The Audit Society: Rituals of Verification</w:t>
      </w:r>
      <w:r w:rsidRPr="003E1887">
        <w:t xml:space="preserve"> (1997). In this seminal work, Power challenged conventional understandings of audit as a neutral, technical practice by situating it within a broader regulatory and cultural context characterised by heightened demands for verification, transparency and control. However, while the 1997 book established the now-canonical diagnosis of an expanding “audit society”, a fuller understanding of this theoretical trajectory requires deeper engagement with Power’s earlier constructivist intervention (Power, 1996) and his subsequent analytical refinements in the early twenty-first century (Power, 2003a, 2003b). Together, these works provide the analytical resources necessary to move beyond the macro-metaphor of the audit society and towards a more detailed understanding of the backstage mechanics through which verification is practically accomplished.</w:t>
      </w:r>
    </w:p>
    <w:p w14:paraId="28FA8B9D" w14:textId="77777777" w:rsidR="003E1887" w:rsidRPr="003E1887" w:rsidRDefault="003E1887" w:rsidP="003E1887">
      <w:pPr>
        <w:pStyle w:val="ListParagraph"/>
        <w:ind w:left="360" w:firstLine="491"/>
        <w:jc w:val="both"/>
      </w:pPr>
      <w:r w:rsidRPr="003E1887">
        <w:t xml:space="preserve">The theoretical foundations of this programme were laid in “Making Things Auditable” (Power, 1996), where auditability was explicitly theorised as an </w:t>
      </w:r>
      <w:r w:rsidRPr="003E1887">
        <w:rPr>
          <w:i/>
          <w:iCs/>
        </w:rPr>
        <w:t>accomplished</w:t>
      </w:r>
      <w:r w:rsidRPr="003E1887">
        <w:t xml:space="preserve"> rather than an inherent property of organisational activities. Power (1996) rejected the “official image” of audit as a derived activity that merely adds credibility to pre-existing facts. Instead, he argued that auditing actively constructs the legitimacy of its own knowledge base while </w:t>
      </w:r>
      <w:r w:rsidRPr="003E1887">
        <w:lastRenderedPageBreak/>
        <w:t>simultaneously seeking to create the organisational environments in which that knowledge can operate successfully. This process of “making things auditable” was illustrated through three distinct strategies of fact construction.</w:t>
      </w:r>
    </w:p>
    <w:p w14:paraId="2ECAD1DD" w14:textId="77777777" w:rsidR="003E1887" w:rsidRPr="003E1887" w:rsidRDefault="003E1887" w:rsidP="003E1887">
      <w:pPr>
        <w:pStyle w:val="ListParagraph"/>
        <w:ind w:left="360" w:firstLine="491"/>
        <w:jc w:val="both"/>
      </w:pPr>
      <w:r w:rsidRPr="003E1887">
        <w:t>In the context of public sector research, auditability is achieved through the development of detailed measurement technologies—such as time-recording systems—that translate academic labour into a surface of auditable facts. In the domain of quality management, auditability is accomplished through abstract management systems (for example, ISO 9000), which provide a bureaucratic infrastructure upon which audit processes can operate independently of substantive performance outcomes. In the case of brand valuation, auditability is negotiated through reliance on the institutional credibility of other experts, such that verification becomes a function of distributed trust rather than direct inspection. Across these cases, auditing does not simply verify an existing organisational order; it reshapes organisational practices and representations in ways that make audit itself possible (Power, 1996).</w:t>
      </w:r>
    </w:p>
    <w:p w14:paraId="35E1DE3B" w14:textId="77777777" w:rsidR="003E1887" w:rsidRPr="003E1887" w:rsidRDefault="003E1887" w:rsidP="003E1887">
      <w:pPr>
        <w:pStyle w:val="ListParagraph"/>
        <w:ind w:left="360" w:firstLine="491"/>
        <w:jc w:val="both"/>
      </w:pPr>
      <w:r w:rsidRPr="003E1887">
        <w:t xml:space="preserve">This constructivist insight was subsequently generalised in </w:t>
      </w:r>
      <w:r w:rsidRPr="003E1887">
        <w:rPr>
          <w:i/>
          <w:iCs/>
        </w:rPr>
        <w:t>The Audit Society</w:t>
      </w:r>
      <w:r w:rsidRPr="003E1887">
        <w:t xml:space="preserve"> (Power, 1997), where the diffusion of financial audit logics into non-financial domains was characterised as an “audit explosion”. Power (1997) argued that these expanding rituals of verification underpin a broader administrative style of “governing at a distance”, enabling central authorities to maintain an image of control within increasingly decentralised and fragmented organisational settings. Crucially, Power emphasised that such verification practices do not necessarily enhance substantive accountability. Rather, they often function to generate reassurance—or “comfort”—for external audiences, producing displacement effects whereby compliance artefacts, documentation and working papers become ends in themselves. In this logic of auditability, the requirement for activities to be auditable increasingly converges with the requirement for them to be </w:t>
      </w:r>
      <w:r w:rsidRPr="003E1887">
        <w:rPr>
          <w:i/>
          <w:iCs/>
        </w:rPr>
        <w:t>seen</w:t>
      </w:r>
      <w:r w:rsidRPr="003E1887">
        <w:t xml:space="preserve"> to be auditable, loosening the connection between verification practices and underlying organisational performance.</w:t>
      </w:r>
    </w:p>
    <w:p w14:paraId="35175A32" w14:textId="77777777" w:rsidR="003E1887" w:rsidRPr="003E1887" w:rsidRDefault="003E1887" w:rsidP="003E1887">
      <w:pPr>
        <w:pStyle w:val="ListParagraph"/>
        <w:ind w:left="360" w:firstLine="491"/>
        <w:jc w:val="both"/>
      </w:pPr>
      <w:r w:rsidRPr="003E1887">
        <w:t>While the 1997 book provided a powerful diagnosis, Power’s subsequent work offered the analytical refinement required for closer empirical engagement. In “Auditing and the Production of Legitimacy”, Power (2003a) redirected attention from macro-level expansion to the internal social organisation of audit practice. He argued that because audit quality is inherently difficult to observe and evaluate, it must be defined procedurally within the profession itself. Legitimacy is therefore produced through collective interaction, routinised judgement and the progressive purification of organisational uncertainty. In this account, working papers function as a distinctive genre of organisational text, designed to present a rational and defensible representation of practice for anticipated external audiences, particularly regulators and courts. The writing of auditing thus becomes a central mechanism through which administrative objectivity is stabilised, while the contingent and negotiated character of audit work is largely rendered invisible.</w:t>
      </w:r>
    </w:p>
    <w:p w14:paraId="5BEC050E" w14:textId="77777777" w:rsidR="003E1887" w:rsidRPr="003E1887" w:rsidRDefault="003E1887" w:rsidP="003E1887">
      <w:pPr>
        <w:pStyle w:val="ListParagraph"/>
        <w:ind w:left="360" w:firstLine="491"/>
        <w:jc w:val="both"/>
      </w:pPr>
      <w:r w:rsidRPr="003E1887">
        <w:t xml:space="preserve">A complementary perspective is provided in “Evaluating the Audit Explosion” (Power, 2003b), which offered a more differentiated and comparative account of audit expansion. Here, Power reconceptualised the audit explosion not simply as growth in audit activity, but as a qualitative shift towards the “control of control”. In this mode, auditing </w:t>
      </w:r>
      <w:r w:rsidRPr="003E1887">
        <w:lastRenderedPageBreak/>
        <w:t>increasingly focuses on management systems, self-monitoring processes and internal controls rather than on first-order operational activities. Power (2003b) introduced a comparative framework for analysing this variation, structured around differences in knowledge bases, formal organisational arrangements and operational processes. This analysis also foregrounded the emergence of the auditee as a distinctive administrative subject: a professionalised actor skilled in managing inspection regimes, engaging in defensive documentation practices and navigating what Power described as games of compliance. Within this configuration, auditing becomes closely aligned with blame avoidance and risk management, reinforcing procedural compliance over substantive critique.</w:t>
      </w:r>
    </w:p>
    <w:p w14:paraId="088AE293" w14:textId="77777777" w:rsidR="003E1887" w:rsidRPr="003E1887" w:rsidRDefault="003E1887" w:rsidP="003E1887">
      <w:pPr>
        <w:pStyle w:val="ListParagraph"/>
        <w:ind w:left="360" w:firstLine="491"/>
        <w:jc w:val="both"/>
      </w:pPr>
      <w:r w:rsidRPr="003E1887">
        <w:t>A recurring theme across this evolutionary trajectory concerns the relationship between audit and assurance. Power’s work suggests that the rise of assurance services should be understood less as a conceptual rupture than as a process of professional reinvention, in which established audit techniques are reassembled and extended into new domains under alternative vocabularies (Power, 2003a). Subsequent research supports this interpretation, demonstrating that the language of assurance was strategically introduced during the mid-1990s by professional standard-setters to facilitate market expansion into areas such as sustainability reporting and internal controls (</w:t>
      </w:r>
      <w:proofErr w:type="spellStart"/>
      <w:r w:rsidRPr="003E1887">
        <w:t>Sonnerfeldt</w:t>
      </w:r>
      <w:proofErr w:type="spellEnd"/>
      <w:r w:rsidRPr="003E1887">
        <w:t xml:space="preserve"> &amp; Pontoppidan, 2020). While technical distinctions are sometimes articulated—most commonly between verification as completeness checking and assurance as confirmation of truthfulness—these distinctions appear to be driven more by market differentiation and regulatory framing than by substantive conceptual divergence (</w:t>
      </w:r>
      <w:proofErr w:type="spellStart"/>
      <w:r w:rsidRPr="003E1887">
        <w:t>Sonnerfeldt</w:t>
      </w:r>
      <w:proofErr w:type="spellEnd"/>
      <w:r w:rsidRPr="003E1887">
        <w:t xml:space="preserve"> &amp; Pontoppidan, 2020).</w:t>
      </w:r>
    </w:p>
    <w:p w14:paraId="5322D7E0" w14:textId="77777777" w:rsidR="003E1887" w:rsidRPr="003E1887" w:rsidRDefault="003E1887" w:rsidP="003E1887">
      <w:pPr>
        <w:pStyle w:val="ListParagraph"/>
        <w:ind w:left="360" w:firstLine="491"/>
        <w:jc w:val="both"/>
      </w:pPr>
      <w:r w:rsidRPr="003E1887">
        <w:t>Empirical studies further underscore this convergence in practice. In the context of non-financial reporting, terms such as “external assurance”, “verification” and “sustainability audit” are frequently used interchangeably to describe substantively similar validation processes (Bartoszewicz &amp; Rutkowska-Ziarko, 2021). Moreover, these practices are functionally inseparable: assurance engagements rely upon prior processes of verification to construct the auditable facts on which opinions are based (Bartoszewicz &amp; Rutkowska-Ziarko, 2021). For the purposes of this systematic literature review, audit and assurance are therefore treated as analytically connected practices within a shared verification regime. This position is consistent with Power’s constructivist insight that what ultimately matters is not terminological distinction, but the underlying processes through which auditability is constructed, legitimacy is produced and institutional comfort is maintained. Viewed in this way, contemporary audit and assurance practices can be understood as manifestations of the same administrative style that continues to define the modern audit society.</w:t>
      </w:r>
    </w:p>
    <w:p w14:paraId="3F305CA0" w14:textId="77777777" w:rsidR="00B969FA" w:rsidRPr="00AA5266" w:rsidRDefault="00B969FA" w:rsidP="00AF6699">
      <w:pPr>
        <w:pStyle w:val="ListParagraph"/>
        <w:ind w:left="360" w:firstLine="491"/>
        <w:jc w:val="both"/>
      </w:pPr>
    </w:p>
    <w:p w14:paraId="460C585C" w14:textId="009EA506" w:rsidR="00AC1653" w:rsidRPr="00963108" w:rsidRDefault="006A0FCB" w:rsidP="00AF6699">
      <w:pPr>
        <w:jc w:val="center"/>
        <w:rPr>
          <w:b/>
          <w:bCs/>
        </w:rPr>
      </w:pPr>
      <w:r w:rsidRPr="005F5CF4">
        <w:rPr>
          <w:b/>
          <w:bCs/>
          <w:highlight w:val="cyan"/>
        </w:rPr>
        <w:t xml:space="preserve">Review Design </w:t>
      </w:r>
      <w:r w:rsidR="0024405A" w:rsidRPr="005F5CF4">
        <w:rPr>
          <w:b/>
          <w:bCs/>
          <w:highlight w:val="cyan"/>
        </w:rPr>
        <w:t xml:space="preserve">and </w:t>
      </w:r>
      <w:r w:rsidR="004709D4" w:rsidRPr="005F5CF4">
        <w:rPr>
          <w:b/>
          <w:bCs/>
          <w:highlight w:val="cyan"/>
        </w:rPr>
        <w:t>Method</w:t>
      </w:r>
      <w:r w:rsidR="00080059" w:rsidRPr="005F5CF4">
        <w:rPr>
          <w:b/>
          <w:bCs/>
          <w:highlight w:val="cyan"/>
        </w:rPr>
        <w:t>ology</w:t>
      </w:r>
    </w:p>
    <w:p w14:paraId="15720D6B" w14:textId="6B432D1A" w:rsidR="00D81544" w:rsidRPr="00D81544" w:rsidRDefault="00D81544" w:rsidP="00D81544">
      <w:pPr>
        <w:pStyle w:val="ListParagraph"/>
        <w:widowControl w:val="0"/>
        <w:spacing w:after="160"/>
        <w:ind w:left="360" w:firstLine="491"/>
        <w:jc w:val="both"/>
      </w:pPr>
      <w:r w:rsidRPr="00D81544">
        <w:t xml:space="preserve">Given the breadth, heterogeneity and theoretical density of the NFIA literature, this review adopts a multi-stage, mixed-method design. We begin with a </w:t>
      </w:r>
      <w:r w:rsidR="005813BB">
        <w:t>SLR</w:t>
      </w:r>
      <w:r w:rsidRPr="00D81544">
        <w:t xml:space="preserve"> to delineate the boundaries of the field and ensure transparency and replicability in study identification, screening and inclusion. Following this, descriptive and narrative analyses of abstracts are </w:t>
      </w:r>
      <w:r w:rsidRPr="00D81544">
        <w:lastRenderedPageBreak/>
        <w:t>conducted to map the evolution of empirical NFIA research over a 35-year period, identifying longitudinal patterns in fields, journals, topics, methods and jurisdictions (RQ1).</w:t>
      </w:r>
    </w:p>
    <w:p w14:paraId="53796FCD" w14:textId="77777777" w:rsidR="00D81544" w:rsidRPr="00D81544" w:rsidRDefault="00D81544" w:rsidP="00D81544">
      <w:pPr>
        <w:pStyle w:val="ListParagraph"/>
        <w:widowControl w:val="0"/>
        <w:spacing w:after="160"/>
        <w:ind w:left="360" w:firstLine="491"/>
        <w:jc w:val="both"/>
      </w:pPr>
      <w:r w:rsidRPr="00D81544">
        <w:t>To complement this qualitative mapping, bibliometric techniques are employed to examine keyword co-occurrence and intellectual clustering within the corpus. These bibliometric patterns are initially used to identify high-level thematic clusters, informed by insights from the “accounting complex” (Miller &amp; Power, 2013). The clusters are then refined and substantiated through inductive, ground-up coding of full texts, followed by temporal and comparative analyses to trace the development and maturation of specific themes.</w:t>
      </w:r>
    </w:p>
    <w:p w14:paraId="74C2F292" w14:textId="77777777" w:rsidR="00D81544" w:rsidRPr="00D81544" w:rsidRDefault="00D81544" w:rsidP="00D81544">
      <w:pPr>
        <w:pStyle w:val="ListParagraph"/>
        <w:widowControl w:val="0"/>
        <w:spacing w:after="160"/>
        <w:ind w:left="360" w:firstLine="491"/>
        <w:jc w:val="both"/>
      </w:pPr>
      <w:r w:rsidRPr="00D81544">
        <w:t>Finally, the stabilised thematic structure is examined through an interpretive analytical lens informed by Power’s later theorisation of the audit society (Power, 2003a, 2003b). Rather than imposing a priori theoretical categories, this stage uses Power’s conceptual concerns—particularly legitimacy production, symbolic verification practices, governance and control, and professional identities—as sensitising devices to assess how these issues have been empirically conceptualised and examined within contemporary NFIA research (RQ2).</w:t>
      </w:r>
    </w:p>
    <w:p w14:paraId="5005C3C4" w14:textId="023C15D4" w:rsidR="00D81544" w:rsidRPr="00617984" w:rsidRDefault="00617984" w:rsidP="00CB3DA7">
      <w:pPr>
        <w:jc w:val="both"/>
        <w:rPr>
          <w:i/>
          <w:iCs/>
        </w:rPr>
      </w:pPr>
      <w:r w:rsidRPr="005F5CF4">
        <w:rPr>
          <w:i/>
          <w:iCs/>
          <w:highlight w:val="cyan"/>
        </w:rPr>
        <w:t>Systematic Literature Review</w:t>
      </w:r>
    </w:p>
    <w:p w14:paraId="2E059445" w14:textId="54C698BD" w:rsidR="005F5CF4" w:rsidRPr="005F5CF4" w:rsidRDefault="005F5CF4" w:rsidP="005F5CF4">
      <w:pPr>
        <w:pStyle w:val="ListParagraph"/>
        <w:widowControl w:val="0"/>
        <w:spacing w:after="160"/>
        <w:ind w:left="360" w:firstLine="491"/>
        <w:jc w:val="both"/>
      </w:pPr>
      <w:r w:rsidRPr="005F5CF4">
        <w:t xml:space="preserve">While literature reviews have traditionally served to provide background for empirical research, they are increasingly recognised as rigorous research methods in their own right. </w:t>
      </w:r>
      <w:proofErr w:type="spellStart"/>
      <w:r w:rsidRPr="005F5CF4">
        <w:t>Tranfield</w:t>
      </w:r>
      <w:proofErr w:type="spellEnd"/>
      <w:r w:rsidRPr="005F5CF4">
        <w:t xml:space="preserve">, Denyer and Smart (2003) and Okoli (2015) emphasise that standalone reviews can generate novel insights by systematically synthesising fragmented bodies of knowledge—a point that holds particularly true for emerging and interdisciplinary areas such as </w:t>
      </w:r>
      <w:r w:rsidR="00023E23">
        <w:t>NFIA</w:t>
      </w:r>
      <w:r w:rsidRPr="005F5CF4">
        <w:t>. In this context, and drawing on the miner–prospector continuum proposed by Breslin and Gatrell (2023), this review is positioned towards the prospector end of the spectrum. It seeks not only to consolidate and problematise prior empirical findings, but also to prepare the ground for more complex and theoretically informed analyses in subsequent stages of the study.</w:t>
      </w:r>
    </w:p>
    <w:p w14:paraId="2715EF70" w14:textId="180055CA" w:rsidR="005F5CF4" w:rsidRPr="005F5CF4" w:rsidRDefault="005F5CF4" w:rsidP="005F5CF4">
      <w:pPr>
        <w:pStyle w:val="ListParagraph"/>
        <w:widowControl w:val="0"/>
        <w:spacing w:after="160"/>
        <w:ind w:left="360" w:firstLine="491"/>
        <w:jc w:val="both"/>
      </w:pPr>
      <w:r w:rsidRPr="005F5CF4">
        <w:t xml:space="preserve">The </w:t>
      </w:r>
      <w:r w:rsidR="00023E23">
        <w:t>SLR</w:t>
      </w:r>
      <w:r w:rsidRPr="005F5CF4">
        <w:t xml:space="preserve"> approach adopted here aligns with the four key benchmarks for impactful reviews—rigour, generativity, scope and transparency—proposed by Fan, Breslin, Callahan and </w:t>
      </w:r>
      <w:proofErr w:type="spellStart"/>
      <w:r w:rsidRPr="005F5CF4">
        <w:t>Iszatt</w:t>
      </w:r>
      <w:proofErr w:type="spellEnd"/>
      <w:r w:rsidRPr="005F5CF4">
        <w:t xml:space="preserve">‐White (2022). Accordingly, the review follows best-practice guidelines designed to reduce bias and minimise author subjectivity through the application of a consistent and transparent protocol for identifying, selecting and synthesising prior research (Snyder, 2019; </w:t>
      </w:r>
      <w:proofErr w:type="spellStart"/>
      <w:r w:rsidRPr="005F5CF4">
        <w:t>Linnenluecke</w:t>
      </w:r>
      <w:proofErr w:type="spellEnd"/>
      <w:r w:rsidRPr="005F5CF4">
        <w:t xml:space="preserve">, Marrone and Singh, 2020). Importantly, SLRs are not only gaining prominence within general management scholarship but are also increasingly adopted in accounting research to support conceptual synthesis and inform future research agendas (Massaro, Dumay and Guthrie, 2016). In this respect, the use of an SLR is both appropriate and timely for the present study. Okoli (2015, p. 880) further defines systematic reviews by four core attributes: a clearly defined methodological approach, explicit procedural documentation, comprehensive scope and reproducibility. These principles underpin the design and execution of the current review. Consistent with this view, </w:t>
      </w:r>
      <w:proofErr w:type="spellStart"/>
      <w:r w:rsidRPr="005F5CF4">
        <w:t>Donthu</w:t>
      </w:r>
      <w:proofErr w:type="spellEnd"/>
      <w:r w:rsidRPr="005F5CF4">
        <w:t xml:space="preserve">, Kumar, Mukherjee, Pandey and Lim (2021) argue that systematic reviews are most effective when the research scope is well defined and the dataset is of a </w:t>
      </w:r>
      <w:r w:rsidRPr="005F5CF4">
        <w:lastRenderedPageBreak/>
        <w:t>manageable size—criteria that are satisfied by the present study.</w:t>
      </w:r>
    </w:p>
    <w:p w14:paraId="0F8F6366" w14:textId="77777777" w:rsidR="005F5CF4" w:rsidRPr="005F5CF4" w:rsidRDefault="005F5CF4" w:rsidP="005F5CF4">
      <w:pPr>
        <w:pStyle w:val="ListParagraph"/>
        <w:widowControl w:val="0"/>
        <w:spacing w:after="160"/>
        <w:ind w:left="360" w:firstLine="491"/>
        <w:jc w:val="both"/>
      </w:pPr>
      <w:r w:rsidRPr="005F5CF4">
        <w:t xml:space="preserve">To identify relevant literature across all major domains of NFIA from 1990 to 2025, a series of methodological decisions were made regarding database selection, search strategy and inclusion and exclusion criteria. The search strategy followed the guidance of Snyder (2019) and relied on systematic keyword identification. Consistent with the approach adopted by Wang, </w:t>
      </w:r>
      <w:proofErr w:type="spellStart"/>
      <w:r w:rsidRPr="005F5CF4">
        <w:t>Scells</w:t>
      </w:r>
      <w:proofErr w:type="spellEnd"/>
      <w:r w:rsidRPr="005F5CF4">
        <w:t xml:space="preserve">, Koopman and </w:t>
      </w:r>
      <w:proofErr w:type="spellStart"/>
      <w:r w:rsidRPr="005F5CF4">
        <w:t>Zuccon</w:t>
      </w:r>
      <w:proofErr w:type="spellEnd"/>
      <w:r w:rsidRPr="005F5CF4">
        <w:t xml:space="preserve"> (2023), Boolean operators (AND, OR) were used to combine relevant search terms. Drawing on insights from the auditing literature (Hasan et al., 2005) as well as widely used auditing textbooks (Moroney et al., 2020), a broad and inclusive set of keywords was developed for the initial database search, as summarised in Table 1 below.</w:t>
      </w:r>
    </w:p>
    <w:tbl>
      <w:tblPr>
        <w:tblStyle w:val="TableGrid"/>
        <w:tblW w:w="7513" w:type="dxa"/>
        <w:tblInd w:w="562" w:type="dxa"/>
        <w:tblLook w:val="04A0" w:firstRow="1" w:lastRow="0" w:firstColumn="1" w:lastColumn="0" w:noHBand="0" w:noVBand="1"/>
      </w:tblPr>
      <w:tblGrid>
        <w:gridCol w:w="2765"/>
        <w:gridCol w:w="4748"/>
      </w:tblGrid>
      <w:tr w:rsidR="00C94821" w:rsidRPr="00CD0DFB" w14:paraId="4E49D244" w14:textId="77777777" w:rsidTr="008526BA">
        <w:tc>
          <w:tcPr>
            <w:tcW w:w="2765" w:type="dxa"/>
          </w:tcPr>
          <w:p w14:paraId="4A706377" w14:textId="6CB01EFD" w:rsidR="00C94821" w:rsidRPr="00CD0DFB" w:rsidRDefault="00C94821" w:rsidP="008526BA">
            <w:pPr>
              <w:rPr>
                <w:b/>
                <w:bCs/>
                <w:szCs w:val="22"/>
              </w:rPr>
            </w:pPr>
            <w:r w:rsidRPr="00CD0DFB">
              <w:rPr>
                <w:b/>
                <w:bCs/>
                <w:szCs w:val="22"/>
              </w:rPr>
              <w:t xml:space="preserve">NFIA </w:t>
            </w:r>
            <w:r w:rsidR="00EE7F56">
              <w:rPr>
                <w:b/>
                <w:bCs/>
                <w:szCs w:val="22"/>
              </w:rPr>
              <w:t>s</w:t>
            </w:r>
            <w:r w:rsidR="00EE7F56" w:rsidRPr="00EE7F56">
              <w:rPr>
                <w:b/>
                <w:bCs/>
                <w:szCs w:val="22"/>
              </w:rPr>
              <w:t xml:space="preserve">ubject </w:t>
            </w:r>
            <w:r w:rsidR="00EE7F56">
              <w:rPr>
                <w:b/>
                <w:bCs/>
                <w:szCs w:val="22"/>
              </w:rPr>
              <w:t>d</w:t>
            </w:r>
            <w:r w:rsidR="00EE7F56" w:rsidRPr="00EE7F56">
              <w:rPr>
                <w:b/>
                <w:bCs/>
                <w:szCs w:val="22"/>
              </w:rPr>
              <w:t>omains</w:t>
            </w:r>
          </w:p>
        </w:tc>
        <w:tc>
          <w:tcPr>
            <w:tcW w:w="4748" w:type="dxa"/>
          </w:tcPr>
          <w:p w14:paraId="54A4B893" w14:textId="77777777" w:rsidR="00C94821" w:rsidRPr="00CD0DFB" w:rsidRDefault="00C94821" w:rsidP="008526BA">
            <w:pPr>
              <w:rPr>
                <w:b/>
                <w:bCs/>
                <w:szCs w:val="22"/>
              </w:rPr>
            </w:pPr>
            <w:r w:rsidRPr="00CD0DFB">
              <w:rPr>
                <w:b/>
                <w:bCs/>
                <w:szCs w:val="22"/>
              </w:rPr>
              <w:t>Keywords</w:t>
            </w:r>
          </w:p>
        </w:tc>
      </w:tr>
      <w:tr w:rsidR="00C94821" w:rsidRPr="00CD0DFB" w14:paraId="5A00ED89" w14:textId="77777777" w:rsidTr="008526BA">
        <w:tc>
          <w:tcPr>
            <w:tcW w:w="2765" w:type="dxa"/>
          </w:tcPr>
          <w:p w14:paraId="01146601" w14:textId="77777777" w:rsidR="00C94821" w:rsidRPr="00CD0DFB" w:rsidRDefault="00C94821" w:rsidP="008526BA">
            <w:pPr>
              <w:rPr>
                <w:szCs w:val="22"/>
              </w:rPr>
            </w:pPr>
            <w:r w:rsidRPr="00CD0DFB">
              <w:rPr>
                <w:szCs w:val="22"/>
              </w:rPr>
              <w:t>Environment(al)</w:t>
            </w:r>
          </w:p>
        </w:tc>
        <w:tc>
          <w:tcPr>
            <w:tcW w:w="4748" w:type="dxa"/>
            <w:vAlign w:val="center"/>
          </w:tcPr>
          <w:p w14:paraId="0699EC0A" w14:textId="77777777" w:rsidR="00C94821" w:rsidRPr="00CD0DFB" w:rsidRDefault="00C94821" w:rsidP="008526BA">
            <w:pPr>
              <w:rPr>
                <w:szCs w:val="22"/>
              </w:rPr>
            </w:pPr>
            <w:r w:rsidRPr="00CD0DFB">
              <w:rPr>
                <w:rFonts w:eastAsia="DengXian"/>
                <w:color w:val="000000"/>
                <w:szCs w:val="22"/>
              </w:rPr>
              <w:t>environmental audit, environmental assurance, externality audit, pollution audit</w:t>
            </w:r>
          </w:p>
        </w:tc>
      </w:tr>
      <w:tr w:rsidR="00C94821" w:rsidRPr="00CD0DFB" w14:paraId="0A26309A" w14:textId="77777777" w:rsidTr="008526BA">
        <w:tc>
          <w:tcPr>
            <w:tcW w:w="2765" w:type="dxa"/>
          </w:tcPr>
          <w:p w14:paraId="70A5850E" w14:textId="77777777" w:rsidR="00C94821" w:rsidRPr="00CD0DFB" w:rsidRDefault="00C94821" w:rsidP="008526BA">
            <w:pPr>
              <w:rPr>
                <w:szCs w:val="22"/>
              </w:rPr>
            </w:pPr>
            <w:r w:rsidRPr="00CD0DFB">
              <w:rPr>
                <w:szCs w:val="22"/>
              </w:rPr>
              <w:t>Compliance</w:t>
            </w:r>
          </w:p>
        </w:tc>
        <w:tc>
          <w:tcPr>
            <w:tcW w:w="4748" w:type="dxa"/>
            <w:vAlign w:val="center"/>
          </w:tcPr>
          <w:p w14:paraId="18EE5456" w14:textId="77777777" w:rsidR="00C94821" w:rsidRPr="00CD0DFB" w:rsidRDefault="00C94821" w:rsidP="008526BA">
            <w:pPr>
              <w:rPr>
                <w:szCs w:val="22"/>
              </w:rPr>
            </w:pPr>
            <w:r w:rsidRPr="00CD0DFB">
              <w:rPr>
                <w:rFonts w:eastAsia="DengXian"/>
                <w:color w:val="000000"/>
                <w:szCs w:val="22"/>
              </w:rPr>
              <w:t xml:space="preserve">compliance audit, compliance assurance </w:t>
            </w:r>
          </w:p>
        </w:tc>
      </w:tr>
      <w:tr w:rsidR="00C94821" w:rsidRPr="00CD0DFB" w14:paraId="367EFC7A" w14:textId="77777777" w:rsidTr="008526BA">
        <w:tc>
          <w:tcPr>
            <w:tcW w:w="2765" w:type="dxa"/>
          </w:tcPr>
          <w:p w14:paraId="762330C0" w14:textId="77777777" w:rsidR="00C94821" w:rsidRPr="00CD0DFB" w:rsidRDefault="00C94821" w:rsidP="008526BA">
            <w:pPr>
              <w:rPr>
                <w:szCs w:val="22"/>
              </w:rPr>
            </w:pPr>
            <w:r w:rsidRPr="00CD0DFB">
              <w:rPr>
                <w:szCs w:val="22"/>
              </w:rPr>
              <w:t>Performance</w:t>
            </w:r>
          </w:p>
        </w:tc>
        <w:tc>
          <w:tcPr>
            <w:tcW w:w="4748" w:type="dxa"/>
            <w:vAlign w:val="center"/>
          </w:tcPr>
          <w:p w14:paraId="3F12276B" w14:textId="77777777" w:rsidR="00C94821" w:rsidRPr="00CD0DFB" w:rsidRDefault="00C94821" w:rsidP="008526BA">
            <w:pPr>
              <w:rPr>
                <w:szCs w:val="22"/>
              </w:rPr>
            </w:pPr>
            <w:r w:rsidRPr="00CD0DFB">
              <w:rPr>
                <w:rFonts w:eastAsia="DengXian"/>
                <w:color w:val="000000"/>
                <w:szCs w:val="22"/>
              </w:rPr>
              <w:t>performance audit, efficiency audit, effectiveness audit, government program audit</w:t>
            </w:r>
          </w:p>
        </w:tc>
      </w:tr>
      <w:tr w:rsidR="00C94821" w:rsidRPr="00CD0DFB" w14:paraId="07D0A186" w14:textId="77777777" w:rsidTr="008526BA">
        <w:tc>
          <w:tcPr>
            <w:tcW w:w="2765" w:type="dxa"/>
          </w:tcPr>
          <w:p w14:paraId="40A8AE89" w14:textId="77777777" w:rsidR="00C94821" w:rsidRPr="00CD0DFB" w:rsidRDefault="00C94821" w:rsidP="008526BA">
            <w:pPr>
              <w:rPr>
                <w:szCs w:val="22"/>
              </w:rPr>
            </w:pPr>
            <w:r w:rsidRPr="00CD0DFB">
              <w:rPr>
                <w:szCs w:val="22"/>
              </w:rPr>
              <w:t>ISO</w:t>
            </w:r>
          </w:p>
        </w:tc>
        <w:tc>
          <w:tcPr>
            <w:tcW w:w="4748" w:type="dxa"/>
            <w:vAlign w:val="center"/>
          </w:tcPr>
          <w:p w14:paraId="223C8BEC" w14:textId="77777777" w:rsidR="00C94821" w:rsidRPr="00CD0DFB" w:rsidRDefault="00C94821" w:rsidP="008526BA">
            <w:pPr>
              <w:rPr>
                <w:szCs w:val="22"/>
              </w:rPr>
            </w:pPr>
            <w:r w:rsidRPr="00CD0DFB">
              <w:rPr>
                <w:rFonts w:eastAsia="DengXian"/>
                <w:color w:val="000000"/>
                <w:szCs w:val="22"/>
              </w:rPr>
              <w:t>ISO audit, ISO assurance</w:t>
            </w:r>
          </w:p>
        </w:tc>
      </w:tr>
      <w:tr w:rsidR="00C94821" w:rsidRPr="00CD0DFB" w14:paraId="4C489B7E" w14:textId="77777777" w:rsidTr="008526BA">
        <w:tc>
          <w:tcPr>
            <w:tcW w:w="2765" w:type="dxa"/>
          </w:tcPr>
          <w:p w14:paraId="69D13B6A" w14:textId="77777777" w:rsidR="00C94821" w:rsidRPr="00CD0DFB" w:rsidRDefault="00C94821" w:rsidP="008526BA">
            <w:pPr>
              <w:rPr>
                <w:szCs w:val="22"/>
              </w:rPr>
            </w:pPr>
            <w:proofErr w:type="spellStart"/>
            <w:r w:rsidRPr="00CD0DFB">
              <w:rPr>
                <w:szCs w:val="22"/>
              </w:rPr>
              <w:t>Webtrust</w:t>
            </w:r>
            <w:proofErr w:type="spellEnd"/>
          </w:p>
        </w:tc>
        <w:tc>
          <w:tcPr>
            <w:tcW w:w="4748" w:type="dxa"/>
            <w:vAlign w:val="center"/>
          </w:tcPr>
          <w:p w14:paraId="1AE13205" w14:textId="77777777" w:rsidR="00C94821" w:rsidRPr="00CD0DFB" w:rsidRDefault="00C94821" w:rsidP="008526BA">
            <w:pPr>
              <w:rPr>
                <w:szCs w:val="22"/>
              </w:rPr>
            </w:pPr>
            <w:proofErr w:type="spellStart"/>
            <w:r w:rsidRPr="00CD0DFB">
              <w:rPr>
                <w:rFonts w:eastAsia="DengXian"/>
                <w:color w:val="000000"/>
                <w:szCs w:val="22"/>
              </w:rPr>
              <w:t>WebTrust</w:t>
            </w:r>
            <w:proofErr w:type="spellEnd"/>
            <w:r w:rsidRPr="00CD0DFB">
              <w:rPr>
                <w:rFonts w:eastAsia="DengXian"/>
                <w:color w:val="000000"/>
                <w:szCs w:val="22"/>
              </w:rPr>
              <w:t xml:space="preserve"> assurance, </w:t>
            </w:r>
            <w:proofErr w:type="spellStart"/>
            <w:r w:rsidRPr="00CD0DFB">
              <w:rPr>
                <w:rFonts w:eastAsia="DengXian"/>
                <w:color w:val="000000"/>
                <w:szCs w:val="22"/>
              </w:rPr>
              <w:t>WebTrust</w:t>
            </w:r>
            <w:proofErr w:type="spellEnd"/>
            <w:r w:rsidRPr="00CD0DFB">
              <w:rPr>
                <w:rFonts w:eastAsia="DengXian"/>
                <w:color w:val="000000"/>
                <w:szCs w:val="22"/>
              </w:rPr>
              <w:t xml:space="preserve"> audit, e-commerce assurance</w:t>
            </w:r>
          </w:p>
        </w:tc>
      </w:tr>
      <w:tr w:rsidR="00C94821" w:rsidRPr="00CD0DFB" w14:paraId="68246132" w14:textId="77777777" w:rsidTr="008526BA">
        <w:tc>
          <w:tcPr>
            <w:tcW w:w="2765" w:type="dxa"/>
          </w:tcPr>
          <w:p w14:paraId="18821B06" w14:textId="77777777" w:rsidR="00C94821" w:rsidRPr="00CD0DFB" w:rsidRDefault="00C94821" w:rsidP="008526BA">
            <w:pPr>
              <w:rPr>
                <w:szCs w:val="22"/>
              </w:rPr>
            </w:pPr>
            <w:r w:rsidRPr="00CD0DFB">
              <w:rPr>
                <w:szCs w:val="22"/>
              </w:rPr>
              <w:t>Sustainability</w:t>
            </w:r>
          </w:p>
        </w:tc>
        <w:tc>
          <w:tcPr>
            <w:tcW w:w="4748" w:type="dxa"/>
            <w:vAlign w:val="center"/>
          </w:tcPr>
          <w:p w14:paraId="52537E62" w14:textId="77777777" w:rsidR="00C94821" w:rsidRPr="00CD0DFB" w:rsidRDefault="00C94821" w:rsidP="008526BA">
            <w:pPr>
              <w:rPr>
                <w:szCs w:val="22"/>
              </w:rPr>
            </w:pPr>
            <w:r w:rsidRPr="00CD0DFB">
              <w:rPr>
                <w:rFonts w:eastAsia="DengXian"/>
                <w:color w:val="000000"/>
                <w:szCs w:val="22"/>
              </w:rPr>
              <w:t>sustainability audit, sustainability assurance</w:t>
            </w:r>
          </w:p>
        </w:tc>
      </w:tr>
      <w:tr w:rsidR="00C94821" w:rsidRPr="00CD0DFB" w14:paraId="10BC50DE" w14:textId="77777777" w:rsidTr="008526BA">
        <w:tc>
          <w:tcPr>
            <w:tcW w:w="2765" w:type="dxa"/>
          </w:tcPr>
          <w:p w14:paraId="56B1B512" w14:textId="77777777" w:rsidR="00C94821" w:rsidRPr="00CD0DFB" w:rsidRDefault="00C94821" w:rsidP="008526BA">
            <w:pPr>
              <w:rPr>
                <w:szCs w:val="22"/>
              </w:rPr>
            </w:pPr>
            <w:r w:rsidRPr="00CD0DFB">
              <w:rPr>
                <w:szCs w:val="22"/>
              </w:rPr>
              <w:t>CSR</w:t>
            </w:r>
          </w:p>
        </w:tc>
        <w:tc>
          <w:tcPr>
            <w:tcW w:w="4748" w:type="dxa"/>
            <w:vAlign w:val="center"/>
          </w:tcPr>
          <w:p w14:paraId="7A7C61AE" w14:textId="77777777" w:rsidR="00C94821" w:rsidRPr="00CD0DFB" w:rsidRDefault="00C94821" w:rsidP="008526BA">
            <w:pPr>
              <w:rPr>
                <w:szCs w:val="22"/>
              </w:rPr>
            </w:pPr>
            <w:r w:rsidRPr="00CD0DFB">
              <w:rPr>
                <w:rFonts w:eastAsia="DengXian"/>
                <w:color w:val="000000"/>
                <w:szCs w:val="22"/>
              </w:rPr>
              <w:t>corporate social responsibility audit, CSR assurance, CSR audit, social responsibility assurance, corporate citizenship audit</w:t>
            </w:r>
          </w:p>
        </w:tc>
      </w:tr>
      <w:tr w:rsidR="00C94821" w:rsidRPr="00CD0DFB" w14:paraId="0A1BE8C8" w14:textId="77777777" w:rsidTr="008526BA">
        <w:tc>
          <w:tcPr>
            <w:tcW w:w="2765" w:type="dxa"/>
          </w:tcPr>
          <w:p w14:paraId="2377037B" w14:textId="77777777" w:rsidR="00C94821" w:rsidRPr="00CD0DFB" w:rsidRDefault="00C94821" w:rsidP="008526BA">
            <w:pPr>
              <w:rPr>
                <w:szCs w:val="22"/>
              </w:rPr>
            </w:pPr>
            <w:r w:rsidRPr="00CD0DFB">
              <w:rPr>
                <w:szCs w:val="22"/>
              </w:rPr>
              <w:t>ESG</w:t>
            </w:r>
          </w:p>
        </w:tc>
        <w:tc>
          <w:tcPr>
            <w:tcW w:w="4748" w:type="dxa"/>
            <w:vAlign w:val="center"/>
          </w:tcPr>
          <w:p w14:paraId="27CD4D51" w14:textId="77777777" w:rsidR="00C94821" w:rsidRPr="00CD0DFB" w:rsidRDefault="00C94821" w:rsidP="008526BA">
            <w:pPr>
              <w:rPr>
                <w:szCs w:val="22"/>
              </w:rPr>
            </w:pPr>
            <w:r w:rsidRPr="00CD0DFB">
              <w:rPr>
                <w:rFonts w:eastAsia="DengXian"/>
                <w:color w:val="000000"/>
                <w:szCs w:val="22"/>
              </w:rPr>
              <w:t>environmental, social, and governance audit, ESG assurance, ESG performance audit, ESG performance assurance</w:t>
            </w:r>
          </w:p>
        </w:tc>
      </w:tr>
      <w:tr w:rsidR="00C94821" w:rsidRPr="00CD0DFB" w14:paraId="3981C682" w14:textId="77777777" w:rsidTr="008526BA">
        <w:tc>
          <w:tcPr>
            <w:tcW w:w="2765" w:type="dxa"/>
          </w:tcPr>
          <w:p w14:paraId="6BBDF7A7" w14:textId="77777777" w:rsidR="00C94821" w:rsidRPr="00CD0DFB" w:rsidRDefault="00C94821" w:rsidP="008526BA">
            <w:pPr>
              <w:rPr>
                <w:szCs w:val="22"/>
              </w:rPr>
            </w:pPr>
            <w:r w:rsidRPr="00CD0DFB">
              <w:rPr>
                <w:szCs w:val="22"/>
              </w:rPr>
              <w:t>Carbon (GHG)</w:t>
            </w:r>
          </w:p>
        </w:tc>
        <w:tc>
          <w:tcPr>
            <w:tcW w:w="4748" w:type="dxa"/>
            <w:vAlign w:val="center"/>
          </w:tcPr>
          <w:p w14:paraId="71D2A7F1" w14:textId="77777777" w:rsidR="00C94821" w:rsidRPr="00CD0DFB" w:rsidRDefault="00C94821" w:rsidP="008526BA">
            <w:pPr>
              <w:rPr>
                <w:szCs w:val="22"/>
              </w:rPr>
            </w:pPr>
            <w:r w:rsidRPr="00CD0DFB">
              <w:rPr>
                <w:rFonts w:eastAsia="DengXian"/>
                <w:color w:val="000000"/>
                <w:szCs w:val="22"/>
              </w:rPr>
              <w:t>greenhouse gas emission audit, carbon audit, emissions assurance, GHG audit, GHG assurance, carbon verification</w:t>
            </w:r>
          </w:p>
        </w:tc>
      </w:tr>
    </w:tbl>
    <w:p w14:paraId="6EB3208F" w14:textId="05F4CAD9" w:rsidR="00C94821" w:rsidRPr="00CD0DFB" w:rsidRDefault="00C94821" w:rsidP="00C94821">
      <w:pPr>
        <w:ind w:leftChars="257" w:left="617"/>
        <w:rPr>
          <w:i/>
          <w:iCs/>
        </w:rPr>
      </w:pPr>
      <w:r w:rsidRPr="00CD0DFB">
        <w:rPr>
          <w:b/>
          <w:bCs/>
        </w:rPr>
        <w:t xml:space="preserve">Table 1. </w:t>
      </w:r>
      <w:r w:rsidR="00FD4416" w:rsidRPr="00FD4416">
        <w:rPr>
          <w:b/>
          <w:bCs/>
        </w:rPr>
        <w:t>NFIA subject domains and associated search keywords</w:t>
      </w:r>
      <w:r w:rsidR="00FD4416">
        <w:rPr>
          <w:b/>
          <w:bCs/>
        </w:rPr>
        <w:br/>
      </w:r>
      <w:r w:rsidRPr="00CD0DFB">
        <w:rPr>
          <w:i/>
          <w:iCs/>
        </w:rPr>
        <w:t>Source: Developed by the author using Boolean search strategies informed by Wang et al. (2023), Hasan et al. (2005), and Moroney et al. (2020)</w:t>
      </w:r>
    </w:p>
    <w:p w14:paraId="0404E275" w14:textId="77777777" w:rsidR="00C94821" w:rsidRDefault="00C94821" w:rsidP="005F5CF4">
      <w:pPr>
        <w:pStyle w:val="ListParagraph"/>
        <w:ind w:left="360" w:firstLine="491"/>
        <w:jc w:val="both"/>
        <w:rPr>
          <w:i/>
          <w:iCs/>
        </w:rPr>
      </w:pPr>
    </w:p>
    <w:p w14:paraId="4AD9F76B" w14:textId="4025C50A" w:rsidR="006F5282" w:rsidRDefault="006F5282" w:rsidP="005F5CF4">
      <w:pPr>
        <w:pStyle w:val="ListParagraph"/>
        <w:ind w:left="360" w:firstLine="491"/>
        <w:jc w:val="both"/>
      </w:pPr>
      <w:r w:rsidRPr="006F5282">
        <w:rPr>
          <w:lang w:val="en-US"/>
        </w:rPr>
        <w:t xml:space="preserve">As this review aims to capture high-quality accounting and auditing research over a 35-year period, keyword-based searches were conducted across four of the most comprehensive and commonly used platforms in management and accounting research—Scopus, EBSCO, Web of Science and ProQuest—in order to </w:t>
      </w:r>
      <w:proofErr w:type="spellStart"/>
      <w:r w:rsidRPr="006F5282">
        <w:rPr>
          <w:lang w:val="en-US"/>
        </w:rPr>
        <w:t>minimise</w:t>
      </w:r>
      <w:proofErr w:type="spellEnd"/>
      <w:r w:rsidRPr="006F5282">
        <w:rPr>
          <w:lang w:val="en-US"/>
        </w:rPr>
        <w:t xml:space="preserve"> the risk of omission. Article identification and selection followed a set of predefined inclusion and exclusion criteria: (1) only peer-reviewed articles published in “A” or “A*” accounting and auditing journals listed in the 2022 ABDC Journal Quality List; (2) only English-language publications; (3) only empirical studies, with conceptual papers and policy commentaries excluded; and (4) only articles with substantive relevance to auditing and assurance, </w:t>
      </w:r>
      <w:r w:rsidRPr="006F5282">
        <w:rPr>
          <w:lang w:val="en-US"/>
        </w:rPr>
        <w:lastRenderedPageBreak/>
        <w:t>excluding studies that mention these topics only tangentially without meaningful engagement.</w:t>
      </w:r>
      <w:r w:rsidRPr="006F5282">
        <w:t xml:space="preserve"> </w:t>
      </w:r>
    </w:p>
    <w:p w14:paraId="4BED2E2B" w14:textId="6BA5988B" w:rsidR="005F5CF4" w:rsidRDefault="005F5CF4" w:rsidP="005F5CF4">
      <w:pPr>
        <w:pStyle w:val="ListParagraph"/>
        <w:ind w:left="360" w:firstLine="491"/>
        <w:jc w:val="both"/>
      </w:pPr>
      <w:r w:rsidRPr="005F5CF4">
        <w:t xml:space="preserve">The review process commenced with the identification of relevant journals from the 2022 ABDC Journal Quality List. Journals were initially selected based on titles containing the terms “accounting”, “audit” or “auditing”, with a small number of exceptions (for example, </w:t>
      </w:r>
      <w:r w:rsidRPr="005F5CF4">
        <w:rPr>
          <w:rFonts w:eastAsiaTheme="majorEastAsia"/>
          <w:i/>
          <w:iCs/>
        </w:rPr>
        <w:t>Abacus</w:t>
      </w:r>
      <w:r w:rsidRPr="005F5CF4">
        <w:t xml:space="preserve"> and the </w:t>
      </w:r>
      <w:r w:rsidRPr="005F5CF4">
        <w:rPr>
          <w:rFonts w:eastAsiaTheme="majorEastAsia"/>
          <w:i/>
          <w:iCs/>
        </w:rPr>
        <w:t>Journal of Business Ethics</w:t>
      </w:r>
      <w:r w:rsidRPr="005F5CF4">
        <w:t>) included on the basis of their demonstrated relevance to auditing and assurance research. The resulting list comprised 41 journals and is reported in Table 2.</w:t>
      </w:r>
    </w:p>
    <w:tbl>
      <w:tblPr>
        <w:tblW w:w="9188" w:type="dxa"/>
        <w:tblLook w:val="04A0" w:firstRow="1" w:lastRow="0" w:firstColumn="1" w:lastColumn="0" w:noHBand="0" w:noVBand="1"/>
      </w:tblPr>
      <w:tblGrid>
        <w:gridCol w:w="460"/>
        <w:gridCol w:w="5856"/>
        <w:gridCol w:w="1356"/>
        <w:gridCol w:w="1608"/>
      </w:tblGrid>
      <w:tr w:rsidR="00A83C0D" w:rsidRPr="00A83C0D" w14:paraId="49942364" w14:textId="77777777" w:rsidTr="00A83C0D">
        <w:trPr>
          <w:trHeight w:val="330"/>
        </w:trPr>
        <w:tc>
          <w:tcPr>
            <w:tcW w:w="368" w:type="dxa"/>
            <w:tcBorders>
              <w:top w:val="single" w:sz="8" w:space="0" w:color="auto"/>
              <w:left w:val="single" w:sz="8" w:space="0" w:color="auto"/>
              <w:bottom w:val="single" w:sz="8" w:space="0" w:color="auto"/>
              <w:right w:val="nil"/>
            </w:tcBorders>
            <w:shd w:val="clear" w:color="000000" w:fill="FFFFFF"/>
            <w:noWrap/>
            <w:vAlign w:val="bottom"/>
            <w:hideMark/>
          </w:tcPr>
          <w:p w14:paraId="7E9DA6ED" w14:textId="77777777" w:rsidR="00A83C0D" w:rsidRPr="00A83C0D" w:rsidRDefault="00A83C0D" w:rsidP="00A83C0D">
            <w:pPr>
              <w:rPr>
                <w:rFonts w:ascii="Calibri" w:hAnsi="Calibri" w:cs="Calibri"/>
                <w:color w:val="000000"/>
              </w:rPr>
            </w:pPr>
            <w:r w:rsidRPr="00A83C0D">
              <w:rPr>
                <w:rFonts w:ascii="Calibri" w:hAnsi="Calibri" w:cs="Calibri"/>
                <w:color w:val="000000"/>
              </w:rPr>
              <w:t> </w:t>
            </w:r>
          </w:p>
        </w:tc>
        <w:tc>
          <w:tcPr>
            <w:tcW w:w="5856" w:type="dxa"/>
            <w:tcBorders>
              <w:top w:val="single" w:sz="8" w:space="0" w:color="auto"/>
              <w:left w:val="nil"/>
              <w:bottom w:val="single" w:sz="8" w:space="0" w:color="auto"/>
              <w:right w:val="nil"/>
            </w:tcBorders>
            <w:shd w:val="clear" w:color="000000" w:fill="FFFFFF"/>
            <w:noWrap/>
            <w:vAlign w:val="bottom"/>
            <w:hideMark/>
          </w:tcPr>
          <w:p w14:paraId="0119C02C" w14:textId="77777777" w:rsidR="00A83C0D" w:rsidRPr="00A83C0D" w:rsidRDefault="00A83C0D" w:rsidP="00A83C0D">
            <w:pPr>
              <w:rPr>
                <w:rFonts w:ascii="Calibri" w:hAnsi="Calibri" w:cs="Calibri"/>
                <w:b/>
                <w:bCs/>
                <w:color w:val="000000"/>
              </w:rPr>
            </w:pPr>
            <w:r w:rsidRPr="00A83C0D">
              <w:rPr>
                <w:rFonts w:ascii="Calibri" w:hAnsi="Calibri" w:cs="Calibri"/>
                <w:b/>
                <w:bCs/>
                <w:color w:val="000000"/>
              </w:rPr>
              <w:t>Journal Title</w:t>
            </w:r>
          </w:p>
        </w:tc>
        <w:tc>
          <w:tcPr>
            <w:tcW w:w="1356" w:type="dxa"/>
            <w:tcBorders>
              <w:top w:val="single" w:sz="8" w:space="0" w:color="auto"/>
              <w:left w:val="nil"/>
              <w:bottom w:val="single" w:sz="8" w:space="0" w:color="auto"/>
              <w:right w:val="nil"/>
            </w:tcBorders>
            <w:shd w:val="clear" w:color="000000" w:fill="FFFFFF"/>
            <w:noWrap/>
            <w:vAlign w:val="bottom"/>
            <w:hideMark/>
          </w:tcPr>
          <w:p w14:paraId="53EE0504" w14:textId="77777777" w:rsidR="00A83C0D" w:rsidRPr="00A83C0D" w:rsidRDefault="00A83C0D" w:rsidP="00A83C0D">
            <w:pPr>
              <w:rPr>
                <w:rFonts w:ascii="Calibri" w:hAnsi="Calibri" w:cs="Calibri"/>
                <w:b/>
                <w:bCs/>
                <w:color w:val="000000"/>
              </w:rPr>
            </w:pPr>
            <w:r w:rsidRPr="00A83C0D">
              <w:rPr>
                <w:rFonts w:ascii="Calibri" w:hAnsi="Calibri" w:cs="Calibri"/>
                <w:b/>
                <w:bCs/>
                <w:color w:val="000000"/>
              </w:rPr>
              <w:t>Year Inception</w:t>
            </w:r>
          </w:p>
        </w:tc>
        <w:tc>
          <w:tcPr>
            <w:tcW w:w="1608" w:type="dxa"/>
            <w:tcBorders>
              <w:top w:val="single" w:sz="8" w:space="0" w:color="auto"/>
              <w:left w:val="nil"/>
              <w:bottom w:val="single" w:sz="8" w:space="0" w:color="auto"/>
              <w:right w:val="single" w:sz="8" w:space="0" w:color="auto"/>
            </w:tcBorders>
            <w:shd w:val="clear" w:color="000000" w:fill="FFFFFF"/>
            <w:noWrap/>
            <w:vAlign w:val="bottom"/>
            <w:hideMark/>
          </w:tcPr>
          <w:p w14:paraId="6D434AA9" w14:textId="77777777" w:rsidR="00A83C0D" w:rsidRPr="00A83C0D" w:rsidRDefault="00A83C0D" w:rsidP="00A83C0D">
            <w:pPr>
              <w:rPr>
                <w:rFonts w:ascii="Calibri" w:hAnsi="Calibri" w:cs="Calibri"/>
                <w:b/>
                <w:bCs/>
                <w:color w:val="000000"/>
              </w:rPr>
            </w:pPr>
            <w:r w:rsidRPr="00A83C0D">
              <w:rPr>
                <w:rFonts w:ascii="Calibri" w:hAnsi="Calibri" w:cs="Calibri"/>
                <w:b/>
                <w:bCs/>
                <w:color w:val="000000"/>
              </w:rPr>
              <w:t>2022 rating</w:t>
            </w:r>
          </w:p>
        </w:tc>
      </w:tr>
      <w:tr w:rsidR="00A83C0D" w:rsidRPr="00A83C0D" w14:paraId="60DA6D6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31E7FAE"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1</w:t>
            </w:r>
          </w:p>
        </w:tc>
        <w:tc>
          <w:tcPr>
            <w:tcW w:w="5856" w:type="dxa"/>
            <w:tcBorders>
              <w:top w:val="nil"/>
              <w:left w:val="nil"/>
              <w:bottom w:val="nil"/>
              <w:right w:val="nil"/>
            </w:tcBorders>
            <w:shd w:val="clear" w:color="000000" w:fill="FFFFFF"/>
            <w:noWrap/>
            <w:hideMark/>
          </w:tcPr>
          <w:p w14:paraId="54151392" w14:textId="77777777" w:rsidR="00A83C0D" w:rsidRPr="00A83C0D" w:rsidRDefault="00A83C0D" w:rsidP="00A83C0D">
            <w:pPr>
              <w:rPr>
                <w:rFonts w:ascii="Calibri" w:hAnsi="Calibri" w:cs="Calibri"/>
                <w:color w:val="000000"/>
              </w:rPr>
            </w:pPr>
            <w:r w:rsidRPr="00A83C0D">
              <w:rPr>
                <w:rFonts w:ascii="Calibri" w:hAnsi="Calibri" w:cs="Calibri"/>
                <w:color w:val="000000"/>
              </w:rPr>
              <w:t>Accounting Auditing and Accountability Journal</w:t>
            </w:r>
          </w:p>
        </w:tc>
        <w:tc>
          <w:tcPr>
            <w:tcW w:w="1356" w:type="dxa"/>
            <w:tcBorders>
              <w:top w:val="nil"/>
              <w:left w:val="nil"/>
              <w:bottom w:val="nil"/>
              <w:right w:val="nil"/>
            </w:tcBorders>
            <w:shd w:val="clear" w:color="000000" w:fill="FFFFFF"/>
            <w:noWrap/>
            <w:hideMark/>
          </w:tcPr>
          <w:p w14:paraId="479CAE51"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1988 </w:t>
            </w:r>
          </w:p>
        </w:tc>
        <w:tc>
          <w:tcPr>
            <w:tcW w:w="1608" w:type="dxa"/>
            <w:tcBorders>
              <w:top w:val="nil"/>
              <w:left w:val="nil"/>
              <w:bottom w:val="nil"/>
              <w:right w:val="single" w:sz="8" w:space="0" w:color="auto"/>
            </w:tcBorders>
            <w:shd w:val="clear" w:color="000000" w:fill="FFFFFF"/>
            <w:noWrap/>
            <w:hideMark/>
          </w:tcPr>
          <w:p w14:paraId="60D830F1" w14:textId="77777777" w:rsidR="00A83C0D" w:rsidRPr="00A83C0D" w:rsidRDefault="00A83C0D" w:rsidP="00A83C0D">
            <w:pPr>
              <w:rPr>
                <w:rFonts w:ascii="Calibri" w:hAnsi="Calibri" w:cs="Calibri"/>
                <w:color w:val="000000"/>
              </w:rPr>
            </w:pPr>
            <w:r w:rsidRPr="00A83C0D">
              <w:rPr>
                <w:rFonts w:ascii="Calibri" w:hAnsi="Calibri" w:cs="Calibri"/>
                <w:color w:val="000000"/>
              </w:rPr>
              <w:t>A*</w:t>
            </w:r>
          </w:p>
        </w:tc>
      </w:tr>
      <w:tr w:rsidR="00A83C0D" w:rsidRPr="00A83C0D" w14:paraId="3568051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6A32EA8"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2</w:t>
            </w:r>
          </w:p>
        </w:tc>
        <w:tc>
          <w:tcPr>
            <w:tcW w:w="5856" w:type="dxa"/>
            <w:tcBorders>
              <w:top w:val="nil"/>
              <w:left w:val="nil"/>
              <w:bottom w:val="nil"/>
              <w:right w:val="nil"/>
            </w:tcBorders>
            <w:shd w:val="clear" w:color="000000" w:fill="FFFFFF"/>
            <w:noWrap/>
            <w:hideMark/>
          </w:tcPr>
          <w:p w14:paraId="2D41A5A5" w14:textId="77777777" w:rsidR="00A83C0D" w:rsidRPr="00A83C0D" w:rsidRDefault="00A83C0D" w:rsidP="00A83C0D">
            <w:pPr>
              <w:rPr>
                <w:rFonts w:ascii="Calibri" w:hAnsi="Calibri" w:cs="Calibri"/>
                <w:color w:val="000000"/>
              </w:rPr>
            </w:pPr>
            <w:r w:rsidRPr="00A83C0D">
              <w:rPr>
                <w:rFonts w:ascii="Calibri" w:hAnsi="Calibri" w:cs="Calibri"/>
                <w:color w:val="000000"/>
              </w:rPr>
              <w:t>Accounting, Organizations and Society</w:t>
            </w:r>
          </w:p>
        </w:tc>
        <w:tc>
          <w:tcPr>
            <w:tcW w:w="1356" w:type="dxa"/>
            <w:tcBorders>
              <w:top w:val="nil"/>
              <w:left w:val="nil"/>
              <w:bottom w:val="nil"/>
              <w:right w:val="nil"/>
            </w:tcBorders>
            <w:shd w:val="clear" w:color="000000" w:fill="FFFFFF"/>
            <w:noWrap/>
            <w:hideMark/>
          </w:tcPr>
          <w:p w14:paraId="4A7C70C6"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1976 </w:t>
            </w:r>
          </w:p>
        </w:tc>
        <w:tc>
          <w:tcPr>
            <w:tcW w:w="1608" w:type="dxa"/>
            <w:tcBorders>
              <w:top w:val="nil"/>
              <w:left w:val="nil"/>
              <w:bottom w:val="nil"/>
              <w:right w:val="single" w:sz="8" w:space="0" w:color="auto"/>
            </w:tcBorders>
            <w:shd w:val="clear" w:color="000000" w:fill="FFFFFF"/>
            <w:noWrap/>
            <w:hideMark/>
          </w:tcPr>
          <w:p w14:paraId="22FF40DC"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05C76F5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2986D5D"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3</w:t>
            </w:r>
          </w:p>
        </w:tc>
        <w:tc>
          <w:tcPr>
            <w:tcW w:w="5856" w:type="dxa"/>
            <w:tcBorders>
              <w:top w:val="nil"/>
              <w:left w:val="nil"/>
              <w:bottom w:val="nil"/>
              <w:right w:val="nil"/>
            </w:tcBorders>
            <w:shd w:val="clear" w:color="000000" w:fill="FFFFFF"/>
            <w:noWrap/>
            <w:hideMark/>
          </w:tcPr>
          <w:p w14:paraId="5CA88E75" w14:textId="77777777" w:rsidR="00A83C0D" w:rsidRPr="00A83C0D" w:rsidRDefault="00A83C0D" w:rsidP="00A83C0D">
            <w:pPr>
              <w:rPr>
                <w:rFonts w:ascii="Calibri" w:hAnsi="Calibri" w:cs="Calibri"/>
                <w:color w:val="000000"/>
              </w:rPr>
            </w:pPr>
            <w:r w:rsidRPr="00A83C0D">
              <w:rPr>
                <w:rFonts w:ascii="Calibri" w:hAnsi="Calibri" w:cs="Calibri"/>
                <w:color w:val="000000"/>
              </w:rPr>
              <w:t>Auditing: A Journal of Practice and Theory</w:t>
            </w:r>
          </w:p>
        </w:tc>
        <w:tc>
          <w:tcPr>
            <w:tcW w:w="1356" w:type="dxa"/>
            <w:tcBorders>
              <w:top w:val="nil"/>
              <w:left w:val="nil"/>
              <w:bottom w:val="nil"/>
              <w:right w:val="nil"/>
            </w:tcBorders>
            <w:shd w:val="clear" w:color="000000" w:fill="FFFFFF"/>
            <w:noWrap/>
            <w:hideMark/>
          </w:tcPr>
          <w:p w14:paraId="496DFA24"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1B22168A"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1D10EAC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F075A2F"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4</w:t>
            </w:r>
          </w:p>
        </w:tc>
        <w:tc>
          <w:tcPr>
            <w:tcW w:w="5856" w:type="dxa"/>
            <w:tcBorders>
              <w:top w:val="nil"/>
              <w:left w:val="nil"/>
              <w:bottom w:val="nil"/>
              <w:right w:val="nil"/>
            </w:tcBorders>
            <w:shd w:val="clear" w:color="000000" w:fill="FFFFFF"/>
            <w:noWrap/>
            <w:hideMark/>
          </w:tcPr>
          <w:p w14:paraId="681BA765" w14:textId="77777777" w:rsidR="00A83C0D" w:rsidRPr="00A83C0D" w:rsidRDefault="00A83C0D" w:rsidP="00A83C0D">
            <w:pPr>
              <w:rPr>
                <w:rFonts w:ascii="Calibri" w:hAnsi="Calibri" w:cs="Calibri"/>
                <w:color w:val="000000"/>
              </w:rPr>
            </w:pPr>
            <w:r w:rsidRPr="00A83C0D">
              <w:rPr>
                <w:rFonts w:ascii="Calibri" w:hAnsi="Calibri" w:cs="Calibri"/>
                <w:color w:val="000000"/>
              </w:rPr>
              <w:t>British Accounting Review</w:t>
            </w:r>
          </w:p>
        </w:tc>
        <w:tc>
          <w:tcPr>
            <w:tcW w:w="1356" w:type="dxa"/>
            <w:tcBorders>
              <w:top w:val="nil"/>
              <w:left w:val="nil"/>
              <w:bottom w:val="nil"/>
              <w:right w:val="nil"/>
            </w:tcBorders>
            <w:shd w:val="clear" w:color="000000" w:fill="FFFFFF"/>
            <w:noWrap/>
            <w:hideMark/>
          </w:tcPr>
          <w:p w14:paraId="07F1C43B"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1968 </w:t>
            </w:r>
          </w:p>
        </w:tc>
        <w:tc>
          <w:tcPr>
            <w:tcW w:w="1608" w:type="dxa"/>
            <w:tcBorders>
              <w:top w:val="nil"/>
              <w:left w:val="nil"/>
              <w:bottom w:val="nil"/>
              <w:right w:val="single" w:sz="8" w:space="0" w:color="auto"/>
            </w:tcBorders>
            <w:shd w:val="clear" w:color="000000" w:fill="FFFFFF"/>
            <w:noWrap/>
            <w:hideMark/>
          </w:tcPr>
          <w:p w14:paraId="6101CC8B" w14:textId="77777777" w:rsidR="00A83C0D" w:rsidRPr="00A83C0D" w:rsidRDefault="00A83C0D" w:rsidP="00A83C0D">
            <w:pPr>
              <w:rPr>
                <w:rFonts w:ascii="Calibri" w:hAnsi="Calibri" w:cs="Calibri"/>
                <w:color w:val="000000"/>
              </w:rPr>
            </w:pPr>
            <w:r w:rsidRPr="00A83C0D">
              <w:rPr>
                <w:rFonts w:ascii="Calibri" w:hAnsi="Calibri" w:cs="Calibri"/>
                <w:color w:val="000000"/>
              </w:rPr>
              <w:t>A*</w:t>
            </w:r>
          </w:p>
        </w:tc>
      </w:tr>
      <w:tr w:rsidR="00A83C0D" w:rsidRPr="00A83C0D" w14:paraId="6BE9991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D0BBEEB"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5</w:t>
            </w:r>
          </w:p>
        </w:tc>
        <w:tc>
          <w:tcPr>
            <w:tcW w:w="5856" w:type="dxa"/>
            <w:tcBorders>
              <w:top w:val="nil"/>
              <w:left w:val="nil"/>
              <w:bottom w:val="nil"/>
              <w:right w:val="nil"/>
            </w:tcBorders>
            <w:shd w:val="clear" w:color="000000" w:fill="FFFFFF"/>
            <w:noWrap/>
            <w:hideMark/>
          </w:tcPr>
          <w:p w14:paraId="36A8030E" w14:textId="77777777" w:rsidR="00A83C0D" w:rsidRPr="00A83C0D" w:rsidRDefault="00A83C0D" w:rsidP="00A83C0D">
            <w:pPr>
              <w:rPr>
                <w:rFonts w:ascii="Calibri" w:hAnsi="Calibri" w:cs="Calibri"/>
                <w:color w:val="000000"/>
              </w:rPr>
            </w:pPr>
            <w:r w:rsidRPr="00A83C0D">
              <w:rPr>
                <w:rFonts w:ascii="Calibri" w:hAnsi="Calibri" w:cs="Calibri"/>
                <w:color w:val="000000"/>
              </w:rPr>
              <w:t>Contemporary Accounting Research</w:t>
            </w:r>
          </w:p>
        </w:tc>
        <w:tc>
          <w:tcPr>
            <w:tcW w:w="1356" w:type="dxa"/>
            <w:tcBorders>
              <w:top w:val="nil"/>
              <w:left w:val="nil"/>
              <w:bottom w:val="nil"/>
              <w:right w:val="nil"/>
            </w:tcBorders>
            <w:shd w:val="clear" w:color="000000" w:fill="FFFFFF"/>
            <w:noWrap/>
            <w:hideMark/>
          </w:tcPr>
          <w:p w14:paraId="668A0713"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583E5FAF"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185E8011"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BA3AD85"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6</w:t>
            </w:r>
          </w:p>
        </w:tc>
        <w:tc>
          <w:tcPr>
            <w:tcW w:w="5856" w:type="dxa"/>
            <w:tcBorders>
              <w:top w:val="nil"/>
              <w:left w:val="nil"/>
              <w:bottom w:val="nil"/>
              <w:right w:val="nil"/>
            </w:tcBorders>
            <w:shd w:val="clear" w:color="000000" w:fill="FFFFFF"/>
            <w:noWrap/>
            <w:hideMark/>
          </w:tcPr>
          <w:p w14:paraId="5144CC50" w14:textId="77777777" w:rsidR="00A83C0D" w:rsidRPr="00A83C0D" w:rsidRDefault="00A83C0D" w:rsidP="00A83C0D">
            <w:pPr>
              <w:rPr>
                <w:rFonts w:ascii="Calibri" w:hAnsi="Calibri" w:cs="Calibri"/>
                <w:color w:val="000000"/>
              </w:rPr>
            </w:pPr>
            <w:r w:rsidRPr="00A83C0D">
              <w:rPr>
                <w:rFonts w:ascii="Calibri" w:hAnsi="Calibri" w:cs="Calibri"/>
                <w:color w:val="000000"/>
              </w:rPr>
              <w:t>Journal of Accounting and Economics</w:t>
            </w:r>
          </w:p>
        </w:tc>
        <w:tc>
          <w:tcPr>
            <w:tcW w:w="1356" w:type="dxa"/>
            <w:tcBorders>
              <w:top w:val="nil"/>
              <w:left w:val="nil"/>
              <w:bottom w:val="nil"/>
              <w:right w:val="nil"/>
            </w:tcBorders>
            <w:shd w:val="clear" w:color="000000" w:fill="FFFFFF"/>
            <w:noWrap/>
            <w:hideMark/>
          </w:tcPr>
          <w:p w14:paraId="575F02C9"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1979 </w:t>
            </w:r>
          </w:p>
        </w:tc>
        <w:tc>
          <w:tcPr>
            <w:tcW w:w="1608" w:type="dxa"/>
            <w:tcBorders>
              <w:top w:val="nil"/>
              <w:left w:val="nil"/>
              <w:bottom w:val="nil"/>
              <w:right w:val="single" w:sz="8" w:space="0" w:color="auto"/>
            </w:tcBorders>
            <w:shd w:val="clear" w:color="000000" w:fill="FFFFFF"/>
            <w:noWrap/>
            <w:hideMark/>
          </w:tcPr>
          <w:p w14:paraId="72FABE2C"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73CB6E6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C63DD2B"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7</w:t>
            </w:r>
          </w:p>
        </w:tc>
        <w:tc>
          <w:tcPr>
            <w:tcW w:w="5856" w:type="dxa"/>
            <w:tcBorders>
              <w:top w:val="nil"/>
              <w:left w:val="nil"/>
              <w:bottom w:val="nil"/>
              <w:right w:val="nil"/>
            </w:tcBorders>
            <w:shd w:val="clear" w:color="000000" w:fill="FFFFFF"/>
            <w:noWrap/>
            <w:hideMark/>
          </w:tcPr>
          <w:p w14:paraId="1E28C863" w14:textId="77777777" w:rsidR="00A83C0D" w:rsidRPr="00A83C0D" w:rsidRDefault="00A83C0D" w:rsidP="00A83C0D">
            <w:pPr>
              <w:rPr>
                <w:rFonts w:ascii="Calibri" w:hAnsi="Calibri" w:cs="Calibri"/>
                <w:color w:val="000000"/>
              </w:rPr>
            </w:pPr>
            <w:r w:rsidRPr="00A83C0D">
              <w:rPr>
                <w:rFonts w:ascii="Calibri" w:hAnsi="Calibri" w:cs="Calibri"/>
                <w:color w:val="000000"/>
              </w:rPr>
              <w:t>Journal of Accounting Research</w:t>
            </w:r>
          </w:p>
        </w:tc>
        <w:tc>
          <w:tcPr>
            <w:tcW w:w="1356" w:type="dxa"/>
            <w:tcBorders>
              <w:top w:val="nil"/>
              <w:left w:val="nil"/>
              <w:bottom w:val="nil"/>
              <w:right w:val="nil"/>
            </w:tcBorders>
            <w:shd w:val="clear" w:color="000000" w:fill="FFFFFF"/>
            <w:noWrap/>
            <w:hideMark/>
          </w:tcPr>
          <w:p w14:paraId="1D9C4AEB"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1963 </w:t>
            </w:r>
          </w:p>
        </w:tc>
        <w:tc>
          <w:tcPr>
            <w:tcW w:w="1608" w:type="dxa"/>
            <w:tcBorders>
              <w:top w:val="nil"/>
              <w:left w:val="nil"/>
              <w:bottom w:val="nil"/>
              <w:right w:val="single" w:sz="8" w:space="0" w:color="auto"/>
            </w:tcBorders>
            <w:shd w:val="clear" w:color="000000" w:fill="FFFFFF"/>
            <w:noWrap/>
            <w:hideMark/>
          </w:tcPr>
          <w:p w14:paraId="0FF2E1C1"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7D59845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E57FFBF"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8</w:t>
            </w:r>
          </w:p>
        </w:tc>
        <w:tc>
          <w:tcPr>
            <w:tcW w:w="5856" w:type="dxa"/>
            <w:tcBorders>
              <w:top w:val="nil"/>
              <w:left w:val="nil"/>
              <w:bottom w:val="nil"/>
              <w:right w:val="nil"/>
            </w:tcBorders>
            <w:shd w:val="clear" w:color="000000" w:fill="FFFFFF"/>
            <w:noWrap/>
            <w:hideMark/>
          </w:tcPr>
          <w:p w14:paraId="70FB2C68" w14:textId="77777777" w:rsidR="00A83C0D" w:rsidRPr="00A83C0D" w:rsidRDefault="00A83C0D" w:rsidP="00A83C0D">
            <w:pPr>
              <w:rPr>
                <w:rFonts w:ascii="Calibri" w:hAnsi="Calibri" w:cs="Calibri"/>
                <w:color w:val="000000"/>
              </w:rPr>
            </w:pPr>
            <w:r w:rsidRPr="00A83C0D">
              <w:rPr>
                <w:rFonts w:ascii="Calibri" w:hAnsi="Calibri" w:cs="Calibri"/>
                <w:color w:val="000000"/>
              </w:rPr>
              <w:t>Journal of Business Finance &amp; Accounting</w:t>
            </w:r>
          </w:p>
        </w:tc>
        <w:tc>
          <w:tcPr>
            <w:tcW w:w="1356" w:type="dxa"/>
            <w:tcBorders>
              <w:top w:val="nil"/>
              <w:left w:val="nil"/>
              <w:bottom w:val="nil"/>
              <w:right w:val="nil"/>
            </w:tcBorders>
            <w:shd w:val="clear" w:color="000000" w:fill="FFFFFF"/>
            <w:noWrap/>
            <w:hideMark/>
          </w:tcPr>
          <w:p w14:paraId="6EE392CE"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1974 </w:t>
            </w:r>
          </w:p>
        </w:tc>
        <w:tc>
          <w:tcPr>
            <w:tcW w:w="1608" w:type="dxa"/>
            <w:tcBorders>
              <w:top w:val="nil"/>
              <w:left w:val="nil"/>
              <w:bottom w:val="nil"/>
              <w:right w:val="single" w:sz="8" w:space="0" w:color="auto"/>
            </w:tcBorders>
            <w:shd w:val="clear" w:color="000000" w:fill="FFFFFF"/>
            <w:noWrap/>
            <w:hideMark/>
          </w:tcPr>
          <w:p w14:paraId="2B83E0F3" w14:textId="77777777" w:rsidR="00A83C0D" w:rsidRPr="00A83C0D" w:rsidRDefault="00A83C0D" w:rsidP="00A83C0D">
            <w:pPr>
              <w:rPr>
                <w:rFonts w:ascii="Calibri" w:hAnsi="Calibri" w:cs="Calibri"/>
                <w:color w:val="000000"/>
              </w:rPr>
            </w:pPr>
            <w:r w:rsidRPr="00A83C0D">
              <w:rPr>
                <w:rFonts w:ascii="Calibri" w:hAnsi="Calibri" w:cs="Calibri"/>
                <w:color w:val="000000"/>
              </w:rPr>
              <w:t>A*</w:t>
            </w:r>
          </w:p>
        </w:tc>
      </w:tr>
      <w:tr w:rsidR="00A83C0D" w:rsidRPr="00A83C0D" w14:paraId="73C326B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E371B67"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9</w:t>
            </w:r>
          </w:p>
        </w:tc>
        <w:tc>
          <w:tcPr>
            <w:tcW w:w="5856" w:type="dxa"/>
            <w:tcBorders>
              <w:top w:val="nil"/>
              <w:left w:val="nil"/>
              <w:bottom w:val="nil"/>
              <w:right w:val="nil"/>
            </w:tcBorders>
            <w:shd w:val="clear" w:color="000000" w:fill="FFFFFF"/>
            <w:noWrap/>
            <w:hideMark/>
          </w:tcPr>
          <w:p w14:paraId="53232CF0" w14:textId="77777777" w:rsidR="00A83C0D" w:rsidRPr="00A83C0D" w:rsidRDefault="00A83C0D" w:rsidP="00A83C0D">
            <w:pPr>
              <w:rPr>
                <w:rFonts w:ascii="Calibri" w:hAnsi="Calibri" w:cs="Calibri"/>
                <w:color w:val="000000"/>
              </w:rPr>
            </w:pPr>
            <w:r w:rsidRPr="00A83C0D">
              <w:rPr>
                <w:rFonts w:ascii="Calibri" w:hAnsi="Calibri" w:cs="Calibri"/>
                <w:color w:val="000000"/>
              </w:rPr>
              <w:t>Journal of Management Accounting Research</w:t>
            </w:r>
          </w:p>
        </w:tc>
        <w:tc>
          <w:tcPr>
            <w:tcW w:w="1356" w:type="dxa"/>
            <w:tcBorders>
              <w:top w:val="nil"/>
              <w:left w:val="nil"/>
              <w:bottom w:val="nil"/>
              <w:right w:val="nil"/>
            </w:tcBorders>
            <w:shd w:val="clear" w:color="000000" w:fill="FFFFFF"/>
            <w:noWrap/>
            <w:hideMark/>
          </w:tcPr>
          <w:p w14:paraId="077FCA08"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4C765C63" w14:textId="77777777" w:rsidR="00A83C0D" w:rsidRPr="00A83C0D" w:rsidRDefault="00A83C0D" w:rsidP="00A83C0D">
            <w:pPr>
              <w:rPr>
                <w:rFonts w:ascii="Calibri" w:hAnsi="Calibri" w:cs="Calibri"/>
                <w:color w:val="000000"/>
              </w:rPr>
            </w:pPr>
            <w:r w:rsidRPr="00A83C0D">
              <w:rPr>
                <w:rFonts w:ascii="Calibri" w:hAnsi="Calibri" w:cs="Calibri"/>
                <w:color w:val="000000"/>
              </w:rPr>
              <w:t>A*</w:t>
            </w:r>
          </w:p>
        </w:tc>
      </w:tr>
      <w:tr w:rsidR="00A83C0D" w:rsidRPr="00A83C0D" w14:paraId="4FC3E2DF"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0B22CA1"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10</w:t>
            </w:r>
          </w:p>
        </w:tc>
        <w:tc>
          <w:tcPr>
            <w:tcW w:w="5856" w:type="dxa"/>
            <w:tcBorders>
              <w:top w:val="nil"/>
              <w:left w:val="nil"/>
              <w:bottom w:val="nil"/>
              <w:right w:val="nil"/>
            </w:tcBorders>
            <w:shd w:val="clear" w:color="000000" w:fill="FFFFFF"/>
            <w:noWrap/>
            <w:hideMark/>
          </w:tcPr>
          <w:p w14:paraId="6E66DBA6" w14:textId="77777777" w:rsidR="00A83C0D" w:rsidRPr="00A83C0D" w:rsidRDefault="00A83C0D" w:rsidP="00A83C0D">
            <w:pPr>
              <w:rPr>
                <w:rFonts w:ascii="Calibri" w:hAnsi="Calibri" w:cs="Calibri"/>
                <w:color w:val="000000"/>
              </w:rPr>
            </w:pPr>
            <w:r w:rsidRPr="00A83C0D">
              <w:rPr>
                <w:rFonts w:ascii="Calibri" w:hAnsi="Calibri" w:cs="Calibri"/>
                <w:color w:val="000000"/>
              </w:rPr>
              <w:t>Management Accounting Research</w:t>
            </w:r>
          </w:p>
        </w:tc>
        <w:tc>
          <w:tcPr>
            <w:tcW w:w="1356" w:type="dxa"/>
            <w:tcBorders>
              <w:top w:val="nil"/>
              <w:left w:val="nil"/>
              <w:bottom w:val="nil"/>
              <w:right w:val="nil"/>
            </w:tcBorders>
            <w:shd w:val="clear" w:color="000000" w:fill="FFFFFF"/>
            <w:noWrap/>
            <w:hideMark/>
          </w:tcPr>
          <w:p w14:paraId="7B057439"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1B48B7E7"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6936C28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8E36991"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11</w:t>
            </w:r>
          </w:p>
        </w:tc>
        <w:tc>
          <w:tcPr>
            <w:tcW w:w="5856" w:type="dxa"/>
            <w:tcBorders>
              <w:top w:val="nil"/>
              <w:left w:val="nil"/>
              <w:bottom w:val="nil"/>
              <w:right w:val="nil"/>
            </w:tcBorders>
            <w:shd w:val="clear" w:color="000000" w:fill="FFFFFF"/>
            <w:noWrap/>
            <w:hideMark/>
          </w:tcPr>
          <w:p w14:paraId="3755B060" w14:textId="77777777" w:rsidR="00A83C0D" w:rsidRPr="00A83C0D" w:rsidRDefault="00A83C0D" w:rsidP="00A83C0D">
            <w:pPr>
              <w:rPr>
                <w:rFonts w:ascii="Calibri" w:hAnsi="Calibri" w:cs="Calibri"/>
                <w:color w:val="000000"/>
              </w:rPr>
            </w:pPr>
            <w:r w:rsidRPr="00A83C0D">
              <w:rPr>
                <w:rFonts w:ascii="Calibri" w:hAnsi="Calibri" w:cs="Calibri"/>
                <w:color w:val="000000"/>
              </w:rPr>
              <w:t>Review of Accounting Studies</w:t>
            </w:r>
          </w:p>
        </w:tc>
        <w:tc>
          <w:tcPr>
            <w:tcW w:w="1356" w:type="dxa"/>
            <w:tcBorders>
              <w:top w:val="nil"/>
              <w:left w:val="nil"/>
              <w:bottom w:val="nil"/>
              <w:right w:val="nil"/>
            </w:tcBorders>
            <w:shd w:val="clear" w:color="000000" w:fill="FFFFFF"/>
            <w:noWrap/>
            <w:hideMark/>
          </w:tcPr>
          <w:p w14:paraId="6D5C1E66"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1996 </w:t>
            </w:r>
          </w:p>
        </w:tc>
        <w:tc>
          <w:tcPr>
            <w:tcW w:w="1608" w:type="dxa"/>
            <w:tcBorders>
              <w:top w:val="nil"/>
              <w:left w:val="nil"/>
              <w:bottom w:val="nil"/>
              <w:right w:val="single" w:sz="8" w:space="0" w:color="auto"/>
            </w:tcBorders>
            <w:shd w:val="clear" w:color="000000" w:fill="FFFFFF"/>
            <w:noWrap/>
            <w:hideMark/>
          </w:tcPr>
          <w:p w14:paraId="020732DC"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2B04BE4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4D11C51"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12</w:t>
            </w:r>
          </w:p>
        </w:tc>
        <w:tc>
          <w:tcPr>
            <w:tcW w:w="5856" w:type="dxa"/>
            <w:tcBorders>
              <w:top w:val="nil"/>
              <w:left w:val="nil"/>
              <w:bottom w:val="nil"/>
              <w:right w:val="nil"/>
            </w:tcBorders>
            <w:shd w:val="clear" w:color="000000" w:fill="FFFFFF"/>
            <w:noWrap/>
            <w:hideMark/>
          </w:tcPr>
          <w:p w14:paraId="15384285" w14:textId="77777777" w:rsidR="00A83C0D" w:rsidRPr="00A83C0D" w:rsidRDefault="00A83C0D" w:rsidP="00A83C0D">
            <w:pPr>
              <w:rPr>
                <w:rFonts w:ascii="Calibri" w:hAnsi="Calibri" w:cs="Calibri"/>
                <w:color w:val="000000"/>
              </w:rPr>
            </w:pPr>
            <w:r w:rsidRPr="00A83C0D">
              <w:rPr>
                <w:rFonts w:ascii="Calibri" w:hAnsi="Calibri" w:cs="Calibri"/>
                <w:color w:val="000000"/>
              </w:rPr>
              <w:t>The Accounting Review</w:t>
            </w:r>
          </w:p>
        </w:tc>
        <w:tc>
          <w:tcPr>
            <w:tcW w:w="1356" w:type="dxa"/>
            <w:tcBorders>
              <w:top w:val="nil"/>
              <w:left w:val="nil"/>
              <w:bottom w:val="nil"/>
              <w:right w:val="nil"/>
            </w:tcBorders>
            <w:shd w:val="clear" w:color="000000" w:fill="FFFFFF"/>
            <w:noWrap/>
            <w:hideMark/>
          </w:tcPr>
          <w:p w14:paraId="2A5C9BCB"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1926 </w:t>
            </w:r>
          </w:p>
        </w:tc>
        <w:tc>
          <w:tcPr>
            <w:tcW w:w="1608" w:type="dxa"/>
            <w:tcBorders>
              <w:top w:val="nil"/>
              <w:left w:val="nil"/>
              <w:bottom w:val="nil"/>
              <w:right w:val="single" w:sz="8" w:space="0" w:color="auto"/>
            </w:tcBorders>
            <w:shd w:val="clear" w:color="000000" w:fill="FFFFFF"/>
            <w:noWrap/>
            <w:hideMark/>
          </w:tcPr>
          <w:p w14:paraId="3DD18C6B"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3E6303F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003DE90"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13</w:t>
            </w:r>
          </w:p>
        </w:tc>
        <w:tc>
          <w:tcPr>
            <w:tcW w:w="5856" w:type="dxa"/>
            <w:tcBorders>
              <w:top w:val="nil"/>
              <w:left w:val="nil"/>
              <w:bottom w:val="nil"/>
              <w:right w:val="nil"/>
            </w:tcBorders>
            <w:shd w:val="clear" w:color="000000" w:fill="FFFFFF"/>
            <w:noWrap/>
            <w:hideMark/>
          </w:tcPr>
          <w:p w14:paraId="5F7E2C6D" w14:textId="77777777" w:rsidR="00A83C0D" w:rsidRPr="00A83C0D" w:rsidRDefault="00A83C0D" w:rsidP="00A83C0D">
            <w:pPr>
              <w:rPr>
                <w:rFonts w:ascii="Calibri" w:hAnsi="Calibri" w:cs="Calibri"/>
                <w:color w:val="000000"/>
              </w:rPr>
            </w:pPr>
            <w:r w:rsidRPr="00A83C0D">
              <w:rPr>
                <w:rFonts w:ascii="Calibri" w:hAnsi="Calibri" w:cs="Calibri"/>
                <w:color w:val="000000"/>
              </w:rPr>
              <w:t>The European Accounting Review</w:t>
            </w:r>
          </w:p>
        </w:tc>
        <w:tc>
          <w:tcPr>
            <w:tcW w:w="1356" w:type="dxa"/>
            <w:tcBorders>
              <w:top w:val="nil"/>
              <w:left w:val="nil"/>
              <w:bottom w:val="nil"/>
              <w:right w:val="nil"/>
            </w:tcBorders>
            <w:shd w:val="clear" w:color="000000" w:fill="FFFFFF"/>
            <w:noWrap/>
            <w:hideMark/>
          </w:tcPr>
          <w:p w14:paraId="067B4404"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41ED0EF1"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26CE464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79B574B"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14</w:t>
            </w:r>
          </w:p>
        </w:tc>
        <w:tc>
          <w:tcPr>
            <w:tcW w:w="5856" w:type="dxa"/>
            <w:tcBorders>
              <w:top w:val="nil"/>
              <w:left w:val="nil"/>
              <w:bottom w:val="nil"/>
              <w:right w:val="nil"/>
            </w:tcBorders>
            <w:shd w:val="clear" w:color="000000" w:fill="FFFFFF"/>
            <w:noWrap/>
            <w:hideMark/>
          </w:tcPr>
          <w:p w14:paraId="1D70C62B" w14:textId="77777777" w:rsidR="00A83C0D" w:rsidRPr="00A83C0D" w:rsidRDefault="00A83C0D" w:rsidP="00A83C0D">
            <w:pPr>
              <w:rPr>
                <w:rFonts w:ascii="Calibri" w:hAnsi="Calibri" w:cs="Calibri"/>
                <w:color w:val="000000"/>
              </w:rPr>
            </w:pPr>
            <w:r w:rsidRPr="00A83C0D">
              <w:rPr>
                <w:rFonts w:ascii="Calibri" w:hAnsi="Calibri" w:cs="Calibri"/>
                <w:color w:val="000000"/>
              </w:rPr>
              <w:t>Abacus</w:t>
            </w:r>
          </w:p>
        </w:tc>
        <w:tc>
          <w:tcPr>
            <w:tcW w:w="1356" w:type="dxa"/>
            <w:tcBorders>
              <w:top w:val="nil"/>
              <w:left w:val="nil"/>
              <w:bottom w:val="nil"/>
              <w:right w:val="nil"/>
            </w:tcBorders>
            <w:shd w:val="clear" w:color="000000" w:fill="FFFFFF"/>
            <w:noWrap/>
            <w:hideMark/>
          </w:tcPr>
          <w:p w14:paraId="0A6F2515"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1965 </w:t>
            </w:r>
          </w:p>
        </w:tc>
        <w:tc>
          <w:tcPr>
            <w:tcW w:w="1608" w:type="dxa"/>
            <w:tcBorders>
              <w:top w:val="nil"/>
              <w:left w:val="nil"/>
              <w:bottom w:val="nil"/>
              <w:right w:val="single" w:sz="8" w:space="0" w:color="auto"/>
            </w:tcBorders>
            <w:shd w:val="clear" w:color="000000" w:fill="FFFFFF"/>
            <w:noWrap/>
            <w:hideMark/>
          </w:tcPr>
          <w:p w14:paraId="64EE58B7"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68239300"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26A53C0"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15</w:t>
            </w:r>
          </w:p>
        </w:tc>
        <w:tc>
          <w:tcPr>
            <w:tcW w:w="5856" w:type="dxa"/>
            <w:tcBorders>
              <w:top w:val="nil"/>
              <w:left w:val="nil"/>
              <w:bottom w:val="nil"/>
              <w:right w:val="nil"/>
            </w:tcBorders>
            <w:shd w:val="clear" w:color="000000" w:fill="FFFFFF"/>
            <w:noWrap/>
            <w:hideMark/>
          </w:tcPr>
          <w:p w14:paraId="541BDDAB" w14:textId="77777777" w:rsidR="00A83C0D" w:rsidRPr="00A83C0D" w:rsidRDefault="00A83C0D" w:rsidP="00A83C0D">
            <w:pPr>
              <w:rPr>
                <w:rFonts w:ascii="Calibri" w:hAnsi="Calibri" w:cs="Calibri"/>
                <w:color w:val="000000"/>
              </w:rPr>
            </w:pPr>
            <w:r w:rsidRPr="00A83C0D">
              <w:rPr>
                <w:rFonts w:ascii="Calibri" w:hAnsi="Calibri" w:cs="Calibri"/>
                <w:color w:val="000000"/>
              </w:rPr>
              <w:t>Accounting and Business Research</w:t>
            </w:r>
          </w:p>
        </w:tc>
        <w:tc>
          <w:tcPr>
            <w:tcW w:w="1356" w:type="dxa"/>
            <w:tcBorders>
              <w:top w:val="nil"/>
              <w:left w:val="nil"/>
              <w:bottom w:val="nil"/>
              <w:right w:val="nil"/>
            </w:tcBorders>
            <w:shd w:val="clear" w:color="000000" w:fill="FFFFFF"/>
            <w:noWrap/>
            <w:hideMark/>
          </w:tcPr>
          <w:p w14:paraId="4C13B8B2"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1970 </w:t>
            </w:r>
          </w:p>
        </w:tc>
        <w:tc>
          <w:tcPr>
            <w:tcW w:w="1608" w:type="dxa"/>
            <w:tcBorders>
              <w:top w:val="nil"/>
              <w:left w:val="nil"/>
              <w:bottom w:val="nil"/>
              <w:right w:val="single" w:sz="8" w:space="0" w:color="auto"/>
            </w:tcBorders>
            <w:shd w:val="clear" w:color="000000" w:fill="FFFFFF"/>
            <w:noWrap/>
            <w:hideMark/>
          </w:tcPr>
          <w:p w14:paraId="2BA15AC2"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66558B1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7CB4EA0"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16</w:t>
            </w:r>
          </w:p>
        </w:tc>
        <w:tc>
          <w:tcPr>
            <w:tcW w:w="5856" w:type="dxa"/>
            <w:tcBorders>
              <w:top w:val="nil"/>
              <w:left w:val="nil"/>
              <w:bottom w:val="nil"/>
              <w:right w:val="nil"/>
            </w:tcBorders>
            <w:shd w:val="clear" w:color="000000" w:fill="FFFFFF"/>
            <w:noWrap/>
            <w:hideMark/>
          </w:tcPr>
          <w:p w14:paraId="0D9431FC" w14:textId="77777777" w:rsidR="00A83C0D" w:rsidRPr="00A83C0D" w:rsidRDefault="00A83C0D" w:rsidP="00A83C0D">
            <w:pPr>
              <w:rPr>
                <w:rFonts w:ascii="Calibri" w:hAnsi="Calibri" w:cs="Calibri"/>
                <w:color w:val="000000"/>
              </w:rPr>
            </w:pPr>
            <w:r w:rsidRPr="00A83C0D">
              <w:rPr>
                <w:rFonts w:ascii="Calibri" w:hAnsi="Calibri" w:cs="Calibri"/>
                <w:color w:val="000000"/>
              </w:rPr>
              <w:t>Accounting and Finance</w:t>
            </w:r>
          </w:p>
        </w:tc>
        <w:tc>
          <w:tcPr>
            <w:tcW w:w="1356" w:type="dxa"/>
            <w:tcBorders>
              <w:top w:val="nil"/>
              <w:left w:val="nil"/>
              <w:bottom w:val="nil"/>
              <w:right w:val="nil"/>
            </w:tcBorders>
            <w:shd w:val="clear" w:color="000000" w:fill="FFFFFF"/>
            <w:noWrap/>
            <w:hideMark/>
          </w:tcPr>
          <w:p w14:paraId="094E4C91"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1961 </w:t>
            </w:r>
          </w:p>
        </w:tc>
        <w:tc>
          <w:tcPr>
            <w:tcW w:w="1608" w:type="dxa"/>
            <w:tcBorders>
              <w:top w:val="nil"/>
              <w:left w:val="nil"/>
              <w:bottom w:val="nil"/>
              <w:right w:val="single" w:sz="8" w:space="0" w:color="auto"/>
            </w:tcBorders>
            <w:shd w:val="clear" w:color="000000" w:fill="FFFFFF"/>
            <w:noWrap/>
            <w:hideMark/>
          </w:tcPr>
          <w:p w14:paraId="1BDC1D1C"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189B070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AC6F6D4"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17</w:t>
            </w:r>
          </w:p>
        </w:tc>
        <w:tc>
          <w:tcPr>
            <w:tcW w:w="5856" w:type="dxa"/>
            <w:tcBorders>
              <w:top w:val="nil"/>
              <w:left w:val="nil"/>
              <w:bottom w:val="nil"/>
              <w:right w:val="nil"/>
            </w:tcBorders>
            <w:shd w:val="clear" w:color="000000" w:fill="FFFFFF"/>
            <w:noWrap/>
            <w:hideMark/>
          </w:tcPr>
          <w:p w14:paraId="3DF829AA" w14:textId="77777777" w:rsidR="00A83C0D" w:rsidRPr="00A83C0D" w:rsidRDefault="00A83C0D" w:rsidP="00A83C0D">
            <w:pPr>
              <w:rPr>
                <w:rFonts w:ascii="Calibri" w:hAnsi="Calibri" w:cs="Calibri"/>
                <w:color w:val="000000"/>
              </w:rPr>
            </w:pPr>
            <w:r w:rsidRPr="00A83C0D">
              <w:rPr>
                <w:rFonts w:ascii="Calibri" w:hAnsi="Calibri" w:cs="Calibri"/>
                <w:color w:val="000000"/>
              </w:rPr>
              <w:t>Accounting Education</w:t>
            </w:r>
          </w:p>
        </w:tc>
        <w:tc>
          <w:tcPr>
            <w:tcW w:w="1356" w:type="dxa"/>
            <w:tcBorders>
              <w:top w:val="nil"/>
              <w:left w:val="nil"/>
              <w:bottom w:val="nil"/>
              <w:right w:val="nil"/>
            </w:tcBorders>
            <w:shd w:val="clear" w:color="000000" w:fill="FFFFFF"/>
            <w:noWrap/>
            <w:hideMark/>
          </w:tcPr>
          <w:p w14:paraId="746321F7"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1A1AFE50" w14:textId="77777777" w:rsidR="00A83C0D" w:rsidRPr="00A83C0D" w:rsidRDefault="00A83C0D" w:rsidP="00A83C0D">
            <w:pPr>
              <w:rPr>
                <w:rFonts w:ascii="Calibri" w:hAnsi="Calibri" w:cs="Calibri"/>
                <w:color w:val="000000"/>
              </w:rPr>
            </w:pPr>
            <w:r w:rsidRPr="00A83C0D">
              <w:rPr>
                <w:rFonts w:ascii="Calibri" w:hAnsi="Calibri" w:cs="Calibri"/>
                <w:color w:val="000000"/>
              </w:rPr>
              <w:t>A</w:t>
            </w:r>
          </w:p>
        </w:tc>
      </w:tr>
      <w:tr w:rsidR="00A83C0D" w:rsidRPr="00A83C0D" w14:paraId="458D0A2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E69415B"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18</w:t>
            </w:r>
          </w:p>
        </w:tc>
        <w:tc>
          <w:tcPr>
            <w:tcW w:w="5856" w:type="dxa"/>
            <w:tcBorders>
              <w:top w:val="nil"/>
              <w:left w:val="nil"/>
              <w:bottom w:val="nil"/>
              <w:right w:val="nil"/>
            </w:tcBorders>
            <w:shd w:val="clear" w:color="000000" w:fill="FFFFFF"/>
            <w:noWrap/>
            <w:hideMark/>
          </w:tcPr>
          <w:p w14:paraId="76FD012B" w14:textId="77777777" w:rsidR="00A83C0D" w:rsidRPr="00A83C0D" w:rsidRDefault="00A83C0D" w:rsidP="00A83C0D">
            <w:pPr>
              <w:rPr>
                <w:rFonts w:ascii="Calibri" w:hAnsi="Calibri" w:cs="Calibri"/>
                <w:color w:val="000000"/>
              </w:rPr>
            </w:pPr>
            <w:r w:rsidRPr="00A83C0D">
              <w:rPr>
                <w:rFonts w:ascii="Calibri" w:hAnsi="Calibri" w:cs="Calibri"/>
                <w:color w:val="000000"/>
              </w:rPr>
              <w:t>Accounting History</w:t>
            </w:r>
          </w:p>
        </w:tc>
        <w:tc>
          <w:tcPr>
            <w:tcW w:w="1356" w:type="dxa"/>
            <w:tcBorders>
              <w:top w:val="nil"/>
              <w:left w:val="nil"/>
              <w:bottom w:val="nil"/>
              <w:right w:val="nil"/>
            </w:tcBorders>
            <w:shd w:val="clear" w:color="000000" w:fill="FFFFFF"/>
            <w:noWrap/>
            <w:hideMark/>
          </w:tcPr>
          <w:p w14:paraId="6322C8E7"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4882308A" w14:textId="77777777" w:rsidR="00A83C0D" w:rsidRPr="00A83C0D" w:rsidRDefault="00A83C0D" w:rsidP="00A83C0D">
            <w:pPr>
              <w:rPr>
                <w:rFonts w:ascii="Calibri" w:hAnsi="Calibri" w:cs="Calibri"/>
                <w:color w:val="000000"/>
              </w:rPr>
            </w:pPr>
            <w:r w:rsidRPr="00A83C0D">
              <w:rPr>
                <w:rFonts w:ascii="Calibri" w:hAnsi="Calibri" w:cs="Calibri"/>
                <w:color w:val="000000"/>
              </w:rPr>
              <w:t>A</w:t>
            </w:r>
          </w:p>
        </w:tc>
      </w:tr>
      <w:tr w:rsidR="00A83C0D" w:rsidRPr="00A83C0D" w14:paraId="4447E4C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ECC5DB4"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19</w:t>
            </w:r>
          </w:p>
        </w:tc>
        <w:tc>
          <w:tcPr>
            <w:tcW w:w="5856" w:type="dxa"/>
            <w:tcBorders>
              <w:top w:val="nil"/>
              <w:left w:val="nil"/>
              <w:bottom w:val="nil"/>
              <w:right w:val="nil"/>
            </w:tcBorders>
            <w:shd w:val="clear" w:color="000000" w:fill="FFFFFF"/>
            <w:noWrap/>
            <w:hideMark/>
          </w:tcPr>
          <w:p w14:paraId="113397D0" w14:textId="77777777" w:rsidR="00A83C0D" w:rsidRPr="00A83C0D" w:rsidRDefault="00A83C0D" w:rsidP="00A83C0D">
            <w:pPr>
              <w:rPr>
                <w:rFonts w:ascii="Calibri" w:hAnsi="Calibri" w:cs="Calibri"/>
                <w:color w:val="000000"/>
              </w:rPr>
            </w:pPr>
            <w:r w:rsidRPr="00A83C0D">
              <w:rPr>
                <w:rFonts w:ascii="Calibri" w:hAnsi="Calibri" w:cs="Calibri"/>
                <w:color w:val="000000"/>
              </w:rPr>
              <w:t>Accounting Horizons</w:t>
            </w:r>
          </w:p>
        </w:tc>
        <w:tc>
          <w:tcPr>
            <w:tcW w:w="1356" w:type="dxa"/>
            <w:tcBorders>
              <w:top w:val="nil"/>
              <w:left w:val="nil"/>
              <w:bottom w:val="nil"/>
              <w:right w:val="nil"/>
            </w:tcBorders>
            <w:shd w:val="clear" w:color="000000" w:fill="FFFFFF"/>
            <w:noWrap/>
            <w:hideMark/>
          </w:tcPr>
          <w:p w14:paraId="0353BCBD"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1987 </w:t>
            </w:r>
          </w:p>
        </w:tc>
        <w:tc>
          <w:tcPr>
            <w:tcW w:w="1608" w:type="dxa"/>
            <w:tcBorders>
              <w:top w:val="nil"/>
              <w:left w:val="nil"/>
              <w:bottom w:val="nil"/>
              <w:right w:val="single" w:sz="8" w:space="0" w:color="auto"/>
            </w:tcBorders>
            <w:shd w:val="clear" w:color="000000" w:fill="FFFFFF"/>
            <w:noWrap/>
            <w:hideMark/>
          </w:tcPr>
          <w:p w14:paraId="3E7C5EA6"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164E1DB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5210C1A"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20</w:t>
            </w:r>
          </w:p>
        </w:tc>
        <w:tc>
          <w:tcPr>
            <w:tcW w:w="5856" w:type="dxa"/>
            <w:tcBorders>
              <w:top w:val="nil"/>
              <w:left w:val="nil"/>
              <w:bottom w:val="nil"/>
              <w:right w:val="nil"/>
            </w:tcBorders>
            <w:shd w:val="clear" w:color="000000" w:fill="FFFFFF"/>
            <w:noWrap/>
            <w:hideMark/>
          </w:tcPr>
          <w:p w14:paraId="2FD9F872" w14:textId="77777777" w:rsidR="00A83C0D" w:rsidRPr="00A83C0D" w:rsidRDefault="00A83C0D" w:rsidP="00A83C0D">
            <w:pPr>
              <w:rPr>
                <w:rFonts w:ascii="Calibri" w:hAnsi="Calibri" w:cs="Calibri"/>
                <w:color w:val="000000"/>
              </w:rPr>
            </w:pPr>
            <w:r w:rsidRPr="00A83C0D">
              <w:rPr>
                <w:rFonts w:ascii="Calibri" w:hAnsi="Calibri" w:cs="Calibri"/>
                <w:color w:val="000000"/>
              </w:rPr>
              <w:t>Accounting in Europe</w:t>
            </w:r>
          </w:p>
        </w:tc>
        <w:tc>
          <w:tcPr>
            <w:tcW w:w="1356" w:type="dxa"/>
            <w:tcBorders>
              <w:top w:val="nil"/>
              <w:left w:val="nil"/>
              <w:bottom w:val="nil"/>
              <w:right w:val="nil"/>
            </w:tcBorders>
            <w:shd w:val="clear" w:color="000000" w:fill="FFFFFF"/>
            <w:noWrap/>
            <w:hideMark/>
          </w:tcPr>
          <w:p w14:paraId="581CED54"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68C98708" w14:textId="77777777" w:rsidR="00A83C0D" w:rsidRPr="00A83C0D" w:rsidRDefault="00A83C0D" w:rsidP="00A83C0D">
            <w:pPr>
              <w:rPr>
                <w:rFonts w:ascii="Calibri" w:hAnsi="Calibri" w:cs="Calibri"/>
                <w:color w:val="000000"/>
              </w:rPr>
            </w:pPr>
            <w:r w:rsidRPr="00A83C0D">
              <w:rPr>
                <w:rFonts w:ascii="Calibri" w:hAnsi="Calibri" w:cs="Calibri"/>
                <w:color w:val="000000"/>
              </w:rPr>
              <w:t>A</w:t>
            </w:r>
          </w:p>
        </w:tc>
      </w:tr>
      <w:tr w:rsidR="00A83C0D" w:rsidRPr="00A83C0D" w14:paraId="1FDF1D5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D7C1B6"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21</w:t>
            </w:r>
          </w:p>
        </w:tc>
        <w:tc>
          <w:tcPr>
            <w:tcW w:w="5856" w:type="dxa"/>
            <w:tcBorders>
              <w:top w:val="nil"/>
              <w:left w:val="nil"/>
              <w:bottom w:val="nil"/>
              <w:right w:val="nil"/>
            </w:tcBorders>
            <w:shd w:val="clear" w:color="000000" w:fill="FFFFFF"/>
            <w:noWrap/>
            <w:hideMark/>
          </w:tcPr>
          <w:p w14:paraId="692F4C17" w14:textId="77777777" w:rsidR="00A83C0D" w:rsidRPr="00A83C0D" w:rsidRDefault="00A83C0D" w:rsidP="00A83C0D">
            <w:pPr>
              <w:rPr>
                <w:rFonts w:ascii="Calibri" w:hAnsi="Calibri" w:cs="Calibri"/>
                <w:color w:val="000000"/>
              </w:rPr>
            </w:pPr>
            <w:r w:rsidRPr="00A83C0D">
              <w:rPr>
                <w:rFonts w:ascii="Calibri" w:hAnsi="Calibri" w:cs="Calibri"/>
                <w:color w:val="000000"/>
              </w:rPr>
              <w:t>Advances in Accounting</w:t>
            </w:r>
          </w:p>
        </w:tc>
        <w:tc>
          <w:tcPr>
            <w:tcW w:w="1356" w:type="dxa"/>
            <w:tcBorders>
              <w:top w:val="nil"/>
              <w:left w:val="nil"/>
              <w:bottom w:val="nil"/>
              <w:right w:val="nil"/>
            </w:tcBorders>
            <w:shd w:val="clear" w:color="000000" w:fill="FFFFFF"/>
            <w:noWrap/>
            <w:hideMark/>
          </w:tcPr>
          <w:p w14:paraId="5686FA8D"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1346D827" w14:textId="77777777" w:rsidR="00A83C0D" w:rsidRPr="00A83C0D" w:rsidRDefault="00A83C0D" w:rsidP="00A83C0D">
            <w:pPr>
              <w:rPr>
                <w:rFonts w:ascii="Calibri" w:hAnsi="Calibri" w:cs="Calibri"/>
                <w:color w:val="000000"/>
              </w:rPr>
            </w:pPr>
            <w:r w:rsidRPr="00A83C0D">
              <w:rPr>
                <w:rFonts w:ascii="Calibri" w:hAnsi="Calibri" w:cs="Calibri"/>
                <w:color w:val="000000"/>
              </w:rPr>
              <w:t>A</w:t>
            </w:r>
          </w:p>
        </w:tc>
      </w:tr>
      <w:tr w:rsidR="00A83C0D" w:rsidRPr="00A83C0D" w14:paraId="05A925A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759641"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22</w:t>
            </w:r>
          </w:p>
        </w:tc>
        <w:tc>
          <w:tcPr>
            <w:tcW w:w="5856" w:type="dxa"/>
            <w:tcBorders>
              <w:top w:val="nil"/>
              <w:left w:val="nil"/>
              <w:bottom w:val="nil"/>
              <w:right w:val="nil"/>
            </w:tcBorders>
            <w:shd w:val="clear" w:color="000000" w:fill="FFFFFF"/>
            <w:noWrap/>
            <w:hideMark/>
          </w:tcPr>
          <w:p w14:paraId="33121AEC"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Advances in Accounting </w:t>
            </w:r>
            <w:proofErr w:type="spellStart"/>
            <w:r w:rsidRPr="00A83C0D">
              <w:rPr>
                <w:rFonts w:ascii="Calibri" w:hAnsi="Calibri" w:cs="Calibri"/>
                <w:color w:val="000000"/>
              </w:rPr>
              <w:t>Behavioral</w:t>
            </w:r>
            <w:proofErr w:type="spellEnd"/>
            <w:r w:rsidRPr="00A83C0D">
              <w:rPr>
                <w:rFonts w:ascii="Calibri" w:hAnsi="Calibri" w:cs="Calibri"/>
                <w:color w:val="000000"/>
              </w:rPr>
              <w:t xml:space="preserve"> Research</w:t>
            </w:r>
          </w:p>
        </w:tc>
        <w:tc>
          <w:tcPr>
            <w:tcW w:w="1356" w:type="dxa"/>
            <w:tcBorders>
              <w:top w:val="nil"/>
              <w:left w:val="nil"/>
              <w:bottom w:val="nil"/>
              <w:right w:val="nil"/>
            </w:tcBorders>
            <w:shd w:val="clear" w:color="000000" w:fill="FFFFFF"/>
            <w:noWrap/>
            <w:hideMark/>
          </w:tcPr>
          <w:p w14:paraId="589FAB5F"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1998 </w:t>
            </w:r>
          </w:p>
        </w:tc>
        <w:tc>
          <w:tcPr>
            <w:tcW w:w="1608" w:type="dxa"/>
            <w:tcBorders>
              <w:top w:val="nil"/>
              <w:left w:val="nil"/>
              <w:bottom w:val="nil"/>
              <w:right w:val="single" w:sz="8" w:space="0" w:color="auto"/>
            </w:tcBorders>
            <w:shd w:val="clear" w:color="000000" w:fill="FFFFFF"/>
            <w:noWrap/>
            <w:hideMark/>
          </w:tcPr>
          <w:p w14:paraId="007E3AF9" w14:textId="77777777" w:rsidR="00A83C0D" w:rsidRPr="00A83C0D" w:rsidRDefault="00A83C0D" w:rsidP="00A83C0D">
            <w:pPr>
              <w:rPr>
                <w:rFonts w:ascii="Calibri" w:hAnsi="Calibri" w:cs="Calibri"/>
                <w:color w:val="000000"/>
              </w:rPr>
            </w:pPr>
            <w:r w:rsidRPr="00A83C0D">
              <w:rPr>
                <w:rFonts w:ascii="Calibri" w:hAnsi="Calibri" w:cs="Calibri"/>
                <w:color w:val="000000"/>
              </w:rPr>
              <w:t>A</w:t>
            </w:r>
          </w:p>
        </w:tc>
      </w:tr>
      <w:tr w:rsidR="00A83C0D" w:rsidRPr="00A83C0D" w14:paraId="36D8FCD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516E857"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23</w:t>
            </w:r>
          </w:p>
        </w:tc>
        <w:tc>
          <w:tcPr>
            <w:tcW w:w="5856" w:type="dxa"/>
            <w:tcBorders>
              <w:top w:val="nil"/>
              <w:left w:val="nil"/>
              <w:bottom w:val="nil"/>
              <w:right w:val="nil"/>
            </w:tcBorders>
            <w:shd w:val="clear" w:color="000000" w:fill="FFFFFF"/>
            <w:noWrap/>
            <w:hideMark/>
          </w:tcPr>
          <w:p w14:paraId="1ADC2111" w14:textId="77777777" w:rsidR="00A83C0D" w:rsidRPr="00A83C0D" w:rsidRDefault="00A83C0D" w:rsidP="00A83C0D">
            <w:pPr>
              <w:rPr>
                <w:rFonts w:ascii="Calibri" w:hAnsi="Calibri" w:cs="Calibri"/>
                <w:color w:val="000000"/>
              </w:rPr>
            </w:pPr>
            <w:r w:rsidRPr="00A83C0D">
              <w:rPr>
                <w:rFonts w:ascii="Calibri" w:hAnsi="Calibri" w:cs="Calibri"/>
                <w:color w:val="000000"/>
              </w:rPr>
              <w:t>Advances in Management Accounting</w:t>
            </w:r>
          </w:p>
        </w:tc>
        <w:tc>
          <w:tcPr>
            <w:tcW w:w="1356" w:type="dxa"/>
            <w:tcBorders>
              <w:top w:val="nil"/>
              <w:left w:val="nil"/>
              <w:bottom w:val="nil"/>
              <w:right w:val="nil"/>
            </w:tcBorders>
            <w:shd w:val="clear" w:color="000000" w:fill="FFFFFF"/>
            <w:noWrap/>
            <w:hideMark/>
          </w:tcPr>
          <w:p w14:paraId="09ED3A08"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6CD808DD" w14:textId="77777777" w:rsidR="00A83C0D" w:rsidRPr="00A83C0D" w:rsidRDefault="00A83C0D" w:rsidP="00A83C0D">
            <w:pPr>
              <w:rPr>
                <w:rFonts w:ascii="Calibri" w:hAnsi="Calibri" w:cs="Calibri"/>
                <w:color w:val="000000"/>
              </w:rPr>
            </w:pPr>
            <w:r w:rsidRPr="00A83C0D">
              <w:rPr>
                <w:rFonts w:ascii="Calibri" w:hAnsi="Calibri" w:cs="Calibri"/>
                <w:color w:val="000000"/>
              </w:rPr>
              <w:t>A</w:t>
            </w:r>
          </w:p>
        </w:tc>
      </w:tr>
      <w:tr w:rsidR="00A83C0D" w:rsidRPr="00A83C0D" w14:paraId="3CBABA8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D67EBEA"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24</w:t>
            </w:r>
          </w:p>
        </w:tc>
        <w:tc>
          <w:tcPr>
            <w:tcW w:w="5856" w:type="dxa"/>
            <w:tcBorders>
              <w:top w:val="nil"/>
              <w:left w:val="nil"/>
              <w:bottom w:val="nil"/>
              <w:right w:val="nil"/>
            </w:tcBorders>
            <w:shd w:val="clear" w:color="000000" w:fill="FFFFFF"/>
            <w:noWrap/>
            <w:hideMark/>
          </w:tcPr>
          <w:p w14:paraId="56D251DD" w14:textId="77777777" w:rsidR="00A83C0D" w:rsidRPr="00A83C0D" w:rsidRDefault="00A83C0D" w:rsidP="00A83C0D">
            <w:pPr>
              <w:rPr>
                <w:rFonts w:ascii="Calibri" w:hAnsi="Calibri" w:cs="Calibri"/>
                <w:color w:val="000000"/>
              </w:rPr>
            </w:pPr>
            <w:proofErr w:type="spellStart"/>
            <w:r w:rsidRPr="00A83C0D">
              <w:rPr>
                <w:rFonts w:ascii="Calibri" w:hAnsi="Calibri" w:cs="Calibri"/>
                <w:color w:val="000000"/>
              </w:rPr>
              <w:t>Behavioral</w:t>
            </w:r>
            <w:proofErr w:type="spellEnd"/>
            <w:r w:rsidRPr="00A83C0D">
              <w:rPr>
                <w:rFonts w:ascii="Calibri" w:hAnsi="Calibri" w:cs="Calibri"/>
                <w:color w:val="000000"/>
              </w:rPr>
              <w:t xml:space="preserve"> Research in Accounting</w:t>
            </w:r>
          </w:p>
        </w:tc>
        <w:tc>
          <w:tcPr>
            <w:tcW w:w="1356" w:type="dxa"/>
            <w:tcBorders>
              <w:top w:val="nil"/>
              <w:left w:val="nil"/>
              <w:bottom w:val="nil"/>
              <w:right w:val="nil"/>
            </w:tcBorders>
            <w:shd w:val="clear" w:color="000000" w:fill="FFFFFF"/>
            <w:noWrap/>
            <w:hideMark/>
          </w:tcPr>
          <w:p w14:paraId="5D9B6DAA"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2ECAFF8E"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18DF5A4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292EC57"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25</w:t>
            </w:r>
          </w:p>
        </w:tc>
        <w:tc>
          <w:tcPr>
            <w:tcW w:w="5856" w:type="dxa"/>
            <w:tcBorders>
              <w:top w:val="nil"/>
              <w:left w:val="nil"/>
              <w:bottom w:val="nil"/>
              <w:right w:val="nil"/>
            </w:tcBorders>
            <w:shd w:val="clear" w:color="000000" w:fill="FFFFFF"/>
            <w:noWrap/>
            <w:hideMark/>
          </w:tcPr>
          <w:p w14:paraId="3981A5E4" w14:textId="77777777" w:rsidR="00A83C0D" w:rsidRPr="00A83C0D" w:rsidRDefault="00A83C0D" w:rsidP="00A83C0D">
            <w:pPr>
              <w:rPr>
                <w:rFonts w:ascii="Calibri" w:hAnsi="Calibri" w:cs="Calibri"/>
                <w:color w:val="000000"/>
              </w:rPr>
            </w:pPr>
            <w:r w:rsidRPr="00A83C0D">
              <w:rPr>
                <w:rFonts w:ascii="Calibri" w:hAnsi="Calibri" w:cs="Calibri"/>
                <w:color w:val="000000"/>
              </w:rPr>
              <w:t>China Accounting and Finance Review</w:t>
            </w:r>
          </w:p>
        </w:tc>
        <w:tc>
          <w:tcPr>
            <w:tcW w:w="1356" w:type="dxa"/>
            <w:tcBorders>
              <w:top w:val="nil"/>
              <w:left w:val="nil"/>
              <w:bottom w:val="nil"/>
              <w:right w:val="nil"/>
            </w:tcBorders>
            <w:shd w:val="clear" w:color="000000" w:fill="FFFFFF"/>
            <w:noWrap/>
            <w:hideMark/>
          </w:tcPr>
          <w:p w14:paraId="3DC5DEF7"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1999 </w:t>
            </w:r>
          </w:p>
        </w:tc>
        <w:tc>
          <w:tcPr>
            <w:tcW w:w="1608" w:type="dxa"/>
            <w:tcBorders>
              <w:top w:val="nil"/>
              <w:left w:val="nil"/>
              <w:bottom w:val="nil"/>
              <w:right w:val="single" w:sz="8" w:space="0" w:color="auto"/>
            </w:tcBorders>
            <w:shd w:val="clear" w:color="000000" w:fill="FFFFFF"/>
            <w:noWrap/>
            <w:hideMark/>
          </w:tcPr>
          <w:p w14:paraId="6B0779FA" w14:textId="77777777" w:rsidR="00A83C0D" w:rsidRPr="00A83C0D" w:rsidRDefault="00A83C0D" w:rsidP="00A83C0D">
            <w:pPr>
              <w:rPr>
                <w:rFonts w:ascii="Calibri" w:hAnsi="Calibri" w:cs="Calibri"/>
                <w:color w:val="000000"/>
              </w:rPr>
            </w:pPr>
            <w:r w:rsidRPr="00A83C0D">
              <w:rPr>
                <w:rFonts w:ascii="Calibri" w:hAnsi="Calibri" w:cs="Calibri"/>
                <w:color w:val="000000"/>
              </w:rPr>
              <w:t>A</w:t>
            </w:r>
          </w:p>
        </w:tc>
      </w:tr>
      <w:tr w:rsidR="00A83C0D" w:rsidRPr="00A83C0D" w14:paraId="7033FC6A"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B96B2A7"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26</w:t>
            </w:r>
          </w:p>
        </w:tc>
        <w:tc>
          <w:tcPr>
            <w:tcW w:w="5856" w:type="dxa"/>
            <w:tcBorders>
              <w:top w:val="nil"/>
              <w:left w:val="nil"/>
              <w:bottom w:val="nil"/>
              <w:right w:val="nil"/>
            </w:tcBorders>
            <w:shd w:val="clear" w:color="000000" w:fill="FFFFFF"/>
            <w:noWrap/>
            <w:hideMark/>
          </w:tcPr>
          <w:p w14:paraId="6F50833D" w14:textId="77777777" w:rsidR="00A83C0D" w:rsidRPr="00A83C0D" w:rsidRDefault="00A83C0D" w:rsidP="00A83C0D">
            <w:pPr>
              <w:rPr>
                <w:rFonts w:ascii="Calibri" w:hAnsi="Calibri" w:cs="Calibri"/>
                <w:color w:val="000000"/>
              </w:rPr>
            </w:pPr>
            <w:r w:rsidRPr="00A83C0D">
              <w:rPr>
                <w:rFonts w:ascii="Calibri" w:hAnsi="Calibri" w:cs="Calibri"/>
                <w:color w:val="000000"/>
              </w:rPr>
              <w:t>Critical Perspectives on Accounting</w:t>
            </w:r>
          </w:p>
        </w:tc>
        <w:tc>
          <w:tcPr>
            <w:tcW w:w="1356" w:type="dxa"/>
            <w:tcBorders>
              <w:top w:val="nil"/>
              <w:left w:val="nil"/>
              <w:bottom w:val="nil"/>
              <w:right w:val="nil"/>
            </w:tcBorders>
            <w:shd w:val="clear" w:color="000000" w:fill="FFFFFF"/>
            <w:noWrap/>
            <w:hideMark/>
          </w:tcPr>
          <w:p w14:paraId="7EC79B71"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4AA327A0"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520980E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5675FCD"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27</w:t>
            </w:r>
          </w:p>
        </w:tc>
        <w:tc>
          <w:tcPr>
            <w:tcW w:w="5856" w:type="dxa"/>
            <w:tcBorders>
              <w:top w:val="nil"/>
              <w:left w:val="nil"/>
              <w:bottom w:val="nil"/>
              <w:right w:val="nil"/>
            </w:tcBorders>
            <w:shd w:val="clear" w:color="000000" w:fill="FFFFFF"/>
            <w:noWrap/>
            <w:hideMark/>
          </w:tcPr>
          <w:p w14:paraId="39D30787" w14:textId="77777777" w:rsidR="00A83C0D" w:rsidRPr="00A83C0D" w:rsidRDefault="00A83C0D" w:rsidP="00A83C0D">
            <w:pPr>
              <w:rPr>
                <w:rFonts w:ascii="Calibri" w:hAnsi="Calibri" w:cs="Calibri"/>
                <w:color w:val="000000"/>
              </w:rPr>
            </w:pPr>
            <w:r w:rsidRPr="00A83C0D">
              <w:rPr>
                <w:rFonts w:ascii="Calibri" w:hAnsi="Calibri" w:cs="Calibri"/>
                <w:color w:val="000000"/>
              </w:rPr>
              <w:t>Financial Accountability and Management</w:t>
            </w:r>
          </w:p>
        </w:tc>
        <w:tc>
          <w:tcPr>
            <w:tcW w:w="1356" w:type="dxa"/>
            <w:tcBorders>
              <w:top w:val="nil"/>
              <w:left w:val="nil"/>
              <w:bottom w:val="nil"/>
              <w:right w:val="nil"/>
            </w:tcBorders>
            <w:shd w:val="clear" w:color="000000" w:fill="FFFFFF"/>
            <w:noWrap/>
            <w:hideMark/>
          </w:tcPr>
          <w:p w14:paraId="6FD48787"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1985 </w:t>
            </w:r>
          </w:p>
        </w:tc>
        <w:tc>
          <w:tcPr>
            <w:tcW w:w="1608" w:type="dxa"/>
            <w:tcBorders>
              <w:top w:val="nil"/>
              <w:left w:val="nil"/>
              <w:bottom w:val="nil"/>
              <w:right w:val="single" w:sz="8" w:space="0" w:color="auto"/>
            </w:tcBorders>
            <w:shd w:val="clear" w:color="000000" w:fill="FFFFFF"/>
            <w:noWrap/>
            <w:hideMark/>
          </w:tcPr>
          <w:p w14:paraId="47603CCE"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4437C3D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1A3F8FC"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28</w:t>
            </w:r>
          </w:p>
        </w:tc>
        <w:tc>
          <w:tcPr>
            <w:tcW w:w="5856" w:type="dxa"/>
            <w:tcBorders>
              <w:top w:val="nil"/>
              <w:left w:val="nil"/>
              <w:bottom w:val="nil"/>
              <w:right w:val="nil"/>
            </w:tcBorders>
            <w:shd w:val="clear" w:color="000000" w:fill="FFFFFF"/>
            <w:noWrap/>
            <w:hideMark/>
          </w:tcPr>
          <w:p w14:paraId="1A93C32D" w14:textId="77777777" w:rsidR="00A83C0D" w:rsidRPr="00A83C0D" w:rsidRDefault="00A83C0D" w:rsidP="00A83C0D">
            <w:pPr>
              <w:rPr>
                <w:rFonts w:ascii="Calibri" w:hAnsi="Calibri" w:cs="Calibri"/>
                <w:color w:val="000000"/>
              </w:rPr>
            </w:pPr>
            <w:r w:rsidRPr="00A83C0D">
              <w:rPr>
                <w:rFonts w:ascii="Calibri" w:hAnsi="Calibri" w:cs="Calibri"/>
                <w:color w:val="000000"/>
              </w:rPr>
              <w:t>Foundations and Trends in Accounting</w:t>
            </w:r>
          </w:p>
        </w:tc>
        <w:tc>
          <w:tcPr>
            <w:tcW w:w="1356" w:type="dxa"/>
            <w:tcBorders>
              <w:top w:val="nil"/>
              <w:left w:val="nil"/>
              <w:bottom w:val="nil"/>
              <w:right w:val="nil"/>
            </w:tcBorders>
            <w:shd w:val="clear" w:color="000000" w:fill="FFFFFF"/>
            <w:noWrap/>
            <w:hideMark/>
          </w:tcPr>
          <w:p w14:paraId="31B350D8"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2006 </w:t>
            </w:r>
          </w:p>
        </w:tc>
        <w:tc>
          <w:tcPr>
            <w:tcW w:w="1608" w:type="dxa"/>
            <w:tcBorders>
              <w:top w:val="nil"/>
              <w:left w:val="nil"/>
              <w:bottom w:val="nil"/>
              <w:right w:val="single" w:sz="8" w:space="0" w:color="auto"/>
            </w:tcBorders>
            <w:shd w:val="clear" w:color="000000" w:fill="FFFFFF"/>
            <w:noWrap/>
            <w:hideMark/>
          </w:tcPr>
          <w:p w14:paraId="47312A7C"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552B8A7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A61056B"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29</w:t>
            </w:r>
          </w:p>
        </w:tc>
        <w:tc>
          <w:tcPr>
            <w:tcW w:w="5856" w:type="dxa"/>
            <w:tcBorders>
              <w:top w:val="nil"/>
              <w:left w:val="nil"/>
              <w:bottom w:val="nil"/>
              <w:right w:val="nil"/>
            </w:tcBorders>
            <w:shd w:val="clear" w:color="000000" w:fill="FFFFFF"/>
            <w:noWrap/>
            <w:hideMark/>
          </w:tcPr>
          <w:p w14:paraId="6719AC71" w14:textId="77777777" w:rsidR="00A83C0D" w:rsidRPr="00A83C0D" w:rsidRDefault="00A83C0D" w:rsidP="00A83C0D">
            <w:pPr>
              <w:rPr>
                <w:rFonts w:ascii="Calibri" w:hAnsi="Calibri" w:cs="Calibri"/>
                <w:color w:val="000000"/>
              </w:rPr>
            </w:pPr>
            <w:r w:rsidRPr="00A83C0D">
              <w:rPr>
                <w:rFonts w:ascii="Calibri" w:hAnsi="Calibri" w:cs="Calibri"/>
                <w:color w:val="000000"/>
              </w:rPr>
              <w:t>International Journal of Accounting Information Systems</w:t>
            </w:r>
          </w:p>
        </w:tc>
        <w:tc>
          <w:tcPr>
            <w:tcW w:w="1356" w:type="dxa"/>
            <w:tcBorders>
              <w:top w:val="nil"/>
              <w:left w:val="nil"/>
              <w:bottom w:val="nil"/>
              <w:right w:val="nil"/>
            </w:tcBorders>
            <w:shd w:val="clear" w:color="000000" w:fill="FFFFFF"/>
            <w:noWrap/>
            <w:hideMark/>
          </w:tcPr>
          <w:p w14:paraId="5EF94B55"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2000 </w:t>
            </w:r>
          </w:p>
        </w:tc>
        <w:tc>
          <w:tcPr>
            <w:tcW w:w="1608" w:type="dxa"/>
            <w:tcBorders>
              <w:top w:val="nil"/>
              <w:left w:val="nil"/>
              <w:bottom w:val="nil"/>
              <w:right w:val="single" w:sz="8" w:space="0" w:color="auto"/>
            </w:tcBorders>
            <w:shd w:val="clear" w:color="000000" w:fill="FFFFFF"/>
            <w:noWrap/>
            <w:hideMark/>
          </w:tcPr>
          <w:p w14:paraId="1CCBE561"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415BBFC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26CA57F"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30</w:t>
            </w:r>
          </w:p>
        </w:tc>
        <w:tc>
          <w:tcPr>
            <w:tcW w:w="5856" w:type="dxa"/>
            <w:tcBorders>
              <w:top w:val="nil"/>
              <w:left w:val="nil"/>
              <w:bottom w:val="nil"/>
              <w:right w:val="nil"/>
            </w:tcBorders>
            <w:shd w:val="clear" w:color="000000" w:fill="FFFFFF"/>
            <w:noWrap/>
            <w:hideMark/>
          </w:tcPr>
          <w:p w14:paraId="1D15A293" w14:textId="77777777" w:rsidR="00A83C0D" w:rsidRPr="00A83C0D" w:rsidRDefault="00A83C0D" w:rsidP="00A83C0D">
            <w:pPr>
              <w:rPr>
                <w:rFonts w:ascii="Calibri" w:hAnsi="Calibri" w:cs="Calibri"/>
                <w:color w:val="000000"/>
              </w:rPr>
            </w:pPr>
            <w:r w:rsidRPr="00A83C0D">
              <w:rPr>
                <w:rFonts w:ascii="Calibri" w:hAnsi="Calibri" w:cs="Calibri"/>
                <w:color w:val="000000"/>
              </w:rPr>
              <w:t>International Journal of Auditing</w:t>
            </w:r>
          </w:p>
        </w:tc>
        <w:tc>
          <w:tcPr>
            <w:tcW w:w="1356" w:type="dxa"/>
            <w:tcBorders>
              <w:top w:val="nil"/>
              <w:left w:val="nil"/>
              <w:bottom w:val="nil"/>
              <w:right w:val="nil"/>
            </w:tcBorders>
            <w:shd w:val="clear" w:color="000000" w:fill="FFFFFF"/>
            <w:noWrap/>
            <w:hideMark/>
          </w:tcPr>
          <w:p w14:paraId="620AA60A"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1997 </w:t>
            </w:r>
          </w:p>
        </w:tc>
        <w:tc>
          <w:tcPr>
            <w:tcW w:w="1608" w:type="dxa"/>
            <w:tcBorders>
              <w:top w:val="nil"/>
              <w:left w:val="nil"/>
              <w:bottom w:val="nil"/>
              <w:right w:val="single" w:sz="8" w:space="0" w:color="auto"/>
            </w:tcBorders>
            <w:shd w:val="clear" w:color="000000" w:fill="FFFFFF"/>
            <w:noWrap/>
            <w:hideMark/>
          </w:tcPr>
          <w:p w14:paraId="4D90A6CC"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4F713B8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7D9A6DC"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31</w:t>
            </w:r>
          </w:p>
        </w:tc>
        <w:tc>
          <w:tcPr>
            <w:tcW w:w="5856" w:type="dxa"/>
            <w:tcBorders>
              <w:top w:val="nil"/>
              <w:left w:val="nil"/>
              <w:bottom w:val="nil"/>
              <w:right w:val="nil"/>
            </w:tcBorders>
            <w:shd w:val="clear" w:color="000000" w:fill="FFFFFF"/>
            <w:noWrap/>
            <w:hideMark/>
          </w:tcPr>
          <w:p w14:paraId="73E33723" w14:textId="77777777" w:rsidR="00A83C0D" w:rsidRPr="00A83C0D" w:rsidRDefault="00A83C0D" w:rsidP="00A83C0D">
            <w:pPr>
              <w:rPr>
                <w:rFonts w:ascii="Calibri" w:hAnsi="Calibri" w:cs="Calibri"/>
                <w:color w:val="000000"/>
              </w:rPr>
            </w:pPr>
            <w:r w:rsidRPr="00A83C0D">
              <w:rPr>
                <w:rFonts w:ascii="Calibri" w:hAnsi="Calibri" w:cs="Calibri"/>
                <w:color w:val="000000"/>
              </w:rPr>
              <w:t>Issues in Accounting Education</w:t>
            </w:r>
          </w:p>
        </w:tc>
        <w:tc>
          <w:tcPr>
            <w:tcW w:w="1356" w:type="dxa"/>
            <w:tcBorders>
              <w:top w:val="nil"/>
              <w:left w:val="nil"/>
              <w:bottom w:val="nil"/>
              <w:right w:val="nil"/>
            </w:tcBorders>
            <w:shd w:val="clear" w:color="000000" w:fill="FFFFFF"/>
            <w:noWrap/>
            <w:hideMark/>
          </w:tcPr>
          <w:p w14:paraId="6EC7253C"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1983 </w:t>
            </w:r>
          </w:p>
        </w:tc>
        <w:tc>
          <w:tcPr>
            <w:tcW w:w="1608" w:type="dxa"/>
            <w:tcBorders>
              <w:top w:val="nil"/>
              <w:left w:val="nil"/>
              <w:bottom w:val="nil"/>
              <w:right w:val="single" w:sz="8" w:space="0" w:color="auto"/>
            </w:tcBorders>
            <w:shd w:val="clear" w:color="000000" w:fill="FFFFFF"/>
            <w:noWrap/>
            <w:hideMark/>
          </w:tcPr>
          <w:p w14:paraId="68EC61CF"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5A3C06F7"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604C6FD"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32</w:t>
            </w:r>
          </w:p>
        </w:tc>
        <w:tc>
          <w:tcPr>
            <w:tcW w:w="5856" w:type="dxa"/>
            <w:tcBorders>
              <w:top w:val="nil"/>
              <w:left w:val="nil"/>
              <w:bottom w:val="nil"/>
              <w:right w:val="nil"/>
            </w:tcBorders>
            <w:shd w:val="clear" w:color="000000" w:fill="FFFFFF"/>
            <w:noWrap/>
            <w:hideMark/>
          </w:tcPr>
          <w:p w14:paraId="4052ACCE" w14:textId="77777777" w:rsidR="00A83C0D" w:rsidRPr="00A83C0D" w:rsidRDefault="00A83C0D" w:rsidP="00A83C0D">
            <w:pPr>
              <w:rPr>
                <w:rFonts w:ascii="Calibri" w:hAnsi="Calibri" w:cs="Calibri"/>
                <w:color w:val="000000"/>
              </w:rPr>
            </w:pPr>
            <w:r w:rsidRPr="00A83C0D">
              <w:rPr>
                <w:rFonts w:ascii="Calibri" w:hAnsi="Calibri" w:cs="Calibri"/>
                <w:color w:val="000000"/>
              </w:rPr>
              <w:t>Journal of Accounting and Public Policy</w:t>
            </w:r>
          </w:p>
        </w:tc>
        <w:tc>
          <w:tcPr>
            <w:tcW w:w="1356" w:type="dxa"/>
            <w:tcBorders>
              <w:top w:val="nil"/>
              <w:left w:val="nil"/>
              <w:bottom w:val="nil"/>
              <w:right w:val="nil"/>
            </w:tcBorders>
            <w:shd w:val="clear" w:color="000000" w:fill="FFFFFF"/>
            <w:noWrap/>
            <w:hideMark/>
          </w:tcPr>
          <w:p w14:paraId="3EBC2CF5"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hideMark/>
          </w:tcPr>
          <w:p w14:paraId="54158FD7"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6BD34F8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BE42618"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lastRenderedPageBreak/>
              <w:t>33</w:t>
            </w:r>
          </w:p>
        </w:tc>
        <w:tc>
          <w:tcPr>
            <w:tcW w:w="5856" w:type="dxa"/>
            <w:tcBorders>
              <w:top w:val="nil"/>
              <w:left w:val="nil"/>
              <w:bottom w:val="nil"/>
              <w:right w:val="nil"/>
            </w:tcBorders>
            <w:shd w:val="clear" w:color="000000" w:fill="FFFFFF"/>
            <w:noWrap/>
            <w:hideMark/>
          </w:tcPr>
          <w:p w14:paraId="0A9643EF" w14:textId="77777777" w:rsidR="00A83C0D" w:rsidRPr="00A83C0D" w:rsidRDefault="00A83C0D" w:rsidP="00A83C0D">
            <w:pPr>
              <w:rPr>
                <w:rFonts w:ascii="Calibri" w:hAnsi="Calibri" w:cs="Calibri"/>
                <w:color w:val="000000"/>
              </w:rPr>
            </w:pPr>
            <w:r w:rsidRPr="00A83C0D">
              <w:rPr>
                <w:rFonts w:ascii="Calibri" w:hAnsi="Calibri" w:cs="Calibri"/>
                <w:color w:val="000000"/>
              </w:rPr>
              <w:t>Journal of Accounting Auditing and Finance</w:t>
            </w:r>
          </w:p>
        </w:tc>
        <w:tc>
          <w:tcPr>
            <w:tcW w:w="1356" w:type="dxa"/>
            <w:tcBorders>
              <w:top w:val="nil"/>
              <w:left w:val="nil"/>
              <w:bottom w:val="nil"/>
              <w:right w:val="nil"/>
            </w:tcBorders>
            <w:shd w:val="clear" w:color="000000" w:fill="FFFFFF"/>
            <w:noWrap/>
            <w:hideMark/>
          </w:tcPr>
          <w:p w14:paraId="41B8D9CD"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6B886D3B"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71FA92D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49E6820"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34</w:t>
            </w:r>
          </w:p>
        </w:tc>
        <w:tc>
          <w:tcPr>
            <w:tcW w:w="5856" w:type="dxa"/>
            <w:tcBorders>
              <w:top w:val="nil"/>
              <w:left w:val="nil"/>
              <w:bottom w:val="nil"/>
              <w:right w:val="nil"/>
            </w:tcBorders>
            <w:shd w:val="clear" w:color="000000" w:fill="FFFFFF"/>
            <w:noWrap/>
            <w:hideMark/>
          </w:tcPr>
          <w:p w14:paraId="6C0D6020" w14:textId="77777777" w:rsidR="00A83C0D" w:rsidRPr="00A83C0D" w:rsidRDefault="00A83C0D" w:rsidP="00A83C0D">
            <w:pPr>
              <w:rPr>
                <w:rFonts w:ascii="Calibri" w:hAnsi="Calibri" w:cs="Calibri"/>
                <w:color w:val="000000"/>
              </w:rPr>
            </w:pPr>
            <w:r w:rsidRPr="00A83C0D">
              <w:rPr>
                <w:rFonts w:ascii="Calibri" w:hAnsi="Calibri" w:cs="Calibri"/>
                <w:color w:val="000000"/>
              </w:rPr>
              <w:t>Journal of Accounting Literature</w:t>
            </w:r>
          </w:p>
        </w:tc>
        <w:tc>
          <w:tcPr>
            <w:tcW w:w="1356" w:type="dxa"/>
            <w:tcBorders>
              <w:top w:val="nil"/>
              <w:left w:val="nil"/>
              <w:bottom w:val="nil"/>
              <w:right w:val="nil"/>
            </w:tcBorders>
            <w:shd w:val="clear" w:color="000000" w:fill="FFFFFF"/>
            <w:noWrap/>
            <w:hideMark/>
          </w:tcPr>
          <w:p w14:paraId="582D96EC"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6803B9C4"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40EC8C7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4DFCE2C"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35</w:t>
            </w:r>
          </w:p>
        </w:tc>
        <w:tc>
          <w:tcPr>
            <w:tcW w:w="5856" w:type="dxa"/>
            <w:tcBorders>
              <w:top w:val="nil"/>
              <w:left w:val="nil"/>
              <w:bottom w:val="nil"/>
              <w:right w:val="nil"/>
            </w:tcBorders>
            <w:shd w:val="clear" w:color="000000" w:fill="FFFFFF"/>
            <w:noWrap/>
            <w:vAlign w:val="bottom"/>
            <w:hideMark/>
          </w:tcPr>
          <w:p w14:paraId="08F52AE8" w14:textId="77777777" w:rsidR="00A83C0D" w:rsidRPr="00A83C0D" w:rsidRDefault="00A83C0D" w:rsidP="00A83C0D">
            <w:pPr>
              <w:rPr>
                <w:rFonts w:ascii="Calibri" w:hAnsi="Calibri" w:cs="Calibri"/>
                <w:color w:val="000000"/>
              </w:rPr>
            </w:pPr>
            <w:r w:rsidRPr="00A83C0D">
              <w:rPr>
                <w:rFonts w:ascii="Calibri" w:hAnsi="Calibri" w:cs="Calibri"/>
                <w:color w:val="000000"/>
              </w:rPr>
              <w:t>Journal of Business Ethics</w:t>
            </w:r>
          </w:p>
        </w:tc>
        <w:tc>
          <w:tcPr>
            <w:tcW w:w="1356" w:type="dxa"/>
            <w:tcBorders>
              <w:top w:val="nil"/>
              <w:left w:val="nil"/>
              <w:bottom w:val="nil"/>
              <w:right w:val="nil"/>
            </w:tcBorders>
            <w:shd w:val="clear" w:color="000000" w:fill="FFFFFF"/>
            <w:noWrap/>
            <w:vAlign w:val="bottom"/>
            <w:hideMark/>
          </w:tcPr>
          <w:p w14:paraId="407BAD3F"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vAlign w:val="bottom"/>
            <w:hideMark/>
          </w:tcPr>
          <w:p w14:paraId="63B20EBE" w14:textId="77777777" w:rsidR="00A83C0D" w:rsidRPr="00A83C0D" w:rsidRDefault="00A83C0D" w:rsidP="00A83C0D">
            <w:pPr>
              <w:rPr>
                <w:rFonts w:ascii="Calibri" w:hAnsi="Calibri" w:cs="Calibri"/>
                <w:color w:val="000000"/>
              </w:rPr>
            </w:pPr>
            <w:r w:rsidRPr="00A83C0D">
              <w:rPr>
                <w:rFonts w:ascii="Calibri" w:hAnsi="Calibri" w:cs="Calibri"/>
                <w:color w:val="000000"/>
              </w:rPr>
              <w:t>A</w:t>
            </w:r>
          </w:p>
        </w:tc>
      </w:tr>
      <w:tr w:rsidR="00A83C0D" w:rsidRPr="00A83C0D" w14:paraId="4E2F7A2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D51A87"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36</w:t>
            </w:r>
          </w:p>
        </w:tc>
        <w:tc>
          <w:tcPr>
            <w:tcW w:w="5856" w:type="dxa"/>
            <w:tcBorders>
              <w:top w:val="nil"/>
              <w:left w:val="nil"/>
              <w:bottom w:val="nil"/>
              <w:right w:val="nil"/>
            </w:tcBorders>
            <w:shd w:val="clear" w:color="000000" w:fill="FFFFFF"/>
            <w:noWrap/>
            <w:hideMark/>
          </w:tcPr>
          <w:p w14:paraId="03678576" w14:textId="77777777" w:rsidR="00A83C0D" w:rsidRPr="00A83C0D" w:rsidRDefault="00A83C0D" w:rsidP="00A83C0D">
            <w:pPr>
              <w:rPr>
                <w:rFonts w:ascii="Calibri" w:hAnsi="Calibri" w:cs="Calibri"/>
                <w:color w:val="000000"/>
              </w:rPr>
            </w:pPr>
            <w:r w:rsidRPr="00A83C0D">
              <w:rPr>
                <w:rFonts w:ascii="Calibri" w:hAnsi="Calibri" w:cs="Calibri"/>
                <w:color w:val="000000"/>
              </w:rPr>
              <w:t>Journal of Contemporary Accounting and Economics</w:t>
            </w:r>
          </w:p>
        </w:tc>
        <w:tc>
          <w:tcPr>
            <w:tcW w:w="1356" w:type="dxa"/>
            <w:tcBorders>
              <w:top w:val="nil"/>
              <w:left w:val="nil"/>
              <w:bottom w:val="nil"/>
              <w:right w:val="nil"/>
            </w:tcBorders>
            <w:shd w:val="clear" w:color="000000" w:fill="FFFFFF"/>
            <w:noWrap/>
            <w:hideMark/>
          </w:tcPr>
          <w:p w14:paraId="3577C03B"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2005 </w:t>
            </w:r>
          </w:p>
        </w:tc>
        <w:tc>
          <w:tcPr>
            <w:tcW w:w="1608" w:type="dxa"/>
            <w:tcBorders>
              <w:top w:val="nil"/>
              <w:left w:val="nil"/>
              <w:bottom w:val="nil"/>
              <w:right w:val="single" w:sz="8" w:space="0" w:color="auto"/>
            </w:tcBorders>
            <w:shd w:val="clear" w:color="000000" w:fill="FFFFFF"/>
            <w:noWrap/>
            <w:hideMark/>
          </w:tcPr>
          <w:p w14:paraId="4E167265"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5FA23A6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E6E5F33"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37</w:t>
            </w:r>
          </w:p>
        </w:tc>
        <w:tc>
          <w:tcPr>
            <w:tcW w:w="5856" w:type="dxa"/>
            <w:tcBorders>
              <w:top w:val="nil"/>
              <w:left w:val="nil"/>
              <w:bottom w:val="nil"/>
              <w:right w:val="nil"/>
            </w:tcBorders>
            <w:shd w:val="clear" w:color="000000" w:fill="FFFFFF"/>
            <w:noWrap/>
            <w:hideMark/>
          </w:tcPr>
          <w:p w14:paraId="3B46D502" w14:textId="77777777" w:rsidR="00A83C0D" w:rsidRPr="00A83C0D" w:rsidRDefault="00A83C0D" w:rsidP="00A83C0D">
            <w:pPr>
              <w:rPr>
                <w:rFonts w:ascii="Calibri" w:hAnsi="Calibri" w:cs="Calibri"/>
                <w:color w:val="000000"/>
              </w:rPr>
            </w:pPr>
            <w:r w:rsidRPr="00A83C0D">
              <w:rPr>
                <w:rFonts w:ascii="Calibri" w:hAnsi="Calibri" w:cs="Calibri"/>
                <w:color w:val="000000"/>
              </w:rPr>
              <w:t>Journal of International Accounting Research</w:t>
            </w:r>
          </w:p>
        </w:tc>
        <w:tc>
          <w:tcPr>
            <w:tcW w:w="1356" w:type="dxa"/>
            <w:tcBorders>
              <w:top w:val="nil"/>
              <w:left w:val="nil"/>
              <w:bottom w:val="nil"/>
              <w:right w:val="nil"/>
            </w:tcBorders>
            <w:shd w:val="clear" w:color="000000" w:fill="FFFFFF"/>
            <w:noWrap/>
            <w:hideMark/>
          </w:tcPr>
          <w:p w14:paraId="27669162"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2002 </w:t>
            </w:r>
          </w:p>
        </w:tc>
        <w:tc>
          <w:tcPr>
            <w:tcW w:w="1608" w:type="dxa"/>
            <w:tcBorders>
              <w:top w:val="nil"/>
              <w:left w:val="nil"/>
              <w:bottom w:val="nil"/>
              <w:right w:val="single" w:sz="8" w:space="0" w:color="auto"/>
            </w:tcBorders>
            <w:shd w:val="clear" w:color="000000" w:fill="FFFFFF"/>
            <w:noWrap/>
            <w:hideMark/>
          </w:tcPr>
          <w:p w14:paraId="24E42668"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r w:rsidR="00A83C0D" w:rsidRPr="00A83C0D" w14:paraId="00415C0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DA733FE"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38</w:t>
            </w:r>
          </w:p>
        </w:tc>
        <w:tc>
          <w:tcPr>
            <w:tcW w:w="5856" w:type="dxa"/>
            <w:tcBorders>
              <w:top w:val="nil"/>
              <w:left w:val="nil"/>
              <w:bottom w:val="nil"/>
              <w:right w:val="nil"/>
            </w:tcBorders>
            <w:shd w:val="clear" w:color="000000" w:fill="FFFFFF"/>
            <w:noWrap/>
            <w:hideMark/>
          </w:tcPr>
          <w:p w14:paraId="4282886A" w14:textId="77777777" w:rsidR="00A83C0D" w:rsidRPr="00A83C0D" w:rsidRDefault="00A83C0D" w:rsidP="00A83C0D">
            <w:pPr>
              <w:rPr>
                <w:rFonts w:ascii="Calibri" w:hAnsi="Calibri" w:cs="Calibri"/>
                <w:color w:val="000000"/>
              </w:rPr>
            </w:pPr>
            <w:r w:rsidRPr="00A83C0D">
              <w:rPr>
                <w:rFonts w:ascii="Calibri" w:hAnsi="Calibri" w:cs="Calibri"/>
                <w:color w:val="000000"/>
              </w:rPr>
              <w:t>Managerial Auditing Journal</w:t>
            </w:r>
          </w:p>
        </w:tc>
        <w:tc>
          <w:tcPr>
            <w:tcW w:w="1356" w:type="dxa"/>
            <w:tcBorders>
              <w:top w:val="nil"/>
              <w:left w:val="nil"/>
              <w:bottom w:val="nil"/>
              <w:right w:val="nil"/>
            </w:tcBorders>
            <w:shd w:val="clear" w:color="000000" w:fill="FFFFFF"/>
            <w:noWrap/>
            <w:hideMark/>
          </w:tcPr>
          <w:p w14:paraId="24B82F23"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48F52961" w14:textId="77777777" w:rsidR="00A83C0D" w:rsidRPr="00A83C0D" w:rsidRDefault="00A83C0D" w:rsidP="00A83C0D">
            <w:pPr>
              <w:rPr>
                <w:rFonts w:ascii="Calibri" w:hAnsi="Calibri" w:cs="Calibri"/>
                <w:color w:val="000000"/>
              </w:rPr>
            </w:pPr>
            <w:r w:rsidRPr="00A83C0D">
              <w:rPr>
                <w:rFonts w:ascii="Calibri" w:hAnsi="Calibri" w:cs="Calibri"/>
                <w:color w:val="000000"/>
              </w:rPr>
              <w:t>A</w:t>
            </w:r>
          </w:p>
        </w:tc>
      </w:tr>
      <w:tr w:rsidR="00A83C0D" w:rsidRPr="00A83C0D" w14:paraId="0B690F6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6739689"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39</w:t>
            </w:r>
          </w:p>
        </w:tc>
        <w:tc>
          <w:tcPr>
            <w:tcW w:w="5856" w:type="dxa"/>
            <w:tcBorders>
              <w:top w:val="nil"/>
              <w:left w:val="nil"/>
              <w:bottom w:val="nil"/>
              <w:right w:val="nil"/>
            </w:tcBorders>
            <w:shd w:val="clear" w:color="000000" w:fill="FFFFFF"/>
            <w:noWrap/>
            <w:hideMark/>
          </w:tcPr>
          <w:p w14:paraId="7B62EF7E" w14:textId="77777777" w:rsidR="00A83C0D" w:rsidRPr="00A83C0D" w:rsidRDefault="00A83C0D" w:rsidP="00A83C0D">
            <w:pPr>
              <w:rPr>
                <w:rFonts w:ascii="Calibri" w:hAnsi="Calibri" w:cs="Calibri"/>
                <w:color w:val="000000"/>
              </w:rPr>
            </w:pPr>
            <w:proofErr w:type="spellStart"/>
            <w:r w:rsidRPr="00A83C0D">
              <w:rPr>
                <w:rFonts w:ascii="Calibri" w:hAnsi="Calibri" w:cs="Calibri"/>
                <w:color w:val="000000"/>
              </w:rPr>
              <w:t>Meditari</w:t>
            </w:r>
            <w:proofErr w:type="spellEnd"/>
            <w:r w:rsidRPr="00A83C0D">
              <w:rPr>
                <w:rFonts w:ascii="Calibri" w:hAnsi="Calibri" w:cs="Calibri"/>
                <w:color w:val="000000"/>
              </w:rPr>
              <w:t xml:space="preserve"> Accountancy Research</w:t>
            </w:r>
          </w:p>
        </w:tc>
        <w:tc>
          <w:tcPr>
            <w:tcW w:w="1356" w:type="dxa"/>
            <w:tcBorders>
              <w:top w:val="nil"/>
              <w:left w:val="nil"/>
              <w:bottom w:val="nil"/>
              <w:right w:val="nil"/>
            </w:tcBorders>
            <w:shd w:val="clear" w:color="000000" w:fill="FFFFFF"/>
            <w:noWrap/>
            <w:hideMark/>
          </w:tcPr>
          <w:p w14:paraId="1D8AA851"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1993 </w:t>
            </w:r>
          </w:p>
        </w:tc>
        <w:tc>
          <w:tcPr>
            <w:tcW w:w="1608" w:type="dxa"/>
            <w:tcBorders>
              <w:top w:val="nil"/>
              <w:left w:val="nil"/>
              <w:bottom w:val="nil"/>
              <w:right w:val="single" w:sz="8" w:space="0" w:color="auto"/>
            </w:tcBorders>
            <w:shd w:val="clear" w:color="000000" w:fill="FFFFFF"/>
            <w:noWrap/>
            <w:hideMark/>
          </w:tcPr>
          <w:p w14:paraId="6B67E27F" w14:textId="77777777" w:rsidR="00A83C0D" w:rsidRPr="00A83C0D" w:rsidRDefault="00A83C0D" w:rsidP="00A83C0D">
            <w:pPr>
              <w:rPr>
                <w:rFonts w:ascii="Calibri" w:hAnsi="Calibri" w:cs="Calibri"/>
                <w:color w:val="000000"/>
              </w:rPr>
            </w:pPr>
            <w:r w:rsidRPr="00A83C0D">
              <w:rPr>
                <w:rFonts w:ascii="Calibri" w:hAnsi="Calibri" w:cs="Calibri"/>
                <w:color w:val="000000"/>
              </w:rPr>
              <w:t>A</w:t>
            </w:r>
          </w:p>
        </w:tc>
      </w:tr>
      <w:tr w:rsidR="00A83C0D" w:rsidRPr="00A83C0D" w14:paraId="113C32F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87FF625"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40</w:t>
            </w:r>
          </w:p>
        </w:tc>
        <w:tc>
          <w:tcPr>
            <w:tcW w:w="5856" w:type="dxa"/>
            <w:tcBorders>
              <w:top w:val="nil"/>
              <w:left w:val="nil"/>
              <w:bottom w:val="nil"/>
              <w:right w:val="nil"/>
            </w:tcBorders>
            <w:shd w:val="clear" w:color="000000" w:fill="FFFFFF"/>
            <w:noWrap/>
            <w:hideMark/>
          </w:tcPr>
          <w:p w14:paraId="4012D796" w14:textId="77777777" w:rsidR="00A83C0D" w:rsidRPr="00A83C0D" w:rsidRDefault="00A83C0D" w:rsidP="00A83C0D">
            <w:pPr>
              <w:rPr>
                <w:rFonts w:ascii="Calibri" w:hAnsi="Calibri" w:cs="Calibri"/>
                <w:color w:val="000000"/>
              </w:rPr>
            </w:pPr>
            <w:r w:rsidRPr="00A83C0D">
              <w:rPr>
                <w:rFonts w:ascii="Calibri" w:hAnsi="Calibri" w:cs="Calibri"/>
                <w:color w:val="000000"/>
              </w:rPr>
              <w:t>Qualitative Research in Accounting and Management</w:t>
            </w:r>
          </w:p>
        </w:tc>
        <w:tc>
          <w:tcPr>
            <w:tcW w:w="1356" w:type="dxa"/>
            <w:tcBorders>
              <w:top w:val="nil"/>
              <w:left w:val="nil"/>
              <w:bottom w:val="nil"/>
              <w:right w:val="nil"/>
            </w:tcBorders>
            <w:shd w:val="clear" w:color="000000" w:fill="FFFFFF"/>
            <w:noWrap/>
            <w:hideMark/>
          </w:tcPr>
          <w:p w14:paraId="2DE56FC8"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55FE20C6" w14:textId="77777777" w:rsidR="00A83C0D" w:rsidRPr="00A83C0D" w:rsidRDefault="00A83C0D" w:rsidP="00A83C0D">
            <w:pPr>
              <w:rPr>
                <w:rFonts w:ascii="Calibri" w:hAnsi="Calibri" w:cs="Calibri"/>
                <w:color w:val="000000"/>
              </w:rPr>
            </w:pPr>
            <w:r w:rsidRPr="00A83C0D">
              <w:rPr>
                <w:rFonts w:ascii="Calibri" w:hAnsi="Calibri" w:cs="Calibri"/>
                <w:color w:val="000000"/>
              </w:rPr>
              <w:t>A</w:t>
            </w:r>
          </w:p>
        </w:tc>
      </w:tr>
      <w:tr w:rsidR="00A83C0D" w:rsidRPr="00A83C0D" w14:paraId="74FB97EA" w14:textId="77777777" w:rsidTr="00A83C0D">
        <w:trPr>
          <w:trHeight w:val="330"/>
        </w:trPr>
        <w:tc>
          <w:tcPr>
            <w:tcW w:w="368" w:type="dxa"/>
            <w:tcBorders>
              <w:top w:val="nil"/>
              <w:left w:val="single" w:sz="8" w:space="0" w:color="auto"/>
              <w:bottom w:val="single" w:sz="8" w:space="0" w:color="auto"/>
              <w:right w:val="nil"/>
            </w:tcBorders>
            <w:shd w:val="clear" w:color="000000" w:fill="FFFFFF"/>
            <w:noWrap/>
            <w:vAlign w:val="bottom"/>
            <w:hideMark/>
          </w:tcPr>
          <w:p w14:paraId="4D7BB17A" w14:textId="77777777" w:rsidR="00A83C0D" w:rsidRPr="00A83C0D" w:rsidRDefault="00A83C0D" w:rsidP="00A83C0D">
            <w:pPr>
              <w:jc w:val="right"/>
              <w:rPr>
                <w:rFonts w:ascii="Calibri" w:hAnsi="Calibri" w:cs="Calibri"/>
                <w:color w:val="000000"/>
              </w:rPr>
            </w:pPr>
            <w:r w:rsidRPr="00A83C0D">
              <w:rPr>
                <w:rFonts w:ascii="Calibri" w:hAnsi="Calibri" w:cs="Calibri"/>
                <w:color w:val="000000"/>
              </w:rPr>
              <w:t>41</w:t>
            </w:r>
          </w:p>
        </w:tc>
        <w:tc>
          <w:tcPr>
            <w:tcW w:w="5856" w:type="dxa"/>
            <w:tcBorders>
              <w:top w:val="nil"/>
              <w:left w:val="nil"/>
              <w:bottom w:val="single" w:sz="8" w:space="0" w:color="auto"/>
              <w:right w:val="nil"/>
            </w:tcBorders>
            <w:shd w:val="clear" w:color="000000" w:fill="FFFFFF"/>
            <w:noWrap/>
            <w:hideMark/>
          </w:tcPr>
          <w:p w14:paraId="1D54724F" w14:textId="77777777" w:rsidR="00A83C0D" w:rsidRPr="00A83C0D" w:rsidRDefault="00A83C0D" w:rsidP="00A83C0D">
            <w:pPr>
              <w:rPr>
                <w:rFonts w:ascii="Calibri" w:hAnsi="Calibri" w:cs="Calibri"/>
                <w:color w:val="000000"/>
              </w:rPr>
            </w:pPr>
            <w:r w:rsidRPr="00A83C0D">
              <w:rPr>
                <w:rFonts w:ascii="Calibri" w:hAnsi="Calibri" w:cs="Calibri"/>
                <w:color w:val="000000"/>
              </w:rPr>
              <w:t>The International Journal of Accounting</w:t>
            </w:r>
          </w:p>
        </w:tc>
        <w:tc>
          <w:tcPr>
            <w:tcW w:w="1356" w:type="dxa"/>
            <w:tcBorders>
              <w:top w:val="nil"/>
              <w:left w:val="nil"/>
              <w:bottom w:val="single" w:sz="8" w:space="0" w:color="auto"/>
              <w:right w:val="nil"/>
            </w:tcBorders>
            <w:shd w:val="clear" w:color="000000" w:fill="FFFFFF"/>
            <w:noWrap/>
            <w:hideMark/>
          </w:tcPr>
          <w:p w14:paraId="4BB20422"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1965 </w:t>
            </w:r>
          </w:p>
        </w:tc>
        <w:tc>
          <w:tcPr>
            <w:tcW w:w="1608" w:type="dxa"/>
            <w:tcBorders>
              <w:top w:val="nil"/>
              <w:left w:val="nil"/>
              <w:bottom w:val="single" w:sz="8" w:space="0" w:color="auto"/>
              <w:right w:val="single" w:sz="8" w:space="0" w:color="auto"/>
            </w:tcBorders>
            <w:shd w:val="clear" w:color="000000" w:fill="FFFFFF"/>
            <w:noWrap/>
            <w:hideMark/>
          </w:tcPr>
          <w:p w14:paraId="0755787A" w14:textId="77777777" w:rsidR="00A83C0D" w:rsidRPr="00A83C0D" w:rsidRDefault="00A83C0D" w:rsidP="00A83C0D">
            <w:pPr>
              <w:rPr>
                <w:rFonts w:ascii="Calibri" w:hAnsi="Calibri" w:cs="Calibri"/>
                <w:color w:val="000000"/>
              </w:rPr>
            </w:pPr>
            <w:r w:rsidRPr="00A83C0D">
              <w:rPr>
                <w:rFonts w:ascii="Calibri" w:hAnsi="Calibri" w:cs="Calibri"/>
                <w:color w:val="000000"/>
              </w:rPr>
              <w:t xml:space="preserve">A </w:t>
            </w:r>
          </w:p>
        </w:tc>
      </w:tr>
    </w:tbl>
    <w:p w14:paraId="75B87713" w14:textId="6E2AA00B" w:rsidR="005C61D2" w:rsidRPr="005C61D2" w:rsidRDefault="005C61D2" w:rsidP="005C61D2">
      <w:pPr>
        <w:rPr>
          <w:i/>
          <w:iCs/>
        </w:rPr>
      </w:pPr>
      <w:r w:rsidRPr="005C61D2">
        <w:rPr>
          <w:b/>
          <w:bCs/>
        </w:rPr>
        <w:t xml:space="preserve">Table </w:t>
      </w:r>
      <w:r w:rsidRPr="005C61D2">
        <w:rPr>
          <w:rFonts w:hint="eastAsia"/>
          <w:b/>
          <w:bCs/>
        </w:rPr>
        <w:t>2</w:t>
      </w:r>
      <w:r w:rsidRPr="005C61D2">
        <w:rPr>
          <w:b/>
          <w:bCs/>
        </w:rPr>
        <w:t>. Top accounting journals (based on ABDC lists)</w:t>
      </w:r>
      <w:r w:rsidRPr="005C61D2">
        <w:br/>
      </w:r>
      <w:r w:rsidRPr="005C61D2">
        <w:rPr>
          <w:i/>
          <w:iCs/>
        </w:rPr>
        <w:t>Source: ABDC (2022)</w:t>
      </w:r>
    </w:p>
    <w:p w14:paraId="5791A7A0" w14:textId="43AC091E" w:rsidR="005F5CF4" w:rsidRPr="005F5CF4" w:rsidRDefault="005F5CF4" w:rsidP="005F5CF4">
      <w:pPr>
        <w:pStyle w:val="ListParagraph"/>
        <w:widowControl w:val="0"/>
        <w:spacing w:after="160"/>
        <w:ind w:left="360" w:firstLine="491"/>
        <w:jc w:val="both"/>
      </w:pPr>
      <w:r w:rsidRPr="005F5CF4">
        <w:t>Following confirmation of the journal list, a structured article selection protocol was developed in consultation within the research team. This framework, derived from the initial search strategy, was pilot-tested on a subsample of articles to refine keyword combinations and inclusion criteria</w:t>
      </w:r>
      <w:r w:rsidR="00F31397">
        <w:t xml:space="preserve"> in March 2025</w:t>
      </w:r>
      <w:r w:rsidRPr="005F5CF4">
        <w:t>. Final database searches were conducted in November 2025 across the four selected databases.</w:t>
      </w:r>
      <w:r w:rsidR="00CE5B5F">
        <w:t xml:space="preserve"> </w:t>
      </w:r>
      <w:r w:rsidR="00CE5B5F" w:rsidRPr="00CE5B5F">
        <w:rPr>
          <w:lang w:val="en-US"/>
        </w:rPr>
        <w:t>Figure 1 presents the article identification and selection process following PRISMA guidelines. Database searches yielded 3,551 records in total, comprising 961 from Scopus, 915 from EBSCO, 913 from ProQuest and 762 from Web of Science. Prior to screening, records were removed due to journal quality criteria and duplication across databases. Owing to overlapping results and differences in formatting and naming conventions, a manual, line-by-line deduplication was undertaken using EndNote. This process resulted in 176 unique records retained for manual screening. During abstract screening, 52 studies were excluded, including 35 non-</w:t>
      </w:r>
      <w:r w:rsidR="00CE5B5F" w:rsidRPr="000378CE">
        <w:rPr>
          <w:lang w:val="en-US"/>
        </w:rPr>
        <w:t>empirical papers and 17 empirical studies with only marginal relevance to non-financial information assurance. The final dataset therefore comprised 124 empirical studies meeting all inclusion criteria.</w:t>
      </w:r>
    </w:p>
    <w:p w14:paraId="44A96FB0" w14:textId="77777777" w:rsidR="000378CE" w:rsidRPr="000378CE" w:rsidRDefault="000378CE">
      <w:r w:rsidRPr="000378CE">
        <w:br w:type="page"/>
      </w:r>
    </w:p>
    <w:p w14:paraId="0E88BD48" w14:textId="3D0A0688" w:rsidR="00C9060A" w:rsidRPr="00AF5373" w:rsidRDefault="00C9060A" w:rsidP="00C9060A">
      <w:pPr>
        <w:rPr>
          <w:highlight w:val="yellow"/>
        </w:rPr>
      </w:pPr>
      <w:r w:rsidRPr="00AF5373">
        <w:rPr>
          <w:noProof/>
          <w:highlight w:val="yellow"/>
        </w:rPr>
        <w:lastRenderedPageBreak/>
        <mc:AlternateContent>
          <mc:Choice Requires="wps">
            <w:drawing>
              <wp:anchor distT="0" distB="0" distL="114300" distR="114300" simplePos="0" relativeHeight="251695104" behindDoc="0" locked="0" layoutInCell="1" allowOverlap="1" wp14:anchorId="1D13DCD5" wp14:editId="1E0B9FB0">
                <wp:simplePos x="0" y="0"/>
                <wp:positionH relativeFrom="column">
                  <wp:posOffset>563526</wp:posOffset>
                </wp:positionH>
                <wp:positionV relativeFrom="paragraph">
                  <wp:posOffset>74428</wp:posOffset>
                </wp:positionV>
                <wp:extent cx="4345229" cy="340242"/>
                <wp:effectExtent l="0" t="0" r="17780" b="22225"/>
                <wp:wrapNone/>
                <wp:docPr id="1026682191" name="Flowchart: Alternate Process 1026682191"/>
                <wp:cNvGraphicFramePr/>
                <a:graphic xmlns:a="http://schemas.openxmlformats.org/drawingml/2006/main">
                  <a:graphicData uri="http://schemas.microsoft.com/office/word/2010/wordprocessingShape">
                    <wps:wsp>
                      <wps:cNvSpPr/>
                      <wps:spPr>
                        <a:xfrm>
                          <a:off x="0" y="0"/>
                          <a:ext cx="4345229" cy="340242"/>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482B3395"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13DCD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26682191" o:spid="_x0000_s1026" type="#_x0000_t176" style="position:absolute;margin-left:44.35pt;margin-top:5.85pt;width:342.15pt;height:26.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" fillcolor="#0f9ed5 [3207]" strokecolor="#074e69 [1607]" strokeweight="1pt">
                <v:textbox>
                  <w:txbxContent>
                    <w:p w14:paraId="482B3395"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2ED23133" w14:textId="77777777" w:rsidR="00C9060A" w:rsidRPr="00AF5373" w:rsidRDefault="00C9060A" w:rsidP="00C9060A">
      <w:pPr>
        <w:rPr>
          <w:highlight w:val="yellow"/>
        </w:rPr>
      </w:pPr>
    </w:p>
    <w:p w14:paraId="50B6344A" w14:textId="77777777" w:rsidR="00C9060A" w:rsidRPr="00AF5373" w:rsidRDefault="00C9060A" w:rsidP="00C9060A">
      <w:pPr>
        <w:rPr>
          <w:highlight w:val="yellow"/>
        </w:rPr>
      </w:pPr>
    </w:p>
    <w:p w14:paraId="7900CEA6" w14:textId="77777777" w:rsidR="00C9060A" w:rsidRPr="00AF5373" w:rsidRDefault="00C9060A" w:rsidP="00C9060A">
      <w:pPr>
        <w:rPr>
          <w:highlight w:val="yellow"/>
        </w:rPr>
      </w:pPr>
      <w:r w:rsidRPr="00AF5373">
        <w:rPr>
          <w:noProof/>
          <w:highlight w:val="yellow"/>
        </w:rPr>
        <mc:AlternateContent>
          <mc:Choice Requires="wps">
            <w:drawing>
              <wp:anchor distT="0" distB="0" distL="114300" distR="114300" simplePos="0" relativeHeight="251681792" behindDoc="0" locked="0" layoutInCell="1" allowOverlap="1" wp14:anchorId="3EF9E147" wp14:editId="13443F6E">
                <wp:simplePos x="0" y="0"/>
                <wp:positionH relativeFrom="column">
                  <wp:posOffset>559435</wp:posOffset>
                </wp:positionH>
                <wp:positionV relativeFrom="paragraph">
                  <wp:posOffset>16510</wp:posOffset>
                </wp:positionV>
                <wp:extent cx="1887220" cy="1243330"/>
                <wp:effectExtent l="0" t="0" r="17780" b="13970"/>
                <wp:wrapNone/>
                <wp:docPr id="2085532282" name="Rectangle 2085532282"/>
                <wp:cNvGraphicFramePr/>
                <a:graphic xmlns:a="http://schemas.openxmlformats.org/drawingml/2006/main">
                  <a:graphicData uri="http://schemas.microsoft.com/office/word/2010/wordprocessingShape">
                    <wps:wsp>
                      <wps:cNvSpPr/>
                      <wps:spPr>
                        <a:xfrm>
                          <a:off x="0" y="0"/>
                          <a:ext cx="1887220" cy="12433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841C6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26427CC0"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5FB8A9B7"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4A53B4C3" w14:textId="77777777" w:rsidR="00C9060A" w:rsidRDefault="00C9060A" w:rsidP="00C9060A">
                            <w:pPr>
                              <w:ind w:left="284"/>
                              <w:rPr>
                                <w:rFonts w:ascii="Arial" w:hAnsi="Arial" w:cs="Arial"/>
                                <w:color w:val="000000" w:themeColor="text1"/>
                                <w:sz w:val="18"/>
                                <w:szCs w:val="20"/>
                              </w:rPr>
                            </w:pPr>
                            <w:proofErr w:type="spellStart"/>
                            <w:r>
                              <w:rPr>
                                <w:rFonts w:ascii="Arial" w:hAnsi="Arial" w:cs="Arial"/>
                                <w:color w:val="000000" w:themeColor="text1"/>
                                <w:sz w:val="18"/>
                                <w:szCs w:val="20"/>
                              </w:rPr>
                              <w:t>WoS</w:t>
                            </w:r>
                            <w:proofErr w:type="spellEnd"/>
                            <w:r>
                              <w:rPr>
                                <w:rFonts w:ascii="Arial" w:hAnsi="Arial" w:cs="Arial"/>
                                <w:color w:val="000000" w:themeColor="text1"/>
                                <w:sz w:val="18"/>
                                <w:szCs w:val="20"/>
                              </w:rPr>
                              <w:t xml:space="preserve"> (n = 762)</w:t>
                            </w:r>
                          </w:p>
                          <w:p w14:paraId="084A6A2B" w14:textId="77777777" w:rsidR="00C9060A" w:rsidRDefault="00C9060A" w:rsidP="00C9060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29D7B87B" w14:textId="77777777" w:rsidR="00C9060A" w:rsidRPr="006E4066" w:rsidRDefault="00C9060A" w:rsidP="00C9060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3CD1DC0" w14:textId="77777777" w:rsidR="00C9060A" w:rsidRPr="00560609" w:rsidRDefault="00C9060A" w:rsidP="00C9060A">
                            <w:pPr>
                              <w:ind w:left="284"/>
                              <w:rPr>
                                <w:rFonts w:ascii="Arial" w:hAnsi="Arial" w:cs="Arial"/>
                                <w:color w:val="000000" w:themeColor="text1"/>
                                <w:sz w:val="18"/>
                                <w:szCs w:val="20"/>
                              </w:rPr>
                            </w:pPr>
                          </w:p>
                          <w:p w14:paraId="7EFB2B22" w14:textId="77777777" w:rsidR="00C9060A" w:rsidRPr="00560609" w:rsidRDefault="00C9060A" w:rsidP="00C9060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9E147" id="Rectangle 2085532282" o:spid="_x0000_s1027" style="position:absolute;margin-left:44.05pt;margin-top:1.3pt;width:148.6pt;height:97.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" filled="f" strokecolor="black [3213]" strokeweight="1pt">
                <v:textbox>
                  <w:txbxContent>
                    <w:p w14:paraId="4B841C6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26427CC0"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5FB8A9B7"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4A53B4C3" w14:textId="77777777" w:rsidR="00C9060A" w:rsidRDefault="00C9060A" w:rsidP="00C9060A">
                      <w:pPr>
                        <w:ind w:left="284"/>
                        <w:rPr>
                          <w:rFonts w:ascii="Arial" w:hAnsi="Arial" w:cs="Arial"/>
                          <w:color w:val="000000" w:themeColor="text1"/>
                          <w:sz w:val="18"/>
                          <w:szCs w:val="20"/>
                        </w:rPr>
                      </w:pPr>
                      <w:proofErr w:type="spellStart"/>
                      <w:r>
                        <w:rPr>
                          <w:rFonts w:ascii="Arial" w:hAnsi="Arial" w:cs="Arial"/>
                          <w:color w:val="000000" w:themeColor="text1"/>
                          <w:sz w:val="18"/>
                          <w:szCs w:val="20"/>
                        </w:rPr>
                        <w:t>WoS</w:t>
                      </w:r>
                      <w:proofErr w:type="spellEnd"/>
                      <w:r>
                        <w:rPr>
                          <w:rFonts w:ascii="Arial" w:hAnsi="Arial" w:cs="Arial"/>
                          <w:color w:val="000000" w:themeColor="text1"/>
                          <w:sz w:val="18"/>
                          <w:szCs w:val="20"/>
                        </w:rPr>
                        <w:t xml:space="preserve"> (n = 762)</w:t>
                      </w:r>
                    </w:p>
                    <w:p w14:paraId="084A6A2B" w14:textId="77777777" w:rsidR="00C9060A" w:rsidRDefault="00C9060A" w:rsidP="00C9060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29D7B87B" w14:textId="77777777" w:rsidR="00C9060A" w:rsidRPr="006E4066" w:rsidRDefault="00C9060A" w:rsidP="00C9060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3CD1DC0" w14:textId="77777777" w:rsidR="00C9060A" w:rsidRPr="00560609" w:rsidRDefault="00C9060A" w:rsidP="00C9060A">
                      <w:pPr>
                        <w:ind w:left="284"/>
                        <w:rPr>
                          <w:rFonts w:ascii="Arial" w:hAnsi="Arial" w:cs="Arial"/>
                          <w:color w:val="000000" w:themeColor="text1"/>
                          <w:sz w:val="18"/>
                          <w:szCs w:val="20"/>
                        </w:rPr>
                      </w:pPr>
                    </w:p>
                    <w:p w14:paraId="7EFB2B22" w14:textId="77777777" w:rsidR="00C9060A" w:rsidRPr="00560609" w:rsidRDefault="00C9060A" w:rsidP="00C9060A">
                      <w:pPr>
                        <w:ind w:left="284"/>
                        <w:rPr>
                          <w:rFonts w:ascii="Arial" w:hAnsi="Arial" w:cs="Arial"/>
                          <w:color w:val="000000" w:themeColor="text1"/>
                          <w:sz w:val="18"/>
                          <w:szCs w:val="20"/>
                        </w:rPr>
                      </w:pPr>
                    </w:p>
                  </w:txbxContent>
                </v:textbox>
              </v:rect>
            </w:pict>
          </mc:Fallback>
        </mc:AlternateContent>
      </w:r>
      <w:r w:rsidRPr="00AF5373">
        <w:rPr>
          <w:noProof/>
          <w:highlight w:val="yellow"/>
        </w:rPr>
        <mc:AlternateContent>
          <mc:Choice Requires="wps">
            <w:drawing>
              <wp:anchor distT="0" distB="0" distL="114300" distR="114300" simplePos="0" relativeHeight="251682816" behindDoc="0" locked="0" layoutInCell="1" allowOverlap="1" wp14:anchorId="3C42223F" wp14:editId="5028A912">
                <wp:simplePos x="0" y="0"/>
                <wp:positionH relativeFrom="column">
                  <wp:posOffset>3040380</wp:posOffset>
                </wp:positionH>
                <wp:positionV relativeFrom="paragraph">
                  <wp:posOffset>10795</wp:posOffset>
                </wp:positionV>
                <wp:extent cx="2264410" cy="1329055"/>
                <wp:effectExtent l="0" t="0" r="21590" b="23495"/>
                <wp:wrapNone/>
                <wp:docPr id="252070438" name="Rectangle 252070438"/>
                <wp:cNvGraphicFramePr/>
                <a:graphic xmlns:a="http://schemas.openxmlformats.org/drawingml/2006/main">
                  <a:graphicData uri="http://schemas.microsoft.com/office/word/2010/wordprocessingShape">
                    <wps:wsp>
                      <wps:cNvSpPr/>
                      <wps:spPr>
                        <a:xfrm>
                          <a:off x="0" y="0"/>
                          <a:ext cx="2264410" cy="13290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01F6B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0162A57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4071CD85" w14:textId="77777777" w:rsidR="00C9060A" w:rsidRPr="009B3F4C" w:rsidRDefault="00C9060A" w:rsidP="00C9060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68E64F9E" w14:textId="77777777" w:rsidR="00C9060A" w:rsidRPr="00560609" w:rsidRDefault="00C9060A" w:rsidP="00C9060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2223F" id="Rectangle 252070438" o:spid="_x0000_s1028" style="position:absolute;margin-left:239.4pt;margin-top:.85pt;width:178.3pt;height:104.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" filled="f" strokecolor="black [3213]" strokeweight="1pt">
                <v:textbox>
                  <w:txbxContent>
                    <w:p w14:paraId="5701F6B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0162A57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4071CD85" w14:textId="77777777" w:rsidR="00C9060A" w:rsidRPr="009B3F4C" w:rsidRDefault="00C9060A" w:rsidP="00C9060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68E64F9E" w14:textId="77777777" w:rsidR="00C9060A" w:rsidRPr="00560609" w:rsidRDefault="00C9060A" w:rsidP="00C9060A">
                      <w:pPr>
                        <w:ind w:left="284"/>
                        <w:rPr>
                          <w:rFonts w:ascii="Arial" w:hAnsi="Arial" w:cs="Arial"/>
                          <w:color w:val="000000" w:themeColor="text1"/>
                          <w:sz w:val="18"/>
                          <w:szCs w:val="20"/>
                        </w:rPr>
                      </w:pPr>
                    </w:p>
                  </w:txbxContent>
                </v:textbox>
              </v:rect>
            </w:pict>
          </mc:Fallback>
        </mc:AlternateContent>
      </w:r>
    </w:p>
    <w:p w14:paraId="2F04B95B" w14:textId="77777777" w:rsidR="00C9060A" w:rsidRPr="00AF5373" w:rsidRDefault="00C9060A" w:rsidP="00C9060A">
      <w:pPr>
        <w:rPr>
          <w:highlight w:val="yellow"/>
        </w:rPr>
      </w:pPr>
      <w:r w:rsidRPr="00AF5373">
        <w:rPr>
          <w:noProof/>
          <w:highlight w:val="yellow"/>
        </w:rPr>
        <mc:AlternateContent>
          <mc:Choice Requires="wps">
            <w:drawing>
              <wp:anchor distT="0" distB="0" distL="114300" distR="114300" simplePos="0" relativeHeight="251696128" behindDoc="0" locked="0" layoutInCell="1" allowOverlap="1" wp14:anchorId="42EAFDBE" wp14:editId="4C153292">
                <wp:simplePos x="0" y="0"/>
                <wp:positionH relativeFrom="column">
                  <wp:posOffset>-403543</wp:posOffset>
                </wp:positionH>
                <wp:positionV relativeFrom="paragraph">
                  <wp:posOffset>222567</wp:posOffset>
                </wp:positionV>
                <wp:extent cx="1276985" cy="262890"/>
                <wp:effectExtent l="0" t="7302" r="11112" b="11113"/>
                <wp:wrapNone/>
                <wp:docPr id="1275149529" name="Flowchart: Alternate Process 1275149529"/>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A5DDE64"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AFDBE" id="Flowchart: Alternate Process 1275149529" o:spid="_x0000_s1029" type="#_x0000_t176" style="position:absolute;margin-left:-31.8pt;margin-top:17.5pt;width:100.55pt;height:20.7pt;rotation:-9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" fillcolor="#d86dcb [1944]" strokecolor="black [3213]" strokeweight="1pt">
                <v:textbox>
                  <w:txbxContent>
                    <w:p w14:paraId="3A5DDE64"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6347A60F" w14:textId="77777777" w:rsidR="00C9060A" w:rsidRPr="00AF5373" w:rsidRDefault="00C9060A" w:rsidP="00C9060A">
      <w:pPr>
        <w:rPr>
          <w:highlight w:val="yellow"/>
        </w:rPr>
      </w:pPr>
    </w:p>
    <w:p w14:paraId="4EBA6AA9" w14:textId="77777777" w:rsidR="00C9060A" w:rsidRPr="00AF5373" w:rsidRDefault="00C9060A" w:rsidP="00C9060A">
      <w:pPr>
        <w:rPr>
          <w:highlight w:val="yellow"/>
        </w:rPr>
      </w:pPr>
      <w:r w:rsidRPr="00AF5373">
        <w:rPr>
          <w:noProof/>
          <w:highlight w:val="yellow"/>
        </w:rPr>
        <mc:AlternateContent>
          <mc:Choice Requires="wps">
            <w:drawing>
              <wp:anchor distT="0" distB="0" distL="114300" distR="114300" simplePos="0" relativeHeight="251691008" behindDoc="0" locked="0" layoutInCell="1" allowOverlap="1" wp14:anchorId="6441EEFE" wp14:editId="507A6BF3">
                <wp:simplePos x="0" y="0"/>
                <wp:positionH relativeFrom="column">
                  <wp:posOffset>2454250</wp:posOffset>
                </wp:positionH>
                <wp:positionV relativeFrom="paragraph">
                  <wp:posOffset>9550</wp:posOffset>
                </wp:positionV>
                <wp:extent cx="563270" cy="0"/>
                <wp:effectExtent l="0" t="76200" r="27305" b="95250"/>
                <wp:wrapNone/>
                <wp:docPr id="1014772172" name="Straight Arrow Connector 1014772172"/>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AB6AD64" id="_x0000_t32" coordsize="21600,21600" o:spt="32" o:oned="t" path="m,l21600,21600e" filled="f">
                <v:path arrowok="t" fillok="f" o:connecttype="none"/>
                <o:lock v:ext="edit" shapetype="t"/>
              </v:shapetype>
              <v:shape id="Straight Arrow Connector 1014772172" o:spid="_x0000_s1026" type="#_x0000_t32" style="position:absolute;margin-left:193.25pt;margin-top:.75pt;width:44.3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QVygEAAP0DAAAOAAAAZHJzL2Uyb0RvYy54bWysU9uO0zAQfUfiHyy/07RF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" strokecolor="black [3213]" strokeweight=".5pt">
                <v:stroke endarrow="block" joinstyle="miter"/>
              </v:shape>
            </w:pict>
          </mc:Fallback>
        </mc:AlternateContent>
      </w:r>
    </w:p>
    <w:p w14:paraId="609AADBC" w14:textId="77777777" w:rsidR="00C9060A" w:rsidRPr="00AF5373" w:rsidRDefault="00C9060A" w:rsidP="00C9060A">
      <w:pPr>
        <w:rPr>
          <w:highlight w:val="yellow"/>
        </w:rPr>
      </w:pPr>
    </w:p>
    <w:p w14:paraId="2907E50F" w14:textId="77777777" w:rsidR="00C9060A" w:rsidRPr="00AF5373" w:rsidRDefault="00C9060A" w:rsidP="00C9060A">
      <w:pPr>
        <w:rPr>
          <w:highlight w:val="yellow"/>
        </w:rPr>
      </w:pPr>
    </w:p>
    <w:p w14:paraId="2EEB292C" w14:textId="77777777" w:rsidR="00C9060A" w:rsidRPr="00AF5373" w:rsidRDefault="00C9060A" w:rsidP="00C9060A">
      <w:pPr>
        <w:rPr>
          <w:highlight w:val="yellow"/>
        </w:rPr>
      </w:pPr>
    </w:p>
    <w:p w14:paraId="0E9743B8" w14:textId="77777777" w:rsidR="00C9060A" w:rsidRPr="00AF5373" w:rsidRDefault="00C9060A" w:rsidP="00C9060A">
      <w:pPr>
        <w:rPr>
          <w:highlight w:val="yellow"/>
        </w:rPr>
      </w:pPr>
      <w:r w:rsidRPr="00AF5373">
        <w:rPr>
          <w:noProof/>
          <w:highlight w:val="yellow"/>
        </w:rPr>
        <mc:AlternateContent>
          <mc:Choice Requires="wps">
            <w:drawing>
              <wp:anchor distT="0" distB="0" distL="114300" distR="114300" simplePos="0" relativeHeight="251699200" behindDoc="0" locked="0" layoutInCell="1" allowOverlap="1" wp14:anchorId="038C35C7" wp14:editId="34F7C75E">
                <wp:simplePos x="0" y="0"/>
                <wp:positionH relativeFrom="column">
                  <wp:posOffset>1400175</wp:posOffset>
                </wp:positionH>
                <wp:positionV relativeFrom="paragraph">
                  <wp:posOffset>15328</wp:posOffset>
                </wp:positionV>
                <wp:extent cx="0" cy="281305"/>
                <wp:effectExtent l="76200" t="0" r="57150" b="61595"/>
                <wp:wrapNone/>
                <wp:docPr id="1787916010" name="Straight Arrow Connector 1787916010"/>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5EA8D7" id="Straight Arrow Connector 1787916010" o:spid="_x0000_s1026" type="#_x0000_t32" style="position:absolute;margin-left:110.25pt;margin-top:1.2pt;width:0;height:2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" strokecolor="black [3213]" strokeweight=".5pt">
                <v:stroke endarrow="block" joinstyle="miter"/>
              </v:shape>
            </w:pict>
          </mc:Fallback>
        </mc:AlternateContent>
      </w:r>
    </w:p>
    <w:p w14:paraId="5C0DAF4D" w14:textId="77777777" w:rsidR="00C9060A" w:rsidRPr="00AF5373" w:rsidRDefault="00C9060A" w:rsidP="00C9060A">
      <w:pPr>
        <w:rPr>
          <w:highlight w:val="yellow"/>
        </w:rPr>
      </w:pPr>
      <w:r w:rsidRPr="00AF5373">
        <w:rPr>
          <w:noProof/>
          <w:highlight w:val="yellow"/>
        </w:rPr>
        <mc:AlternateContent>
          <mc:Choice Requires="wps">
            <w:drawing>
              <wp:anchor distT="0" distB="0" distL="114300" distR="114300" simplePos="0" relativeHeight="251684864" behindDoc="0" locked="0" layoutInCell="1" allowOverlap="1" wp14:anchorId="20A84435" wp14:editId="724D5DAC">
                <wp:simplePos x="0" y="0"/>
                <wp:positionH relativeFrom="column">
                  <wp:posOffset>3051544</wp:posOffset>
                </wp:positionH>
                <wp:positionV relativeFrom="paragraph">
                  <wp:posOffset>74782</wp:posOffset>
                </wp:positionV>
                <wp:extent cx="1864817" cy="897994"/>
                <wp:effectExtent l="0" t="0" r="21590" b="16510"/>
                <wp:wrapNone/>
                <wp:docPr id="614985903" name="Rectangle 614985903"/>
                <wp:cNvGraphicFramePr/>
                <a:graphic xmlns:a="http://schemas.openxmlformats.org/drawingml/2006/main">
                  <a:graphicData uri="http://schemas.microsoft.com/office/word/2010/wordprocessingShape">
                    <wps:wsp>
                      <wps:cNvSpPr/>
                      <wps:spPr>
                        <a:xfrm>
                          <a:off x="0" y="0"/>
                          <a:ext cx="1864817" cy="89799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64E598"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0EC8CF70"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Non-empirical (n = 35)</w:t>
                            </w:r>
                          </w:p>
                          <w:p w14:paraId="48CABFA6"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2527137B" w14:textId="77777777" w:rsidR="00C9060A" w:rsidRPr="00AE000D" w:rsidRDefault="00C9060A" w:rsidP="00C9060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84435" id="Rectangle 614985903" o:spid="_x0000_s1030" style="position:absolute;margin-left:240.3pt;margin-top:5.9pt;width:146.85pt;height:70.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" filled="f" strokecolor="black [3213]" strokeweight="1pt">
                <v:textbox>
                  <w:txbxContent>
                    <w:p w14:paraId="5964E598"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0EC8CF70"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Non-empirical (n = 35)</w:t>
                      </w:r>
                    </w:p>
                    <w:p w14:paraId="48CABFA6"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2527137B" w14:textId="77777777" w:rsidR="00C9060A" w:rsidRPr="00AE000D" w:rsidRDefault="00C9060A" w:rsidP="00C9060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v:textbox>
              </v:rect>
            </w:pict>
          </mc:Fallback>
        </mc:AlternateContent>
      </w:r>
      <w:r w:rsidRPr="00AF5373">
        <w:rPr>
          <w:noProof/>
          <w:highlight w:val="yellow"/>
        </w:rPr>
        <mc:AlternateContent>
          <mc:Choice Requires="wps">
            <w:drawing>
              <wp:anchor distT="0" distB="0" distL="114300" distR="114300" simplePos="0" relativeHeight="251692032" behindDoc="0" locked="0" layoutInCell="1" allowOverlap="1" wp14:anchorId="1D0F8713" wp14:editId="77BD937B">
                <wp:simplePos x="0" y="0"/>
                <wp:positionH relativeFrom="column">
                  <wp:posOffset>2453640</wp:posOffset>
                </wp:positionH>
                <wp:positionV relativeFrom="paragraph">
                  <wp:posOffset>328295</wp:posOffset>
                </wp:positionV>
                <wp:extent cx="563245" cy="0"/>
                <wp:effectExtent l="0" t="76200" r="27305" b="95250"/>
                <wp:wrapNone/>
                <wp:docPr id="1659215031" name="Straight Arrow Connector 1659215031"/>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11FCE2" id="Straight Arrow Connector 1659215031" o:spid="_x0000_s1026" type="#_x0000_t32" style="position:absolute;margin-left:193.2pt;margin-top:25.85pt;width:44.35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" strokecolor="black [3213]" strokeweight=".5pt">
                <v:stroke endarrow="block" joinstyle="miter"/>
              </v:shape>
            </w:pict>
          </mc:Fallback>
        </mc:AlternateContent>
      </w:r>
    </w:p>
    <w:p w14:paraId="140B056D" w14:textId="77777777" w:rsidR="00C9060A" w:rsidRPr="00AF5373" w:rsidRDefault="00C9060A" w:rsidP="00C9060A">
      <w:pPr>
        <w:rPr>
          <w:highlight w:val="yellow"/>
        </w:rPr>
      </w:pPr>
      <w:r w:rsidRPr="00AF5373">
        <w:rPr>
          <w:noProof/>
          <w:highlight w:val="yellow"/>
        </w:rPr>
        <mc:AlternateContent>
          <mc:Choice Requires="wps">
            <w:drawing>
              <wp:anchor distT="0" distB="0" distL="114300" distR="114300" simplePos="0" relativeHeight="251683840" behindDoc="0" locked="0" layoutInCell="1" allowOverlap="1" wp14:anchorId="3ECFBCA3" wp14:editId="428482DF">
                <wp:simplePos x="0" y="0"/>
                <wp:positionH relativeFrom="column">
                  <wp:posOffset>559258</wp:posOffset>
                </wp:positionH>
                <wp:positionV relativeFrom="paragraph">
                  <wp:posOffset>14605</wp:posOffset>
                </wp:positionV>
                <wp:extent cx="1887220" cy="526415"/>
                <wp:effectExtent l="0" t="0" r="17780" b="26035"/>
                <wp:wrapNone/>
                <wp:docPr id="1668977724" name="Rectangle 1668977724"/>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2E640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6C04B2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FBCA3" id="Rectangle 1668977724" o:spid="_x0000_s1031" style="position:absolute;margin-left:44.05pt;margin-top:1.15pt;width:148.6pt;height:41.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" filled="f" strokecolor="black [3213]" strokeweight="1pt">
                <v:textbox>
                  <w:txbxContent>
                    <w:p w14:paraId="482E640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6C04B2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176)</w:t>
                      </w:r>
                    </w:p>
                  </w:txbxContent>
                </v:textbox>
              </v:rect>
            </w:pict>
          </mc:Fallback>
        </mc:AlternateContent>
      </w:r>
    </w:p>
    <w:p w14:paraId="05DBE205" w14:textId="77777777" w:rsidR="00C9060A" w:rsidRPr="00AF5373" w:rsidRDefault="00C9060A" w:rsidP="00C9060A">
      <w:pPr>
        <w:rPr>
          <w:highlight w:val="yellow"/>
        </w:rPr>
      </w:pPr>
    </w:p>
    <w:p w14:paraId="5F7A8EDD" w14:textId="77777777" w:rsidR="00C9060A" w:rsidRPr="00AF5373" w:rsidRDefault="00C9060A" w:rsidP="00C9060A">
      <w:pPr>
        <w:rPr>
          <w:highlight w:val="yellow"/>
        </w:rPr>
      </w:pPr>
      <w:r w:rsidRPr="00AF5373">
        <w:rPr>
          <w:noProof/>
          <w:highlight w:val="yellow"/>
        </w:rPr>
        <mc:AlternateContent>
          <mc:Choice Requires="wps">
            <w:drawing>
              <wp:anchor distT="0" distB="0" distL="114300" distR="114300" simplePos="0" relativeHeight="251700224" behindDoc="0" locked="0" layoutInCell="1" allowOverlap="1" wp14:anchorId="709D6DB1" wp14:editId="6286007B">
                <wp:simplePos x="0" y="0"/>
                <wp:positionH relativeFrom="column">
                  <wp:posOffset>1400175</wp:posOffset>
                </wp:positionH>
                <wp:positionV relativeFrom="paragraph">
                  <wp:posOffset>169264</wp:posOffset>
                </wp:positionV>
                <wp:extent cx="0" cy="281305"/>
                <wp:effectExtent l="76200" t="0" r="57150" b="61595"/>
                <wp:wrapNone/>
                <wp:docPr id="930445358" name="Straight Arrow Connector 930445358"/>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AF1256" id="Straight Arrow Connector 930445358" o:spid="_x0000_s1026" type="#_x0000_t32" style="position:absolute;margin-left:110.25pt;margin-top:13.35pt;width:0;height:22.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" strokecolor="black [3213]" strokeweight=".5pt">
                <v:stroke endarrow="block" joinstyle="miter"/>
              </v:shape>
            </w:pict>
          </mc:Fallback>
        </mc:AlternateContent>
      </w:r>
    </w:p>
    <w:p w14:paraId="7BC7A533" w14:textId="77777777" w:rsidR="00C9060A" w:rsidRPr="00AF5373" w:rsidRDefault="00C9060A" w:rsidP="00C9060A">
      <w:pPr>
        <w:rPr>
          <w:highlight w:val="yellow"/>
        </w:rPr>
      </w:pPr>
    </w:p>
    <w:p w14:paraId="35198B77" w14:textId="77777777" w:rsidR="00C9060A" w:rsidRPr="00AF5373" w:rsidRDefault="00C9060A" w:rsidP="00C9060A">
      <w:pPr>
        <w:rPr>
          <w:highlight w:val="yellow"/>
        </w:rPr>
      </w:pPr>
      <w:r w:rsidRPr="00AF5373">
        <w:rPr>
          <w:noProof/>
          <w:highlight w:val="yellow"/>
        </w:rPr>
        <mc:AlternateContent>
          <mc:Choice Requires="wps">
            <w:drawing>
              <wp:anchor distT="0" distB="0" distL="114300" distR="114300" simplePos="0" relativeHeight="251685888" behindDoc="0" locked="0" layoutInCell="1" allowOverlap="1" wp14:anchorId="49CD5F27" wp14:editId="66C8274B">
                <wp:simplePos x="0" y="0"/>
                <wp:positionH relativeFrom="column">
                  <wp:posOffset>560705</wp:posOffset>
                </wp:positionH>
                <wp:positionV relativeFrom="paragraph">
                  <wp:posOffset>47625</wp:posOffset>
                </wp:positionV>
                <wp:extent cx="1887220" cy="526415"/>
                <wp:effectExtent l="0" t="0" r="17780" b="26035"/>
                <wp:wrapNone/>
                <wp:docPr id="758070166" name="Rectangle 75807016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976554"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F171CEF"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D5F27" id="Rectangle 758070166" o:spid="_x0000_s1032" style="position:absolute;margin-left:44.15pt;margin-top:3.75pt;width:148.6pt;height:41.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" filled="f" strokecolor="black [3213]" strokeweight="1pt">
                <v:textbox>
                  <w:txbxContent>
                    <w:p w14:paraId="34976554"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F171CEF"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r w:rsidRPr="00AF5373">
        <w:rPr>
          <w:noProof/>
          <w:highlight w:val="yellow"/>
        </w:rPr>
        <mc:AlternateContent>
          <mc:Choice Requires="wps">
            <w:drawing>
              <wp:anchor distT="0" distB="0" distL="114300" distR="114300" simplePos="0" relativeHeight="251697152" behindDoc="0" locked="0" layoutInCell="1" allowOverlap="1" wp14:anchorId="27985711" wp14:editId="1A50F375">
                <wp:simplePos x="0" y="0"/>
                <wp:positionH relativeFrom="column">
                  <wp:posOffset>-1161097</wp:posOffset>
                </wp:positionH>
                <wp:positionV relativeFrom="paragraph">
                  <wp:posOffset>281711</wp:posOffset>
                </wp:positionV>
                <wp:extent cx="2787335" cy="262890"/>
                <wp:effectExtent l="4763" t="0" r="18097" b="18098"/>
                <wp:wrapNone/>
                <wp:docPr id="953307007" name="Flowchart: Alternate Process 953307007"/>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24884C7" w14:textId="77777777" w:rsidR="00C9060A"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531A7E6A" w14:textId="77777777" w:rsidR="00C9060A" w:rsidRPr="001502CF" w:rsidRDefault="00C9060A" w:rsidP="00C9060A">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85711" id="Flowchart: Alternate Process 953307007" o:spid="_x0000_s1033" type="#_x0000_t176" style="position:absolute;margin-left:-91.4pt;margin-top:22.2pt;width:219.5pt;height:20.7pt;rotation:-9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" fillcolor="#d86dcb [1944]" strokecolor="black [3213]" strokeweight="1pt">
                <v:textbox>
                  <w:txbxContent>
                    <w:p w14:paraId="224884C7" w14:textId="77777777" w:rsidR="00C9060A"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531A7E6A" w14:textId="77777777" w:rsidR="00C9060A" w:rsidRPr="001502CF" w:rsidRDefault="00C9060A" w:rsidP="00C9060A">
                      <w:pPr>
                        <w:rPr>
                          <w:rFonts w:ascii="Arial" w:hAnsi="Arial" w:cs="Arial"/>
                          <w:b/>
                          <w:color w:val="000000" w:themeColor="text1"/>
                          <w:sz w:val="18"/>
                          <w:szCs w:val="18"/>
                        </w:rPr>
                      </w:pPr>
                    </w:p>
                  </w:txbxContent>
                </v:textbox>
              </v:shape>
            </w:pict>
          </mc:Fallback>
        </mc:AlternateContent>
      </w:r>
      <w:r w:rsidRPr="00AF5373">
        <w:rPr>
          <w:noProof/>
          <w:highlight w:val="yellow"/>
        </w:rPr>
        <mc:AlternateContent>
          <mc:Choice Requires="wps">
            <w:drawing>
              <wp:anchor distT="0" distB="0" distL="114300" distR="114300" simplePos="0" relativeHeight="251686912" behindDoc="0" locked="0" layoutInCell="1" allowOverlap="1" wp14:anchorId="2E987F89" wp14:editId="2B616ECE">
                <wp:simplePos x="0" y="0"/>
                <wp:positionH relativeFrom="column">
                  <wp:posOffset>3049270</wp:posOffset>
                </wp:positionH>
                <wp:positionV relativeFrom="paragraph">
                  <wp:posOffset>139827</wp:posOffset>
                </wp:positionV>
                <wp:extent cx="1887220" cy="526415"/>
                <wp:effectExtent l="0" t="0" r="17780" b="26035"/>
                <wp:wrapNone/>
                <wp:docPr id="663639145" name="Rectangle 66363914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8D3EC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0AADF106"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87F89" id="Rectangle 663639145" o:spid="_x0000_s1034" style="position:absolute;margin-left:240.1pt;margin-top:11pt;width:148.6pt;height:41.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" filled="f" strokecolor="black [3213]" strokeweight="1pt">
                <v:textbox>
                  <w:txbxContent>
                    <w:p w14:paraId="098D3EC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0AADF106"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0)</w:t>
                      </w:r>
                    </w:p>
                  </w:txbxContent>
                </v:textbox>
              </v:rect>
            </w:pict>
          </mc:Fallback>
        </mc:AlternateContent>
      </w:r>
      <w:r w:rsidRPr="00AF5373">
        <w:rPr>
          <w:noProof/>
          <w:highlight w:val="yellow"/>
        </w:rPr>
        <mc:AlternateContent>
          <mc:Choice Requires="wps">
            <w:drawing>
              <wp:anchor distT="0" distB="0" distL="114300" distR="114300" simplePos="0" relativeHeight="251693056" behindDoc="0" locked="0" layoutInCell="1" allowOverlap="1" wp14:anchorId="53E4ABFA" wp14:editId="06A6792E">
                <wp:simplePos x="0" y="0"/>
                <wp:positionH relativeFrom="column">
                  <wp:posOffset>2463165</wp:posOffset>
                </wp:positionH>
                <wp:positionV relativeFrom="paragraph">
                  <wp:posOffset>320675</wp:posOffset>
                </wp:positionV>
                <wp:extent cx="563245" cy="0"/>
                <wp:effectExtent l="0" t="76200" r="27305" b="95250"/>
                <wp:wrapNone/>
                <wp:docPr id="598454288" name="Straight Arrow Connector 598454288"/>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2CA7F8" id="Straight Arrow Connector 598454288" o:spid="_x0000_s1026" type="#_x0000_t32" style="position:absolute;margin-left:193.95pt;margin-top:25.25pt;width:44.3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" strokecolor="black [3213]" strokeweight=".5pt">
                <v:stroke endarrow="block" joinstyle="miter"/>
              </v:shape>
            </w:pict>
          </mc:Fallback>
        </mc:AlternateContent>
      </w:r>
    </w:p>
    <w:p w14:paraId="30082A79" w14:textId="77777777" w:rsidR="00C9060A" w:rsidRPr="00AF5373" w:rsidRDefault="00C9060A" w:rsidP="00C9060A">
      <w:pPr>
        <w:rPr>
          <w:highlight w:val="yellow"/>
        </w:rPr>
      </w:pPr>
    </w:p>
    <w:p w14:paraId="4452406B" w14:textId="77777777" w:rsidR="00C9060A" w:rsidRPr="00AF5373" w:rsidRDefault="00C9060A" w:rsidP="00C9060A">
      <w:pPr>
        <w:rPr>
          <w:highlight w:val="yellow"/>
        </w:rPr>
      </w:pPr>
    </w:p>
    <w:p w14:paraId="227E2842" w14:textId="77777777" w:rsidR="00C9060A" w:rsidRPr="00AF5373" w:rsidRDefault="00C9060A" w:rsidP="00C9060A">
      <w:pPr>
        <w:rPr>
          <w:highlight w:val="yellow"/>
        </w:rPr>
      </w:pPr>
      <w:r w:rsidRPr="00AF5373">
        <w:rPr>
          <w:noProof/>
          <w:highlight w:val="yellow"/>
        </w:rPr>
        <mc:AlternateContent>
          <mc:Choice Requires="wps">
            <w:drawing>
              <wp:anchor distT="0" distB="0" distL="114300" distR="114300" simplePos="0" relativeHeight="251701248" behindDoc="0" locked="0" layoutInCell="1" allowOverlap="1" wp14:anchorId="3B8387A5" wp14:editId="3FF785AE">
                <wp:simplePos x="0" y="0"/>
                <wp:positionH relativeFrom="column">
                  <wp:posOffset>1409700</wp:posOffset>
                </wp:positionH>
                <wp:positionV relativeFrom="paragraph">
                  <wp:posOffset>56515</wp:posOffset>
                </wp:positionV>
                <wp:extent cx="0" cy="281305"/>
                <wp:effectExtent l="76200" t="0" r="57150" b="61595"/>
                <wp:wrapNone/>
                <wp:docPr id="1952356132" name="Straight Arrow Connector 1952356132"/>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D17FA5" id="Straight Arrow Connector 1952356132" o:spid="_x0000_s1026" type="#_x0000_t32" style="position:absolute;margin-left:111pt;margin-top:4.45pt;width:0;height:22.1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" strokecolor="black [3213]" strokeweight=".5pt">
                <v:stroke endarrow="block" joinstyle="miter"/>
              </v:shape>
            </w:pict>
          </mc:Fallback>
        </mc:AlternateContent>
      </w:r>
    </w:p>
    <w:p w14:paraId="5CDB2838" w14:textId="77777777" w:rsidR="00C9060A" w:rsidRPr="00AF5373" w:rsidRDefault="00C9060A" w:rsidP="00C9060A">
      <w:pPr>
        <w:rPr>
          <w:highlight w:val="yellow"/>
        </w:rPr>
      </w:pPr>
    </w:p>
    <w:p w14:paraId="5EA2C7AE" w14:textId="77777777" w:rsidR="00C9060A" w:rsidRPr="00AF5373" w:rsidRDefault="00C9060A" w:rsidP="00C9060A">
      <w:pPr>
        <w:rPr>
          <w:highlight w:val="yellow"/>
        </w:rPr>
      </w:pPr>
      <w:r w:rsidRPr="00AF5373">
        <w:rPr>
          <w:noProof/>
          <w:highlight w:val="yellow"/>
        </w:rPr>
        <mc:AlternateContent>
          <mc:Choice Requires="wps">
            <w:drawing>
              <wp:anchor distT="0" distB="0" distL="114300" distR="114300" simplePos="0" relativeHeight="251688960" behindDoc="0" locked="0" layoutInCell="1" allowOverlap="1" wp14:anchorId="15D03BA8" wp14:editId="708D4E88">
                <wp:simplePos x="0" y="0"/>
                <wp:positionH relativeFrom="column">
                  <wp:posOffset>3053715</wp:posOffset>
                </wp:positionH>
                <wp:positionV relativeFrom="paragraph">
                  <wp:posOffset>107112</wp:posOffset>
                </wp:positionV>
                <wp:extent cx="1887220" cy="475488"/>
                <wp:effectExtent l="0" t="0" r="17780" b="20320"/>
                <wp:wrapNone/>
                <wp:docPr id="877149364" name="Rectangle 877149364"/>
                <wp:cNvGraphicFramePr/>
                <a:graphic xmlns:a="http://schemas.openxmlformats.org/drawingml/2006/main">
                  <a:graphicData uri="http://schemas.microsoft.com/office/word/2010/wordprocessingShape">
                    <wps:wsp>
                      <wps:cNvSpPr/>
                      <wps:spPr>
                        <a:xfrm>
                          <a:off x="0" y="0"/>
                          <a:ext cx="1887220" cy="475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F5909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AB8860F" w14:textId="77777777" w:rsidR="00C9060A" w:rsidRPr="00560609"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03BA8" id="Rectangle 877149364" o:spid="_x0000_s1035" style="position:absolute;margin-left:240.45pt;margin-top:8.45pt;width:148.6pt;height:37.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" filled="f" strokecolor="black [3213]" strokeweight="1pt">
                <v:textbox>
                  <w:txbxContent>
                    <w:p w14:paraId="0FF5909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AB8860F" w14:textId="77777777" w:rsidR="00C9060A" w:rsidRPr="00560609"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v:textbox>
              </v:rect>
            </w:pict>
          </mc:Fallback>
        </mc:AlternateContent>
      </w:r>
      <w:r w:rsidRPr="00AF5373">
        <w:rPr>
          <w:noProof/>
          <w:highlight w:val="yellow"/>
        </w:rPr>
        <mc:AlternateContent>
          <mc:Choice Requires="wps">
            <w:drawing>
              <wp:anchor distT="0" distB="0" distL="114300" distR="114300" simplePos="0" relativeHeight="251694080" behindDoc="0" locked="0" layoutInCell="1" allowOverlap="1" wp14:anchorId="780AA194" wp14:editId="4AE59371">
                <wp:simplePos x="0" y="0"/>
                <wp:positionH relativeFrom="column">
                  <wp:posOffset>2476500</wp:posOffset>
                </wp:positionH>
                <wp:positionV relativeFrom="paragraph">
                  <wp:posOffset>294640</wp:posOffset>
                </wp:positionV>
                <wp:extent cx="563245" cy="0"/>
                <wp:effectExtent l="0" t="76200" r="27305" b="95250"/>
                <wp:wrapNone/>
                <wp:docPr id="694072453" name="Straight Arrow Connector 694072453"/>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110FE5" id="Straight Arrow Connector 694072453" o:spid="_x0000_s1026" type="#_x0000_t32" style="position:absolute;margin-left:195pt;margin-top:23.2pt;width:44.3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" strokecolor="black [3213]" strokeweight=".5pt">
                <v:stroke endarrow="block" joinstyle="miter"/>
              </v:shape>
            </w:pict>
          </mc:Fallback>
        </mc:AlternateContent>
      </w:r>
      <w:r w:rsidRPr="00AF5373">
        <w:rPr>
          <w:noProof/>
          <w:highlight w:val="yellow"/>
        </w:rPr>
        <mc:AlternateContent>
          <mc:Choice Requires="wps">
            <w:drawing>
              <wp:anchor distT="0" distB="0" distL="114300" distR="114300" simplePos="0" relativeHeight="251687936" behindDoc="0" locked="0" layoutInCell="1" allowOverlap="1" wp14:anchorId="64562672" wp14:editId="580DDFCB">
                <wp:simplePos x="0" y="0"/>
                <wp:positionH relativeFrom="column">
                  <wp:posOffset>561975</wp:posOffset>
                </wp:positionH>
                <wp:positionV relativeFrom="paragraph">
                  <wp:posOffset>13335</wp:posOffset>
                </wp:positionV>
                <wp:extent cx="1887220" cy="526415"/>
                <wp:effectExtent l="0" t="0" r="17780" b="26035"/>
                <wp:wrapNone/>
                <wp:docPr id="146801596" name="Rectangle 14680159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6C38C9"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15CB476C"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62672" id="Rectangle 146801596" o:spid="_x0000_s1036" style="position:absolute;margin-left:44.25pt;margin-top:1.05pt;width:148.6pt;height:41.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" filled="f" strokecolor="black [3213]" strokeweight="1pt">
                <v:textbox>
                  <w:txbxContent>
                    <w:p w14:paraId="1F6C38C9"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15CB476C"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25D34829" w14:textId="77777777" w:rsidR="00C9060A" w:rsidRPr="00AF5373" w:rsidRDefault="00C9060A" w:rsidP="00C9060A">
      <w:pPr>
        <w:rPr>
          <w:highlight w:val="yellow"/>
        </w:rPr>
      </w:pPr>
    </w:p>
    <w:p w14:paraId="35842097" w14:textId="77777777" w:rsidR="00C9060A" w:rsidRPr="00AF5373" w:rsidRDefault="00C9060A" w:rsidP="00C9060A">
      <w:pPr>
        <w:rPr>
          <w:highlight w:val="yellow"/>
        </w:rPr>
      </w:pPr>
    </w:p>
    <w:p w14:paraId="28E31693" w14:textId="77777777" w:rsidR="00C9060A" w:rsidRPr="00AF5373" w:rsidRDefault="00C9060A" w:rsidP="00C9060A">
      <w:pPr>
        <w:rPr>
          <w:highlight w:val="yellow"/>
        </w:rPr>
      </w:pPr>
      <w:r w:rsidRPr="00AF5373">
        <w:rPr>
          <w:noProof/>
          <w:highlight w:val="yellow"/>
        </w:rPr>
        <mc:AlternateContent>
          <mc:Choice Requires="wps">
            <w:drawing>
              <wp:anchor distT="0" distB="0" distL="114300" distR="114300" simplePos="0" relativeHeight="251702272" behindDoc="0" locked="0" layoutInCell="1" allowOverlap="1" wp14:anchorId="274F5CAB" wp14:editId="2AA2D182">
                <wp:simplePos x="0" y="0"/>
                <wp:positionH relativeFrom="column">
                  <wp:posOffset>1400861</wp:posOffset>
                </wp:positionH>
                <wp:positionV relativeFrom="paragraph">
                  <wp:posOffset>29667</wp:posOffset>
                </wp:positionV>
                <wp:extent cx="0" cy="746151"/>
                <wp:effectExtent l="76200" t="0" r="57150" b="53975"/>
                <wp:wrapNone/>
                <wp:docPr id="1921870019" name="Straight Arrow Connector 19218700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005DED" id="Straight Arrow Connector 1921870019" o:spid="_x0000_s1026" type="#_x0000_t32" style="position:absolute;margin-left:110.3pt;margin-top:2.35pt;width:0;height:58.7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" strokecolor="black [3213]" strokeweight=".5pt">
                <v:stroke endarrow="block" joinstyle="miter"/>
              </v:shape>
            </w:pict>
          </mc:Fallback>
        </mc:AlternateContent>
      </w:r>
    </w:p>
    <w:p w14:paraId="2AE5D773" w14:textId="77777777" w:rsidR="00C9060A" w:rsidRPr="00AF5373" w:rsidRDefault="00C9060A" w:rsidP="00C9060A">
      <w:pPr>
        <w:rPr>
          <w:highlight w:val="yellow"/>
        </w:rPr>
      </w:pPr>
    </w:p>
    <w:p w14:paraId="4E872CA5" w14:textId="77777777" w:rsidR="00C9060A" w:rsidRPr="00AF5373" w:rsidRDefault="00C9060A" w:rsidP="00C9060A">
      <w:pPr>
        <w:rPr>
          <w:highlight w:val="yellow"/>
        </w:rPr>
      </w:pPr>
    </w:p>
    <w:p w14:paraId="32C895ED" w14:textId="77777777" w:rsidR="00C9060A" w:rsidRPr="00AF5373" w:rsidRDefault="00C9060A" w:rsidP="00C9060A">
      <w:pPr>
        <w:rPr>
          <w:highlight w:val="yellow"/>
        </w:rPr>
      </w:pPr>
    </w:p>
    <w:p w14:paraId="542C72B9" w14:textId="77777777" w:rsidR="00C9060A" w:rsidRPr="00AF5373" w:rsidRDefault="00C9060A" w:rsidP="00C9060A">
      <w:pPr>
        <w:rPr>
          <w:highlight w:val="yellow"/>
        </w:rPr>
      </w:pPr>
      <w:r w:rsidRPr="00AF5373">
        <w:rPr>
          <w:noProof/>
          <w:highlight w:val="yellow"/>
        </w:rPr>
        <mc:AlternateContent>
          <mc:Choice Requires="wps">
            <w:drawing>
              <wp:anchor distT="0" distB="0" distL="114300" distR="114300" simplePos="0" relativeHeight="251689984" behindDoc="0" locked="0" layoutInCell="1" allowOverlap="1" wp14:anchorId="434C2358" wp14:editId="5AF4CCDF">
                <wp:simplePos x="0" y="0"/>
                <wp:positionH relativeFrom="column">
                  <wp:posOffset>542260</wp:posOffset>
                </wp:positionH>
                <wp:positionV relativeFrom="paragraph">
                  <wp:posOffset>109160</wp:posOffset>
                </wp:positionV>
                <wp:extent cx="1887220" cy="935665"/>
                <wp:effectExtent l="0" t="0" r="17780" b="17145"/>
                <wp:wrapNone/>
                <wp:docPr id="367046537" name="Rectangle 367046537"/>
                <wp:cNvGraphicFramePr/>
                <a:graphic xmlns:a="http://schemas.openxmlformats.org/drawingml/2006/main">
                  <a:graphicData uri="http://schemas.microsoft.com/office/word/2010/wordprocessingShape">
                    <wps:wsp>
                      <wps:cNvSpPr/>
                      <wps:spPr>
                        <a:xfrm>
                          <a:off x="0" y="0"/>
                          <a:ext cx="1887220" cy="93566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A55762"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0163659"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p w14:paraId="1F2FD5D1"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092A728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C2358" id="Rectangle 367046537" o:spid="_x0000_s1037" style="position:absolute;margin-left:42.7pt;margin-top:8.6pt;width:148.6pt;height:73.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" filled="f" strokecolor="black [3213]" strokeweight="1pt">
                <v:textbox>
                  <w:txbxContent>
                    <w:p w14:paraId="66A55762"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0163659"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p w14:paraId="1F2FD5D1"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092A728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483A03F0" w14:textId="77777777" w:rsidR="00C9060A" w:rsidRPr="00AF5373" w:rsidRDefault="00C9060A" w:rsidP="00C9060A">
      <w:pPr>
        <w:rPr>
          <w:highlight w:val="yellow"/>
        </w:rPr>
      </w:pPr>
      <w:r w:rsidRPr="00AF5373">
        <w:rPr>
          <w:noProof/>
          <w:highlight w:val="yellow"/>
        </w:rPr>
        <mc:AlternateContent>
          <mc:Choice Requires="wps">
            <w:drawing>
              <wp:anchor distT="0" distB="0" distL="114300" distR="114300" simplePos="0" relativeHeight="251698176" behindDoc="0" locked="0" layoutInCell="1" allowOverlap="1" wp14:anchorId="7C64620C" wp14:editId="32125ACD">
                <wp:simplePos x="0" y="0"/>
                <wp:positionH relativeFrom="column">
                  <wp:posOffset>-133509</wp:posOffset>
                </wp:positionH>
                <wp:positionV relativeFrom="paragraph">
                  <wp:posOffset>170656</wp:posOffset>
                </wp:positionV>
                <wp:extent cx="764223" cy="262890"/>
                <wp:effectExtent l="2858" t="0" r="20002" b="20003"/>
                <wp:wrapNone/>
                <wp:docPr id="109439728" name="Flowchart: Alternate Process 109439728"/>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8210109" w14:textId="77777777" w:rsidR="00C9060A" w:rsidRPr="001502CF"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4620C" id="Flowchart: Alternate Process 109439728" o:spid="_x0000_s1038" type="#_x0000_t176" style="position:absolute;margin-left:-10.5pt;margin-top:13.45pt;width:60.2pt;height:20.7pt;rotation:-9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" fillcolor="#d86dcb [1944]" strokecolor="black [3213]" strokeweight="1pt">
                <v:textbox>
                  <w:txbxContent>
                    <w:p w14:paraId="08210109" w14:textId="77777777" w:rsidR="00C9060A" w:rsidRPr="001502CF"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74B5FB21" w14:textId="77777777" w:rsidR="00C9060A" w:rsidRPr="00AF5373" w:rsidRDefault="00C9060A" w:rsidP="00C9060A">
      <w:pPr>
        <w:rPr>
          <w:highlight w:val="yellow"/>
        </w:rPr>
      </w:pPr>
    </w:p>
    <w:p w14:paraId="0470253E" w14:textId="77777777" w:rsidR="00C9060A" w:rsidRPr="00AF5373" w:rsidRDefault="00C9060A" w:rsidP="00C9060A">
      <w:pPr>
        <w:rPr>
          <w:highlight w:val="yellow"/>
        </w:rPr>
      </w:pPr>
    </w:p>
    <w:p w14:paraId="5D515F90" w14:textId="77777777" w:rsidR="00C9060A" w:rsidRPr="00AF5373" w:rsidRDefault="00C9060A" w:rsidP="00C9060A">
      <w:pPr>
        <w:rPr>
          <w:highlight w:val="yellow"/>
        </w:rPr>
      </w:pPr>
    </w:p>
    <w:p w14:paraId="15CBFF51" w14:textId="77777777" w:rsidR="00C9060A" w:rsidRPr="00C9060A" w:rsidRDefault="00C9060A" w:rsidP="00C9060A"/>
    <w:p w14:paraId="324C0576" w14:textId="4E0E7E66" w:rsidR="0066752B" w:rsidRDefault="00C9060A" w:rsidP="00A83C0D">
      <w:pPr>
        <w:pStyle w:val="ListParagraph"/>
        <w:ind w:left="360"/>
        <w:jc w:val="both"/>
        <w:rPr>
          <w:i/>
          <w:iCs/>
        </w:rPr>
      </w:pPr>
      <w:r w:rsidRPr="00C9060A">
        <w:rPr>
          <w:rFonts w:hint="eastAsia"/>
          <w:b/>
          <w:bCs/>
        </w:rPr>
        <w:t xml:space="preserve">Figure 1: </w:t>
      </w:r>
      <w:r w:rsidRPr="00C9060A">
        <w:rPr>
          <w:b/>
          <w:bCs/>
        </w:rPr>
        <w:t>Prisma flowchart of the</w:t>
      </w:r>
      <w:r w:rsidRPr="00C9060A">
        <w:rPr>
          <w:rFonts w:hint="eastAsia"/>
          <w:b/>
          <w:bCs/>
        </w:rPr>
        <w:t xml:space="preserve"> </w:t>
      </w:r>
      <w:r w:rsidRPr="00C9060A">
        <w:rPr>
          <w:b/>
          <w:bCs/>
        </w:rPr>
        <w:t>article search and</w:t>
      </w:r>
      <w:r w:rsidRPr="00C9060A">
        <w:rPr>
          <w:rFonts w:hint="eastAsia"/>
          <w:b/>
          <w:bCs/>
        </w:rPr>
        <w:t xml:space="preserve"> </w:t>
      </w:r>
      <w:r w:rsidRPr="00C9060A">
        <w:rPr>
          <w:b/>
          <w:bCs/>
        </w:rPr>
        <w:t>selection process for</w:t>
      </w:r>
      <w:r w:rsidRPr="00C9060A">
        <w:rPr>
          <w:rFonts w:hint="eastAsia"/>
          <w:b/>
          <w:bCs/>
        </w:rPr>
        <w:t xml:space="preserve"> </w:t>
      </w:r>
      <w:r w:rsidRPr="00C9060A">
        <w:rPr>
          <w:b/>
          <w:bCs/>
        </w:rPr>
        <w:t>systematic review</w:t>
      </w:r>
      <w:r w:rsidRPr="00C9060A">
        <w:br/>
      </w:r>
      <w:r w:rsidRPr="00C9060A">
        <w:rPr>
          <w:i/>
          <w:iCs/>
        </w:rPr>
        <w:t xml:space="preserve">Source: </w:t>
      </w:r>
      <w:r w:rsidRPr="00C9060A">
        <w:rPr>
          <w:rFonts w:hint="eastAsia"/>
          <w:i/>
          <w:iCs/>
        </w:rPr>
        <w:t>Figure by author, a</w:t>
      </w:r>
      <w:r w:rsidRPr="00C9060A">
        <w:rPr>
          <w:i/>
          <w:iCs/>
        </w:rPr>
        <w:t xml:space="preserve">dapted from Page et al. (2021). </w:t>
      </w:r>
      <w:r w:rsidRPr="00C9060A">
        <w:rPr>
          <w:i/>
          <w:iCs/>
        </w:rPr>
        <w:br/>
        <w:t>Licensed under CC BY 4.0</w:t>
      </w:r>
    </w:p>
    <w:p w14:paraId="568B1E05" w14:textId="77777777" w:rsidR="0066752B" w:rsidRPr="000378CE" w:rsidRDefault="0066752B" w:rsidP="00AF6699">
      <w:pPr>
        <w:pStyle w:val="ListParagraph"/>
        <w:ind w:left="360" w:firstLine="491"/>
        <w:jc w:val="both"/>
      </w:pPr>
    </w:p>
    <w:p w14:paraId="23079C78" w14:textId="32B01AF1" w:rsidR="005F5CF4" w:rsidRPr="000378CE" w:rsidRDefault="0066752B" w:rsidP="0066752B">
      <w:pPr>
        <w:jc w:val="both"/>
      </w:pPr>
      <w:r w:rsidRPr="000378CE">
        <w:tab/>
      </w:r>
      <w:r w:rsidRPr="000378CE">
        <w:t>The following section presents the descriptive results of the systematic literature review, providing an overview of the temporal distribution, publication outlets, methodological approaches and topical focus of empirical NFIA research (RQ1).</w:t>
      </w:r>
    </w:p>
    <w:p w14:paraId="482E3D22" w14:textId="77777777" w:rsidR="000378CE" w:rsidRDefault="000378CE" w:rsidP="00AF6699">
      <w:pPr>
        <w:rPr>
          <w:i/>
          <w:iCs/>
        </w:rPr>
      </w:pPr>
    </w:p>
    <w:p w14:paraId="68756256" w14:textId="77777777" w:rsidR="00C4632A" w:rsidRPr="0033232C" w:rsidRDefault="00C4632A">
      <w:pPr>
        <w:spacing w:after="160" w:line="278" w:lineRule="auto"/>
        <w:rPr>
          <w:i/>
          <w:iCs/>
        </w:rPr>
      </w:pPr>
      <w:r w:rsidRPr="0033232C">
        <w:rPr>
          <w:i/>
          <w:iCs/>
        </w:rPr>
        <w:br w:type="page"/>
      </w:r>
    </w:p>
    <w:p w14:paraId="1F477E18" w14:textId="7A1DE8B5" w:rsidR="008C19D6" w:rsidRPr="00617984" w:rsidRDefault="008C19D6" w:rsidP="008C19D6">
      <w:pPr>
        <w:jc w:val="both"/>
        <w:rPr>
          <w:i/>
          <w:iCs/>
        </w:rPr>
      </w:pPr>
      <w:r w:rsidRPr="00512099">
        <w:rPr>
          <w:i/>
          <w:iCs/>
          <w:highlight w:val="cyan"/>
        </w:rPr>
        <w:lastRenderedPageBreak/>
        <w:t xml:space="preserve">Descriptive Results of the </w:t>
      </w:r>
      <w:r w:rsidR="00512099" w:rsidRPr="00512099">
        <w:rPr>
          <w:i/>
          <w:iCs/>
          <w:highlight w:val="cyan"/>
        </w:rPr>
        <w:t>SLR</w:t>
      </w:r>
    </w:p>
    <w:p w14:paraId="0824CE11" w14:textId="72E77C23" w:rsidR="0085291E" w:rsidRDefault="0085291E" w:rsidP="00A844A0">
      <w:pPr>
        <w:jc w:val="both"/>
        <w:rPr>
          <w:i/>
          <w:iCs/>
        </w:rPr>
      </w:pPr>
      <w:r>
        <w:rPr>
          <w:noProof/>
        </w:rPr>
        <w:drawing>
          <wp:inline distT="0" distB="0" distL="0" distR="0" wp14:anchorId="35924898" wp14:editId="14DA55C2">
            <wp:extent cx="5731510" cy="3701415"/>
            <wp:effectExtent l="0" t="0" r="2540" b="13335"/>
            <wp:docPr id="2044400816" name="Chart 1">
              <a:extLst xmlns:a="http://schemas.openxmlformats.org/drawingml/2006/main">
                <a:ext uri="{FF2B5EF4-FFF2-40B4-BE49-F238E27FC236}">
                  <a16:creationId xmlns:a16="http://schemas.microsoft.com/office/drawing/2014/main" id="{977CC578-97A0-ED14-7A84-AEBDE5ABF0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3ECD9E0" w14:textId="0DC13869" w:rsidR="00B07C64" w:rsidRDefault="00B07C64" w:rsidP="00B07C64">
      <w:pPr>
        <w:pStyle w:val="ListParagraph"/>
        <w:ind w:left="0"/>
        <w:jc w:val="both"/>
        <w:rPr>
          <w:i/>
          <w:iCs/>
        </w:rPr>
      </w:pPr>
      <w:r w:rsidRPr="00C9060A">
        <w:rPr>
          <w:rFonts w:hint="eastAsia"/>
          <w:b/>
          <w:bCs/>
        </w:rPr>
        <w:t xml:space="preserve">Figure </w:t>
      </w:r>
      <w:r>
        <w:rPr>
          <w:b/>
          <w:bCs/>
        </w:rPr>
        <w:t>2</w:t>
      </w:r>
      <w:r w:rsidRPr="00C9060A">
        <w:rPr>
          <w:rFonts w:hint="eastAsia"/>
          <w:b/>
          <w:bCs/>
        </w:rPr>
        <w:t xml:space="preserve">: </w:t>
      </w:r>
      <w:r w:rsidRPr="00B07C64">
        <w:rPr>
          <w:b/>
          <w:bCs/>
        </w:rPr>
        <w:t xml:space="preserve">annual publication counts by major NFIA research </w:t>
      </w:r>
      <w:r w:rsidR="003178A2">
        <w:rPr>
          <w:b/>
          <w:bCs/>
          <w:szCs w:val="22"/>
        </w:rPr>
        <w:t>s</w:t>
      </w:r>
      <w:r w:rsidR="003178A2" w:rsidRPr="00EE7F56">
        <w:rPr>
          <w:b/>
          <w:bCs/>
          <w:szCs w:val="22"/>
        </w:rPr>
        <w:t xml:space="preserve">ubject </w:t>
      </w:r>
      <w:r w:rsidR="003178A2">
        <w:rPr>
          <w:b/>
          <w:bCs/>
          <w:szCs w:val="22"/>
        </w:rPr>
        <w:t>d</w:t>
      </w:r>
      <w:r w:rsidR="003178A2" w:rsidRPr="00EE7F56">
        <w:rPr>
          <w:b/>
          <w:bCs/>
          <w:szCs w:val="22"/>
        </w:rPr>
        <w:t>omains</w:t>
      </w:r>
      <w:r w:rsidRPr="00B07C64">
        <w:rPr>
          <w:b/>
          <w:bCs/>
        </w:rPr>
        <w:t xml:space="preserve"> in top accounting journals (1990 – 2025)</w:t>
      </w:r>
      <w:r w:rsidRPr="00C9060A">
        <w:br/>
      </w:r>
      <w:r w:rsidRPr="00C9060A">
        <w:rPr>
          <w:i/>
          <w:iCs/>
        </w:rPr>
        <w:t xml:space="preserve">Source: </w:t>
      </w:r>
      <w:r w:rsidRPr="008F53EF">
        <w:rPr>
          <w:i/>
          <w:iCs/>
        </w:rPr>
        <w:t>Author’s analysis</w:t>
      </w:r>
    </w:p>
    <w:p w14:paraId="77B1C611" w14:textId="77777777" w:rsidR="0085291E" w:rsidRDefault="0085291E" w:rsidP="00A844A0">
      <w:pPr>
        <w:jc w:val="both"/>
        <w:rPr>
          <w:i/>
          <w:iCs/>
        </w:rPr>
      </w:pPr>
    </w:p>
    <w:p w14:paraId="1D4A5494" w14:textId="77777777" w:rsidR="007C385A" w:rsidRPr="007C385A" w:rsidRDefault="007C385A" w:rsidP="007C385A">
      <w:pPr>
        <w:ind w:firstLine="420"/>
        <w:jc w:val="both"/>
      </w:pPr>
      <w:r w:rsidRPr="007C385A">
        <w:t>Figure 2 presents the annual distribution of empirical NFIA publications in top accounting journals from 1990 to 2025, disaggregated by major subject domains. Two dominant patterns emerge. First, performance auditing represents one of the earliest and most persistent strands of the NFIA literature, with publications appearing consistently from the late 1990s onwards. This continuity reflects the enduring role of performance audit within the broader expansion of auditing beyond financial reporting, particularly in public sector and accountability-focused research. Despite year-to-year variation, performance auditing remains a stable component of the NFIA field across the period examined.</w:t>
      </w:r>
    </w:p>
    <w:p w14:paraId="479B6970" w14:textId="77777777" w:rsidR="007C385A" w:rsidRPr="007C385A" w:rsidRDefault="007C385A" w:rsidP="007C385A">
      <w:pPr>
        <w:ind w:firstLine="420"/>
        <w:jc w:val="both"/>
      </w:pPr>
      <w:r w:rsidRPr="007C385A">
        <w:t xml:space="preserve">Second, CSR, ESG and sustainability assurance research exhibits pronounced growth from around 2011, after which it becomes the dominant stream within the literature. This expansion accelerates after 2015 and peaks in the late 2010s, coinciding with heightened global attention to climate change, corporate responsibility and non-financial disclosure. The sharp increase around 2018–2019 aligns with intensified policy and societal focus and is reinforced by clustered publications and special issues in leading journals, particularly </w:t>
      </w:r>
      <w:r w:rsidRPr="007C385A">
        <w:rPr>
          <w:i/>
          <w:iCs/>
        </w:rPr>
        <w:t>Accounting, Auditing &amp; Accountability Journal</w:t>
      </w:r>
      <w:r w:rsidRPr="007C385A">
        <w:t xml:space="preserve"> and the </w:t>
      </w:r>
      <w:r w:rsidRPr="007C385A">
        <w:rPr>
          <w:i/>
          <w:iCs/>
        </w:rPr>
        <w:t>Journal of Business Ethics</w:t>
      </w:r>
      <w:r w:rsidRPr="007C385A">
        <w:t>. Other NFIA subdomains, including carbon and greenhouse gas (GHG) auditing, remain comparatively smaller, with periodic increases that do not reach the scale of sustainability assurance research.</w:t>
      </w:r>
    </w:p>
    <w:p w14:paraId="3028C5F4" w14:textId="77777777" w:rsidR="007C385A" w:rsidRDefault="007C385A" w:rsidP="007C385A">
      <w:pPr>
        <w:ind w:firstLine="420"/>
        <w:jc w:val="both"/>
      </w:pPr>
      <w:r w:rsidRPr="007C385A">
        <w:t xml:space="preserve">The figure also indicates a temporary decline in publications during 2022–2023, plausibly reflecting the disruption of academic agendas during the COVID-19 pandemic. Publication </w:t>
      </w:r>
      <w:r w:rsidRPr="007C385A">
        <w:lastRenderedPageBreak/>
        <w:t>volumes subsequently rebound, with sustainability-related assurance maintaining higher average levels than prior to 2019 and reaching a new peak by 2025.</w:t>
      </w:r>
    </w:p>
    <w:p w14:paraId="6D7326C6" w14:textId="77777777" w:rsidR="0039582D" w:rsidRPr="007C385A" w:rsidRDefault="0039582D" w:rsidP="007C385A">
      <w:pPr>
        <w:ind w:firstLine="420"/>
        <w:jc w:val="both"/>
      </w:pPr>
    </w:p>
    <w:tbl>
      <w:tblPr>
        <w:tblW w:w="9680" w:type="dxa"/>
        <w:tblLook w:val="04A0" w:firstRow="1" w:lastRow="0" w:firstColumn="1" w:lastColumn="0" w:noHBand="0" w:noVBand="1"/>
      </w:tblPr>
      <w:tblGrid>
        <w:gridCol w:w="2309"/>
        <w:gridCol w:w="810"/>
        <w:gridCol w:w="1035"/>
        <w:gridCol w:w="732"/>
        <w:gridCol w:w="636"/>
        <w:gridCol w:w="636"/>
        <w:gridCol w:w="1286"/>
        <w:gridCol w:w="1248"/>
        <w:gridCol w:w="988"/>
      </w:tblGrid>
      <w:tr w:rsidR="004F60A2" w14:paraId="0E6C4806" w14:textId="77777777" w:rsidTr="004F60A2">
        <w:trPr>
          <w:trHeight w:val="1200"/>
        </w:trPr>
        <w:tc>
          <w:tcPr>
            <w:tcW w:w="2810" w:type="dxa"/>
            <w:tcBorders>
              <w:top w:val="single" w:sz="8" w:space="0" w:color="auto"/>
              <w:left w:val="single" w:sz="8" w:space="0" w:color="auto"/>
              <w:bottom w:val="single" w:sz="4" w:space="0" w:color="9BC2E6"/>
              <w:right w:val="nil"/>
            </w:tcBorders>
            <w:shd w:val="clear" w:color="DDEBF7" w:fill="BFBFBF"/>
            <w:vAlign w:val="bottom"/>
            <w:hideMark/>
          </w:tcPr>
          <w:p w14:paraId="722D1B18" w14:textId="77777777" w:rsidR="004F60A2" w:rsidRDefault="004F60A2">
            <w:pPr>
              <w:rPr>
                <w:rFonts w:ascii="Calibri" w:hAnsi="Calibri" w:cs="Calibri"/>
                <w:b/>
                <w:bCs/>
                <w:color w:val="000000"/>
                <w:sz w:val="22"/>
                <w:szCs w:val="22"/>
              </w:rPr>
            </w:pPr>
            <w:r>
              <w:rPr>
                <w:rFonts w:ascii="Calibri" w:hAnsi="Calibri" w:cs="Calibri"/>
                <w:b/>
                <w:bCs/>
                <w:color w:val="000000"/>
                <w:sz w:val="22"/>
                <w:szCs w:val="22"/>
              </w:rPr>
              <w:t>Journal / Jurisdiction of Study</w:t>
            </w:r>
          </w:p>
        </w:tc>
        <w:tc>
          <w:tcPr>
            <w:tcW w:w="716" w:type="dxa"/>
            <w:tcBorders>
              <w:top w:val="single" w:sz="8" w:space="0" w:color="auto"/>
              <w:left w:val="nil"/>
              <w:bottom w:val="single" w:sz="4" w:space="0" w:color="9BC2E6"/>
              <w:right w:val="nil"/>
            </w:tcBorders>
            <w:shd w:val="clear" w:color="DDEBF7" w:fill="BFBFBF"/>
            <w:noWrap/>
            <w:vAlign w:val="bottom"/>
            <w:hideMark/>
          </w:tcPr>
          <w:p w14:paraId="47755484" w14:textId="77777777" w:rsidR="004F60A2" w:rsidRDefault="004F60A2">
            <w:pPr>
              <w:rPr>
                <w:rFonts w:ascii="Calibri" w:hAnsi="Calibri" w:cs="Calibri"/>
                <w:b/>
                <w:bCs/>
                <w:color w:val="000000"/>
                <w:sz w:val="22"/>
                <w:szCs w:val="22"/>
              </w:rPr>
            </w:pPr>
            <w:r>
              <w:rPr>
                <w:rFonts w:ascii="Calibri" w:hAnsi="Calibri" w:cs="Calibri"/>
                <w:b/>
                <w:bCs/>
                <w:color w:val="000000"/>
                <w:sz w:val="22"/>
                <w:szCs w:val="22"/>
              </w:rPr>
              <w:t>Global</w:t>
            </w:r>
          </w:p>
        </w:tc>
        <w:tc>
          <w:tcPr>
            <w:tcW w:w="896" w:type="dxa"/>
            <w:tcBorders>
              <w:top w:val="single" w:sz="8" w:space="0" w:color="auto"/>
              <w:left w:val="nil"/>
              <w:bottom w:val="single" w:sz="4" w:space="0" w:color="9BC2E6"/>
              <w:right w:val="nil"/>
            </w:tcBorders>
            <w:shd w:val="clear" w:color="DDEBF7" w:fill="BFBFBF"/>
            <w:noWrap/>
            <w:vAlign w:val="bottom"/>
            <w:hideMark/>
          </w:tcPr>
          <w:p w14:paraId="7B381BE6" w14:textId="77777777" w:rsidR="004F60A2" w:rsidRDefault="004F60A2">
            <w:pPr>
              <w:rPr>
                <w:rFonts w:ascii="Calibri" w:hAnsi="Calibri" w:cs="Calibri"/>
                <w:b/>
                <w:bCs/>
                <w:color w:val="000000"/>
                <w:sz w:val="22"/>
                <w:szCs w:val="22"/>
              </w:rPr>
            </w:pPr>
            <w:r>
              <w:rPr>
                <w:rFonts w:ascii="Calibri" w:hAnsi="Calibri" w:cs="Calibri"/>
                <w:b/>
                <w:bCs/>
                <w:color w:val="000000"/>
                <w:sz w:val="22"/>
                <w:szCs w:val="22"/>
              </w:rPr>
              <w:t>Australia</w:t>
            </w:r>
          </w:p>
        </w:tc>
        <w:tc>
          <w:tcPr>
            <w:tcW w:w="596" w:type="dxa"/>
            <w:tcBorders>
              <w:top w:val="single" w:sz="8" w:space="0" w:color="auto"/>
              <w:left w:val="nil"/>
              <w:bottom w:val="single" w:sz="4" w:space="0" w:color="9BC2E6"/>
              <w:right w:val="nil"/>
            </w:tcBorders>
            <w:shd w:val="clear" w:color="DDEBF7" w:fill="BFBFBF"/>
            <w:noWrap/>
            <w:vAlign w:val="bottom"/>
            <w:hideMark/>
          </w:tcPr>
          <w:p w14:paraId="32933F7D" w14:textId="77777777" w:rsidR="004F60A2" w:rsidRDefault="004F60A2">
            <w:pPr>
              <w:rPr>
                <w:rFonts w:ascii="Calibri" w:hAnsi="Calibri" w:cs="Calibri"/>
                <w:b/>
                <w:bCs/>
                <w:color w:val="000000"/>
                <w:sz w:val="22"/>
                <w:szCs w:val="22"/>
              </w:rPr>
            </w:pPr>
            <w:r>
              <w:rPr>
                <w:rFonts w:ascii="Calibri" w:hAnsi="Calibri" w:cs="Calibri"/>
                <w:b/>
                <w:bCs/>
                <w:color w:val="000000"/>
                <w:sz w:val="22"/>
                <w:szCs w:val="22"/>
              </w:rPr>
              <w:t>China</w:t>
            </w:r>
          </w:p>
        </w:tc>
        <w:tc>
          <w:tcPr>
            <w:tcW w:w="636" w:type="dxa"/>
            <w:tcBorders>
              <w:top w:val="single" w:sz="8" w:space="0" w:color="auto"/>
              <w:left w:val="nil"/>
              <w:bottom w:val="single" w:sz="4" w:space="0" w:color="9BC2E6"/>
              <w:right w:val="nil"/>
            </w:tcBorders>
            <w:shd w:val="clear" w:color="DDEBF7" w:fill="BFBFBF"/>
            <w:noWrap/>
            <w:vAlign w:val="bottom"/>
            <w:hideMark/>
          </w:tcPr>
          <w:p w14:paraId="55F77ED8" w14:textId="77777777" w:rsidR="004F60A2" w:rsidRDefault="004F60A2">
            <w:pPr>
              <w:rPr>
                <w:rFonts w:ascii="Calibri" w:hAnsi="Calibri" w:cs="Calibri"/>
                <w:b/>
                <w:bCs/>
                <w:color w:val="000000"/>
                <w:sz w:val="22"/>
                <w:szCs w:val="22"/>
              </w:rPr>
            </w:pPr>
            <w:r>
              <w:rPr>
                <w:rFonts w:ascii="Calibri" w:hAnsi="Calibri" w:cs="Calibri"/>
                <w:b/>
                <w:bCs/>
                <w:color w:val="000000"/>
                <w:sz w:val="22"/>
                <w:szCs w:val="22"/>
              </w:rPr>
              <w:t>UK</w:t>
            </w:r>
          </w:p>
        </w:tc>
        <w:tc>
          <w:tcPr>
            <w:tcW w:w="636" w:type="dxa"/>
            <w:tcBorders>
              <w:top w:val="single" w:sz="8" w:space="0" w:color="auto"/>
              <w:left w:val="nil"/>
              <w:bottom w:val="single" w:sz="4" w:space="0" w:color="9BC2E6"/>
              <w:right w:val="nil"/>
            </w:tcBorders>
            <w:shd w:val="clear" w:color="DDEBF7" w:fill="BFBFBF"/>
            <w:noWrap/>
            <w:vAlign w:val="bottom"/>
            <w:hideMark/>
          </w:tcPr>
          <w:p w14:paraId="12C9F58B" w14:textId="77777777" w:rsidR="004F60A2" w:rsidRDefault="004F60A2">
            <w:pPr>
              <w:rPr>
                <w:rFonts w:ascii="Calibri" w:hAnsi="Calibri" w:cs="Calibri"/>
                <w:b/>
                <w:bCs/>
                <w:color w:val="000000"/>
                <w:sz w:val="22"/>
                <w:szCs w:val="22"/>
              </w:rPr>
            </w:pPr>
            <w:r>
              <w:rPr>
                <w:rFonts w:ascii="Calibri" w:hAnsi="Calibri" w:cs="Calibri"/>
                <w:b/>
                <w:bCs/>
                <w:color w:val="000000"/>
                <w:sz w:val="22"/>
                <w:szCs w:val="22"/>
              </w:rPr>
              <w:t>US</w:t>
            </w:r>
          </w:p>
        </w:tc>
        <w:tc>
          <w:tcPr>
            <w:tcW w:w="1286" w:type="dxa"/>
            <w:tcBorders>
              <w:top w:val="single" w:sz="8" w:space="0" w:color="auto"/>
              <w:left w:val="nil"/>
              <w:bottom w:val="single" w:sz="4" w:space="0" w:color="9BC2E6"/>
              <w:right w:val="nil"/>
            </w:tcBorders>
            <w:shd w:val="clear" w:color="DDEBF7" w:fill="BFBFBF"/>
            <w:vAlign w:val="bottom"/>
            <w:hideMark/>
          </w:tcPr>
          <w:p w14:paraId="68DD9D80" w14:textId="77777777" w:rsidR="004F60A2" w:rsidRDefault="004F60A2">
            <w:pPr>
              <w:rPr>
                <w:rFonts w:ascii="Calibri" w:hAnsi="Calibri" w:cs="Calibri"/>
                <w:b/>
                <w:bCs/>
                <w:color w:val="000000"/>
                <w:sz w:val="22"/>
                <w:szCs w:val="22"/>
              </w:rPr>
            </w:pPr>
            <w:r>
              <w:rPr>
                <w:rFonts w:ascii="Calibri" w:hAnsi="Calibri" w:cs="Calibri"/>
                <w:b/>
                <w:bCs/>
                <w:color w:val="000000"/>
                <w:sz w:val="22"/>
                <w:szCs w:val="22"/>
              </w:rPr>
              <w:t>Other Developed Countries</w:t>
            </w:r>
          </w:p>
        </w:tc>
        <w:tc>
          <w:tcPr>
            <w:tcW w:w="1116" w:type="dxa"/>
            <w:tcBorders>
              <w:top w:val="single" w:sz="8" w:space="0" w:color="auto"/>
              <w:left w:val="nil"/>
              <w:bottom w:val="single" w:sz="4" w:space="0" w:color="9BC2E6"/>
              <w:right w:val="nil"/>
            </w:tcBorders>
            <w:shd w:val="clear" w:color="DDEBF7" w:fill="BFBFBF"/>
            <w:vAlign w:val="bottom"/>
            <w:hideMark/>
          </w:tcPr>
          <w:p w14:paraId="18F026B2" w14:textId="77777777" w:rsidR="004F60A2" w:rsidRDefault="004F60A2">
            <w:pPr>
              <w:rPr>
                <w:rFonts w:ascii="Calibri" w:hAnsi="Calibri" w:cs="Calibri"/>
                <w:b/>
                <w:bCs/>
                <w:color w:val="000000"/>
                <w:sz w:val="22"/>
                <w:szCs w:val="22"/>
              </w:rPr>
            </w:pPr>
            <w:r>
              <w:rPr>
                <w:rFonts w:ascii="Calibri" w:hAnsi="Calibri" w:cs="Calibri"/>
                <w:b/>
                <w:bCs/>
                <w:color w:val="000000"/>
                <w:sz w:val="22"/>
                <w:szCs w:val="22"/>
              </w:rPr>
              <w:t>Other Developing Countries</w:t>
            </w:r>
          </w:p>
        </w:tc>
        <w:tc>
          <w:tcPr>
            <w:tcW w:w="988" w:type="dxa"/>
            <w:tcBorders>
              <w:top w:val="single" w:sz="8" w:space="0" w:color="auto"/>
              <w:left w:val="nil"/>
              <w:bottom w:val="single" w:sz="4" w:space="0" w:color="9BC2E6"/>
              <w:right w:val="single" w:sz="8" w:space="0" w:color="auto"/>
            </w:tcBorders>
            <w:shd w:val="clear" w:color="DDEBF7" w:fill="BFBFBF"/>
            <w:noWrap/>
            <w:vAlign w:val="bottom"/>
            <w:hideMark/>
          </w:tcPr>
          <w:p w14:paraId="5009436B" w14:textId="77777777" w:rsidR="004F60A2" w:rsidRDefault="004F60A2">
            <w:pPr>
              <w:rPr>
                <w:rFonts w:ascii="Calibri" w:hAnsi="Calibri" w:cs="Calibri"/>
                <w:b/>
                <w:bCs/>
                <w:color w:val="000000"/>
                <w:sz w:val="22"/>
                <w:szCs w:val="22"/>
              </w:rPr>
            </w:pPr>
            <w:r>
              <w:rPr>
                <w:rFonts w:ascii="Calibri" w:hAnsi="Calibri" w:cs="Calibri"/>
                <w:b/>
                <w:bCs/>
                <w:color w:val="000000"/>
                <w:sz w:val="22"/>
                <w:szCs w:val="22"/>
              </w:rPr>
              <w:t>Total</w:t>
            </w:r>
          </w:p>
        </w:tc>
      </w:tr>
      <w:tr w:rsidR="004F60A2" w14:paraId="1A45C0B0" w14:textId="77777777" w:rsidTr="004F60A2">
        <w:trPr>
          <w:trHeight w:val="300"/>
        </w:trPr>
        <w:tc>
          <w:tcPr>
            <w:tcW w:w="2810" w:type="dxa"/>
            <w:tcBorders>
              <w:top w:val="nil"/>
              <w:left w:val="single" w:sz="8" w:space="0" w:color="auto"/>
              <w:bottom w:val="nil"/>
              <w:right w:val="nil"/>
            </w:tcBorders>
            <w:vAlign w:val="center"/>
            <w:hideMark/>
          </w:tcPr>
          <w:p w14:paraId="6B13D416" w14:textId="77777777" w:rsidR="004F60A2" w:rsidRDefault="004F60A2">
            <w:pPr>
              <w:rPr>
                <w:rFonts w:ascii="Calibri" w:hAnsi="Calibri" w:cs="Calibri"/>
                <w:color w:val="000000"/>
                <w:sz w:val="22"/>
                <w:szCs w:val="22"/>
              </w:rPr>
            </w:pPr>
            <w:r>
              <w:rPr>
                <w:rFonts w:ascii="Calibri" w:hAnsi="Calibri" w:cs="Calibri"/>
                <w:color w:val="000000"/>
                <w:sz w:val="22"/>
                <w:szCs w:val="22"/>
              </w:rPr>
              <w:t>Abacus</w:t>
            </w:r>
          </w:p>
        </w:tc>
        <w:tc>
          <w:tcPr>
            <w:tcW w:w="716" w:type="dxa"/>
            <w:tcBorders>
              <w:top w:val="nil"/>
              <w:left w:val="nil"/>
              <w:bottom w:val="nil"/>
              <w:right w:val="nil"/>
            </w:tcBorders>
            <w:shd w:val="clear" w:color="000000" w:fill="F2F2F2"/>
            <w:noWrap/>
            <w:vAlign w:val="center"/>
            <w:hideMark/>
          </w:tcPr>
          <w:p w14:paraId="72BC3BE3"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896" w:type="dxa"/>
            <w:tcBorders>
              <w:top w:val="nil"/>
              <w:left w:val="nil"/>
              <w:bottom w:val="nil"/>
              <w:right w:val="nil"/>
            </w:tcBorders>
            <w:noWrap/>
            <w:vAlign w:val="center"/>
            <w:hideMark/>
          </w:tcPr>
          <w:p w14:paraId="3A5262E2"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596" w:type="dxa"/>
            <w:tcBorders>
              <w:top w:val="nil"/>
              <w:left w:val="nil"/>
              <w:bottom w:val="nil"/>
              <w:right w:val="nil"/>
            </w:tcBorders>
            <w:noWrap/>
            <w:vAlign w:val="center"/>
            <w:hideMark/>
          </w:tcPr>
          <w:p w14:paraId="05A855D7" w14:textId="77777777" w:rsidR="004F60A2" w:rsidRDefault="004F60A2">
            <w:pPr>
              <w:jc w:val="center"/>
              <w:rPr>
                <w:rFonts w:ascii="Calibri" w:hAnsi="Calibri" w:cs="Calibri"/>
                <w:color w:val="000000"/>
                <w:sz w:val="22"/>
                <w:szCs w:val="22"/>
              </w:rPr>
            </w:pPr>
          </w:p>
        </w:tc>
        <w:tc>
          <w:tcPr>
            <w:tcW w:w="636" w:type="dxa"/>
            <w:tcBorders>
              <w:top w:val="nil"/>
              <w:left w:val="nil"/>
              <w:bottom w:val="nil"/>
              <w:right w:val="nil"/>
            </w:tcBorders>
            <w:noWrap/>
            <w:vAlign w:val="center"/>
            <w:hideMark/>
          </w:tcPr>
          <w:p w14:paraId="25F1D580"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49985269" w14:textId="77777777" w:rsidR="004F60A2" w:rsidRDefault="004F60A2">
            <w:pPr>
              <w:jc w:val="center"/>
              <w:rPr>
                <w:sz w:val="20"/>
                <w:szCs w:val="20"/>
              </w:rPr>
            </w:pPr>
          </w:p>
        </w:tc>
        <w:tc>
          <w:tcPr>
            <w:tcW w:w="1286" w:type="dxa"/>
            <w:tcBorders>
              <w:top w:val="nil"/>
              <w:left w:val="nil"/>
              <w:bottom w:val="nil"/>
              <w:right w:val="nil"/>
            </w:tcBorders>
            <w:shd w:val="clear" w:color="000000" w:fill="F2F2F2"/>
            <w:noWrap/>
            <w:vAlign w:val="center"/>
            <w:hideMark/>
          </w:tcPr>
          <w:p w14:paraId="739E67D9"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1116" w:type="dxa"/>
            <w:tcBorders>
              <w:top w:val="nil"/>
              <w:left w:val="nil"/>
              <w:bottom w:val="nil"/>
              <w:right w:val="nil"/>
            </w:tcBorders>
            <w:noWrap/>
            <w:vAlign w:val="center"/>
            <w:hideMark/>
          </w:tcPr>
          <w:p w14:paraId="1F02EAA4"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4DF06454"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w:t>
            </w:r>
          </w:p>
        </w:tc>
      </w:tr>
      <w:tr w:rsidR="004F60A2" w14:paraId="279821FD" w14:textId="77777777" w:rsidTr="004F60A2">
        <w:trPr>
          <w:trHeight w:val="300"/>
        </w:trPr>
        <w:tc>
          <w:tcPr>
            <w:tcW w:w="2810" w:type="dxa"/>
            <w:tcBorders>
              <w:top w:val="nil"/>
              <w:left w:val="single" w:sz="8" w:space="0" w:color="auto"/>
              <w:bottom w:val="nil"/>
              <w:right w:val="nil"/>
            </w:tcBorders>
            <w:vAlign w:val="center"/>
            <w:hideMark/>
          </w:tcPr>
          <w:p w14:paraId="00FDCF12" w14:textId="77777777" w:rsidR="004F60A2" w:rsidRDefault="004F60A2">
            <w:pPr>
              <w:rPr>
                <w:rFonts w:ascii="Calibri" w:hAnsi="Calibri" w:cs="Calibri"/>
                <w:color w:val="000000"/>
                <w:sz w:val="22"/>
                <w:szCs w:val="22"/>
              </w:rPr>
            </w:pPr>
            <w:r>
              <w:rPr>
                <w:rFonts w:ascii="Calibri" w:hAnsi="Calibri" w:cs="Calibri"/>
                <w:color w:val="000000"/>
                <w:sz w:val="22"/>
                <w:szCs w:val="22"/>
              </w:rPr>
              <w:t>Accounting &amp; Finance</w:t>
            </w:r>
          </w:p>
        </w:tc>
        <w:tc>
          <w:tcPr>
            <w:tcW w:w="716" w:type="dxa"/>
            <w:tcBorders>
              <w:top w:val="nil"/>
              <w:left w:val="nil"/>
              <w:bottom w:val="nil"/>
              <w:right w:val="nil"/>
            </w:tcBorders>
            <w:shd w:val="clear" w:color="000000" w:fill="F2F2F2"/>
            <w:noWrap/>
            <w:vAlign w:val="center"/>
            <w:hideMark/>
          </w:tcPr>
          <w:p w14:paraId="23FDA2AF"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2</w:t>
            </w:r>
          </w:p>
        </w:tc>
        <w:tc>
          <w:tcPr>
            <w:tcW w:w="896" w:type="dxa"/>
            <w:tcBorders>
              <w:top w:val="nil"/>
              <w:left w:val="nil"/>
              <w:bottom w:val="nil"/>
              <w:right w:val="nil"/>
            </w:tcBorders>
            <w:noWrap/>
            <w:vAlign w:val="center"/>
            <w:hideMark/>
          </w:tcPr>
          <w:p w14:paraId="5456CF71" w14:textId="77777777" w:rsidR="004F60A2" w:rsidRDefault="004F60A2">
            <w:pPr>
              <w:jc w:val="center"/>
              <w:rPr>
                <w:rFonts w:ascii="Calibri" w:hAnsi="Calibri" w:cs="Calibri"/>
                <w:color w:val="000000"/>
                <w:sz w:val="22"/>
                <w:szCs w:val="22"/>
              </w:rPr>
            </w:pPr>
          </w:p>
        </w:tc>
        <w:tc>
          <w:tcPr>
            <w:tcW w:w="596" w:type="dxa"/>
            <w:tcBorders>
              <w:top w:val="nil"/>
              <w:left w:val="nil"/>
              <w:bottom w:val="nil"/>
              <w:right w:val="nil"/>
            </w:tcBorders>
            <w:noWrap/>
            <w:vAlign w:val="center"/>
            <w:hideMark/>
          </w:tcPr>
          <w:p w14:paraId="21610C6A"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2325FEF3"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03B26BD9" w14:textId="77777777" w:rsidR="004F60A2" w:rsidRDefault="004F60A2">
            <w:pPr>
              <w:jc w:val="center"/>
              <w:rPr>
                <w:sz w:val="20"/>
                <w:szCs w:val="20"/>
              </w:rPr>
            </w:pPr>
          </w:p>
        </w:tc>
        <w:tc>
          <w:tcPr>
            <w:tcW w:w="1286" w:type="dxa"/>
            <w:tcBorders>
              <w:top w:val="nil"/>
              <w:left w:val="nil"/>
              <w:bottom w:val="nil"/>
              <w:right w:val="nil"/>
            </w:tcBorders>
            <w:shd w:val="clear" w:color="000000" w:fill="F2F2F2"/>
            <w:noWrap/>
            <w:vAlign w:val="center"/>
            <w:hideMark/>
          </w:tcPr>
          <w:p w14:paraId="6EE026D1"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1116" w:type="dxa"/>
            <w:tcBorders>
              <w:top w:val="nil"/>
              <w:left w:val="nil"/>
              <w:bottom w:val="nil"/>
              <w:right w:val="nil"/>
            </w:tcBorders>
            <w:noWrap/>
            <w:vAlign w:val="center"/>
            <w:hideMark/>
          </w:tcPr>
          <w:p w14:paraId="283E089A"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6EDCCC57"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3</w:t>
            </w:r>
          </w:p>
        </w:tc>
      </w:tr>
      <w:tr w:rsidR="004F60A2" w14:paraId="229B8E6E" w14:textId="77777777" w:rsidTr="004F60A2">
        <w:trPr>
          <w:trHeight w:val="585"/>
        </w:trPr>
        <w:tc>
          <w:tcPr>
            <w:tcW w:w="2810" w:type="dxa"/>
            <w:tcBorders>
              <w:top w:val="nil"/>
              <w:left w:val="single" w:sz="8" w:space="0" w:color="auto"/>
              <w:bottom w:val="nil"/>
              <w:right w:val="nil"/>
            </w:tcBorders>
            <w:vAlign w:val="center"/>
            <w:hideMark/>
          </w:tcPr>
          <w:p w14:paraId="125CAE78" w14:textId="77777777" w:rsidR="004F60A2" w:rsidRDefault="004F60A2">
            <w:pPr>
              <w:rPr>
                <w:rFonts w:ascii="Calibri" w:hAnsi="Calibri" w:cs="Calibri"/>
                <w:color w:val="000000"/>
                <w:sz w:val="22"/>
                <w:szCs w:val="22"/>
              </w:rPr>
            </w:pPr>
            <w:r>
              <w:rPr>
                <w:rFonts w:ascii="Calibri" w:hAnsi="Calibri" w:cs="Calibri"/>
                <w:color w:val="000000"/>
                <w:sz w:val="22"/>
                <w:szCs w:val="22"/>
              </w:rPr>
              <w:t>Accounting &amp; Business Research</w:t>
            </w:r>
          </w:p>
        </w:tc>
        <w:tc>
          <w:tcPr>
            <w:tcW w:w="716" w:type="dxa"/>
            <w:tcBorders>
              <w:top w:val="nil"/>
              <w:left w:val="nil"/>
              <w:bottom w:val="nil"/>
              <w:right w:val="nil"/>
            </w:tcBorders>
            <w:shd w:val="clear" w:color="000000" w:fill="F2F2F2"/>
            <w:noWrap/>
            <w:vAlign w:val="center"/>
            <w:hideMark/>
          </w:tcPr>
          <w:p w14:paraId="089DF6FB"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896" w:type="dxa"/>
            <w:tcBorders>
              <w:top w:val="nil"/>
              <w:left w:val="nil"/>
              <w:bottom w:val="nil"/>
              <w:right w:val="nil"/>
            </w:tcBorders>
            <w:noWrap/>
            <w:vAlign w:val="center"/>
            <w:hideMark/>
          </w:tcPr>
          <w:p w14:paraId="2F18B64E"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596" w:type="dxa"/>
            <w:tcBorders>
              <w:top w:val="nil"/>
              <w:left w:val="nil"/>
              <w:bottom w:val="nil"/>
              <w:right w:val="nil"/>
            </w:tcBorders>
            <w:noWrap/>
            <w:vAlign w:val="center"/>
            <w:hideMark/>
          </w:tcPr>
          <w:p w14:paraId="62168DE0" w14:textId="77777777" w:rsidR="004F60A2" w:rsidRDefault="004F60A2">
            <w:pPr>
              <w:jc w:val="center"/>
              <w:rPr>
                <w:rFonts w:ascii="Calibri" w:hAnsi="Calibri" w:cs="Calibri"/>
                <w:color w:val="000000"/>
                <w:sz w:val="22"/>
                <w:szCs w:val="22"/>
              </w:rPr>
            </w:pPr>
          </w:p>
        </w:tc>
        <w:tc>
          <w:tcPr>
            <w:tcW w:w="636" w:type="dxa"/>
            <w:tcBorders>
              <w:top w:val="nil"/>
              <w:left w:val="nil"/>
              <w:bottom w:val="nil"/>
              <w:right w:val="nil"/>
            </w:tcBorders>
            <w:noWrap/>
            <w:vAlign w:val="center"/>
            <w:hideMark/>
          </w:tcPr>
          <w:p w14:paraId="164DA56A"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3BCFA195" w14:textId="77777777" w:rsidR="004F60A2" w:rsidRDefault="004F60A2">
            <w:pPr>
              <w:jc w:val="center"/>
              <w:rPr>
                <w:sz w:val="20"/>
                <w:szCs w:val="20"/>
              </w:rPr>
            </w:pPr>
          </w:p>
        </w:tc>
        <w:tc>
          <w:tcPr>
            <w:tcW w:w="1286" w:type="dxa"/>
            <w:tcBorders>
              <w:top w:val="nil"/>
              <w:left w:val="nil"/>
              <w:bottom w:val="nil"/>
              <w:right w:val="nil"/>
            </w:tcBorders>
            <w:shd w:val="clear" w:color="000000" w:fill="F2F2F2"/>
            <w:noWrap/>
            <w:vAlign w:val="center"/>
            <w:hideMark/>
          </w:tcPr>
          <w:p w14:paraId="2776B54F"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2</w:t>
            </w:r>
          </w:p>
        </w:tc>
        <w:tc>
          <w:tcPr>
            <w:tcW w:w="1116" w:type="dxa"/>
            <w:tcBorders>
              <w:top w:val="nil"/>
              <w:left w:val="nil"/>
              <w:bottom w:val="nil"/>
              <w:right w:val="nil"/>
            </w:tcBorders>
            <w:noWrap/>
            <w:vAlign w:val="center"/>
            <w:hideMark/>
          </w:tcPr>
          <w:p w14:paraId="10166BEC"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988" w:type="dxa"/>
            <w:tcBorders>
              <w:top w:val="nil"/>
              <w:left w:val="nil"/>
              <w:bottom w:val="nil"/>
              <w:right w:val="single" w:sz="8" w:space="0" w:color="auto"/>
            </w:tcBorders>
            <w:noWrap/>
            <w:vAlign w:val="center"/>
            <w:hideMark/>
          </w:tcPr>
          <w:p w14:paraId="4736F681"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4</w:t>
            </w:r>
          </w:p>
        </w:tc>
      </w:tr>
      <w:tr w:rsidR="004F60A2" w14:paraId="717BDBCE" w14:textId="77777777" w:rsidTr="004F60A2">
        <w:trPr>
          <w:trHeight w:val="300"/>
        </w:trPr>
        <w:tc>
          <w:tcPr>
            <w:tcW w:w="2810" w:type="dxa"/>
            <w:tcBorders>
              <w:top w:val="nil"/>
              <w:left w:val="single" w:sz="8" w:space="0" w:color="auto"/>
              <w:bottom w:val="nil"/>
              <w:right w:val="nil"/>
            </w:tcBorders>
            <w:vAlign w:val="center"/>
            <w:hideMark/>
          </w:tcPr>
          <w:p w14:paraId="44B3C417" w14:textId="77777777" w:rsidR="004F60A2" w:rsidRDefault="004F60A2">
            <w:pPr>
              <w:rPr>
                <w:rFonts w:ascii="Calibri" w:hAnsi="Calibri" w:cs="Calibri"/>
                <w:color w:val="000000"/>
                <w:sz w:val="22"/>
                <w:szCs w:val="22"/>
              </w:rPr>
            </w:pPr>
            <w:r>
              <w:rPr>
                <w:rFonts w:ascii="Calibri" w:hAnsi="Calibri" w:cs="Calibri"/>
                <w:color w:val="000000"/>
                <w:sz w:val="22"/>
                <w:szCs w:val="22"/>
              </w:rPr>
              <w:t>Accounting Horizons</w:t>
            </w:r>
          </w:p>
        </w:tc>
        <w:tc>
          <w:tcPr>
            <w:tcW w:w="716" w:type="dxa"/>
            <w:tcBorders>
              <w:top w:val="nil"/>
              <w:left w:val="nil"/>
              <w:bottom w:val="nil"/>
              <w:right w:val="nil"/>
            </w:tcBorders>
            <w:shd w:val="clear" w:color="000000" w:fill="F2F2F2"/>
            <w:noWrap/>
            <w:vAlign w:val="center"/>
            <w:hideMark/>
          </w:tcPr>
          <w:p w14:paraId="3F766DB0"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896" w:type="dxa"/>
            <w:tcBorders>
              <w:top w:val="nil"/>
              <w:left w:val="nil"/>
              <w:bottom w:val="nil"/>
              <w:right w:val="nil"/>
            </w:tcBorders>
            <w:noWrap/>
            <w:vAlign w:val="center"/>
            <w:hideMark/>
          </w:tcPr>
          <w:p w14:paraId="3D5ACFC8" w14:textId="77777777" w:rsidR="004F60A2" w:rsidRDefault="004F60A2">
            <w:pPr>
              <w:jc w:val="center"/>
              <w:rPr>
                <w:rFonts w:ascii="Calibri" w:hAnsi="Calibri" w:cs="Calibri"/>
                <w:color w:val="000000"/>
                <w:sz w:val="22"/>
                <w:szCs w:val="22"/>
              </w:rPr>
            </w:pPr>
          </w:p>
        </w:tc>
        <w:tc>
          <w:tcPr>
            <w:tcW w:w="596" w:type="dxa"/>
            <w:tcBorders>
              <w:top w:val="nil"/>
              <w:left w:val="nil"/>
              <w:bottom w:val="nil"/>
              <w:right w:val="nil"/>
            </w:tcBorders>
            <w:noWrap/>
            <w:vAlign w:val="center"/>
            <w:hideMark/>
          </w:tcPr>
          <w:p w14:paraId="5FE1F323"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636" w:type="dxa"/>
            <w:tcBorders>
              <w:top w:val="nil"/>
              <w:left w:val="nil"/>
              <w:bottom w:val="nil"/>
              <w:right w:val="nil"/>
            </w:tcBorders>
            <w:noWrap/>
            <w:vAlign w:val="center"/>
            <w:hideMark/>
          </w:tcPr>
          <w:p w14:paraId="7A396A7D" w14:textId="77777777" w:rsidR="004F60A2" w:rsidRDefault="004F60A2">
            <w:pPr>
              <w:jc w:val="center"/>
              <w:rPr>
                <w:rFonts w:ascii="Calibri" w:hAnsi="Calibri" w:cs="Calibri"/>
                <w:color w:val="000000"/>
                <w:sz w:val="22"/>
                <w:szCs w:val="22"/>
              </w:rPr>
            </w:pPr>
          </w:p>
        </w:tc>
        <w:tc>
          <w:tcPr>
            <w:tcW w:w="636" w:type="dxa"/>
            <w:tcBorders>
              <w:top w:val="nil"/>
              <w:left w:val="nil"/>
              <w:bottom w:val="nil"/>
              <w:right w:val="nil"/>
            </w:tcBorders>
            <w:noWrap/>
            <w:vAlign w:val="center"/>
            <w:hideMark/>
          </w:tcPr>
          <w:p w14:paraId="07B74961" w14:textId="77777777" w:rsidR="004F60A2" w:rsidRDefault="004F60A2">
            <w:pPr>
              <w:jc w:val="center"/>
              <w:rPr>
                <w:sz w:val="20"/>
                <w:szCs w:val="20"/>
              </w:rPr>
            </w:pPr>
          </w:p>
        </w:tc>
        <w:tc>
          <w:tcPr>
            <w:tcW w:w="1286" w:type="dxa"/>
            <w:tcBorders>
              <w:top w:val="nil"/>
              <w:left w:val="nil"/>
              <w:bottom w:val="nil"/>
              <w:right w:val="nil"/>
            </w:tcBorders>
            <w:shd w:val="clear" w:color="000000" w:fill="F2F2F2"/>
            <w:noWrap/>
            <w:vAlign w:val="center"/>
            <w:hideMark/>
          </w:tcPr>
          <w:p w14:paraId="1D86CD68"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1116" w:type="dxa"/>
            <w:tcBorders>
              <w:top w:val="nil"/>
              <w:left w:val="nil"/>
              <w:bottom w:val="nil"/>
              <w:right w:val="nil"/>
            </w:tcBorders>
            <w:noWrap/>
            <w:vAlign w:val="center"/>
            <w:hideMark/>
          </w:tcPr>
          <w:p w14:paraId="5782C6FA"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4F184780"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w:t>
            </w:r>
          </w:p>
        </w:tc>
      </w:tr>
      <w:tr w:rsidR="004F60A2" w14:paraId="04B7BE04" w14:textId="77777777" w:rsidTr="004F60A2">
        <w:trPr>
          <w:trHeight w:val="300"/>
        </w:trPr>
        <w:tc>
          <w:tcPr>
            <w:tcW w:w="2810" w:type="dxa"/>
            <w:tcBorders>
              <w:top w:val="nil"/>
              <w:left w:val="single" w:sz="8" w:space="0" w:color="auto"/>
              <w:bottom w:val="nil"/>
              <w:right w:val="nil"/>
            </w:tcBorders>
            <w:vAlign w:val="center"/>
            <w:hideMark/>
          </w:tcPr>
          <w:p w14:paraId="37AC53AA" w14:textId="77777777" w:rsidR="004F60A2" w:rsidRDefault="004F60A2">
            <w:pPr>
              <w:rPr>
                <w:rFonts w:ascii="Calibri" w:hAnsi="Calibri" w:cs="Calibri"/>
                <w:color w:val="000000"/>
                <w:sz w:val="22"/>
                <w:szCs w:val="22"/>
              </w:rPr>
            </w:pPr>
            <w:r>
              <w:rPr>
                <w:rFonts w:ascii="Calibri" w:hAnsi="Calibri" w:cs="Calibri"/>
                <w:color w:val="000000"/>
                <w:sz w:val="22"/>
                <w:szCs w:val="22"/>
              </w:rPr>
              <w:t>Accounting in Europe</w:t>
            </w:r>
          </w:p>
        </w:tc>
        <w:tc>
          <w:tcPr>
            <w:tcW w:w="716" w:type="dxa"/>
            <w:tcBorders>
              <w:top w:val="nil"/>
              <w:left w:val="nil"/>
              <w:bottom w:val="nil"/>
              <w:right w:val="nil"/>
            </w:tcBorders>
            <w:shd w:val="clear" w:color="000000" w:fill="F2F2F2"/>
            <w:noWrap/>
            <w:vAlign w:val="center"/>
            <w:hideMark/>
          </w:tcPr>
          <w:p w14:paraId="691274E6"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896" w:type="dxa"/>
            <w:tcBorders>
              <w:top w:val="nil"/>
              <w:left w:val="nil"/>
              <w:bottom w:val="nil"/>
              <w:right w:val="nil"/>
            </w:tcBorders>
            <w:noWrap/>
            <w:vAlign w:val="center"/>
            <w:hideMark/>
          </w:tcPr>
          <w:p w14:paraId="041B9B16" w14:textId="77777777" w:rsidR="004F60A2" w:rsidRDefault="004F60A2">
            <w:pPr>
              <w:jc w:val="center"/>
              <w:rPr>
                <w:rFonts w:ascii="Calibri" w:hAnsi="Calibri" w:cs="Calibri"/>
                <w:color w:val="000000"/>
                <w:sz w:val="22"/>
                <w:szCs w:val="22"/>
              </w:rPr>
            </w:pPr>
          </w:p>
        </w:tc>
        <w:tc>
          <w:tcPr>
            <w:tcW w:w="596" w:type="dxa"/>
            <w:tcBorders>
              <w:top w:val="nil"/>
              <w:left w:val="nil"/>
              <w:bottom w:val="nil"/>
              <w:right w:val="nil"/>
            </w:tcBorders>
            <w:noWrap/>
            <w:vAlign w:val="center"/>
            <w:hideMark/>
          </w:tcPr>
          <w:p w14:paraId="32195450"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10C4592E"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579E0490" w14:textId="77777777" w:rsidR="004F60A2" w:rsidRDefault="004F60A2">
            <w:pPr>
              <w:jc w:val="center"/>
              <w:rPr>
                <w:sz w:val="20"/>
                <w:szCs w:val="20"/>
              </w:rPr>
            </w:pPr>
          </w:p>
        </w:tc>
        <w:tc>
          <w:tcPr>
            <w:tcW w:w="1286" w:type="dxa"/>
            <w:tcBorders>
              <w:top w:val="nil"/>
              <w:left w:val="nil"/>
              <w:bottom w:val="nil"/>
              <w:right w:val="nil"/>
            </w:tcBorders>
            <w:shd w:val="clear" w:color="000000" w:fill="F2F2F2"/>
            <w:noWrap/>
            <w:vAlign w:val="center"/>
            <w:hideMark/>
          </w:tcPr>
          <w:p w14:paraId="6421F3C2"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1116" w:type="dxa"/>
            <w:tcBorders>
              <w:top w:val="nil"/>
              <w:left w:val="nil"/>
              <w:bottom w:val="nil"/>
              <w:right w:val="nil"/>
            </w:tcBorders>
            <w:noWrap/>
            <w:vAlign w:val="center"/>
            <w:hideMark/>
          </w:tcPr>
          <w:p w14:paraId="05914574"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31221CCD"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w:t>
            </w:r>
          </w:p>
        </w:tc>
      </w:tr>
      <w:tr w:rsidR="004F60A2" w14:paraId="4858E5A0"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18015541" w14:textId="77777777" w:rsidR="004F60A2" w:rsidRDefault="004F60A2">
            <w:pPr>
              <w:rPr>
                <w:rFonts w:ascii="Calibri" w:hAnsi="Calibri" w:cs="Calibri"/>
                <w:color w:val="000000"/>
                <w:sz w:val="22"/>
                <w:szCs w:val="22"/>
              </w:rPr>
            </w:pPr>
            <w:r>
              <w:rPr>
                <w:rFonts w:ascii="Calibri" w:hAnsi="Calibri" w:cs="Calibri"/>
                <w:color w:val="000000"/>
                <w:sz w:val="22"/>
                <w:szCs w:val="22"/>
              </w:rPr>
              <w:t>Accounting, Auditing &amp; Accountability Journal</w:t>
            </w:r>
          </w:p>
        </w:tc>
        <w:tc>
          <w:tcPr>
            <w:tcW w:w="716" w:type="dxa"/>
            <w:tcBorders>
              <w:top w:val="nil"/>
              <w:left w:val="nil"/>
              <w:bottom w:val="nil"/>
              <w:right w:val="nil"/>
            </w:tcBorders>
            <w:shd w:val="clear" w:color="000000" w:fill="F2F2F2"/>
            <w:noWrap/>
            <w:vAlign w:val="center"/>
            <w:hideMark/>
          </w:tcPr>
          <w:p w14:paraId="06306221"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3</w:t>
            </w:r>
          </w:p>
        </w:tc>
        <w:tc>
          <w:tcPr>
            <w:tcW w:w="896" w:type="dxa"/>
            <w:tcBorders>
              <w:top w:val="nil"/>
              <w:left w:val="nil"/>
              <w:bottom w:val="nil"/>
              <w:right w:val="nil"/>
            </w:tcBorders>
            <w:shd w:val="clear" w:color="000000" w:fill="F2F2F2"/>
            <w:noWrap/>
            <w:vAlign w:val="center"/>
            <w:hideMark/>
          </w:tcPr>
          <w:p w14:paraId="0931325B"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4</w:t>
            </w:r>
          </w:p>
        </w:tc>
        <w:tc>
          <w:tcPr>
            <w:tcW w:w="596" w:type="dxa"/>
            <w:tcBorders>
              <w:top w:val="nil"/>
              <w:left w:val="nil"/>
              <w:bottom w:val="nil"/>
              <w:right w:val="nil"/>
            </w:tcBorders>
            <w:shd w:val="clear" w:color="000000" w:fill="F2F2F2"/>
            <w:noWrap/>
            <w:vAlign w:val="center"/>
            <w:hideMark/>
          </w:tcPr>
          <w:p w14:paraId="3F658089"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636" w:type="dxa"/>
            <w:tcBorders>
              <w:top w:val="nil"/>
              <w:left w:val="nil"/>
              <w:bottom w:val="nil"/>
              <w:right w:val="nil"/>
            </w:tcBorders>
            <w:shd w:val="clear" w:color="000000" w:fill="F2F2F2"/>
            <w:noWrap/>
            <w:vAlign w:val="center"/>
            <w:hideMark/>
          </w:tcPr>
          <w:p w14:paraId="3400D971"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636" w:type="dxa"/>
            <w:tcBorders>
              <w:top w:val="nil"/>
              <w:left w:val="nil"/>
              <w:bottom w:val="nil"/>
              <w:right w:val="nil"/>
            </w:tcBorders>
            <w:shd w:val="clear" w:color="000000" w:fill="F2F2F2"/>
            <w:noWrap/>
            <w:vAlign w:val="center"/>
            <w:hideMark/>
          </w:tcPr>
          <w:p w14:paraId="1FA29D71"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1286" w:type="dxa"/>
            <w:tcBorders>
              <w:top w:val="nil"/>
              <w:left w:val="nil"/>
              <w:bottom w:val="nil"/>
              <w:right w:val="nil"/>
            </w:tcBorders>
            <w:shd w:val="clear" w:color="000000" w:fill="F2F2F2"/>
            <w:noWrap/>
            <w:vAlign w:val="center"/>
            <w:hideMark/>
          </w:tcPr>
          <w:p w14:paraId="3C7EC647"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4</w:t>
            </w:r>
          </w:p>
        </w:tc>
        <w:tc>
          <w:tcPr>
            <w:tcW w:w="1116" w:type="dxa"/>
            <w:tcBorders>
              <w:top w:val="nil"/>
              <w:left w:val="nil"/>
              <w:bottom w:val="nil"/>
              <w:right w:val="nil"/>
            </w:tcBorders>
            <w:shd w:val="clear" w:color="000000" w:fill="F2F2F2"/>
            <w:noWrap/>
            <w:vAlign w:val="center"/>
            <w:hideMark/>
          </w:tcPr>
          <w:p w14:paraId="66895D8B"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988" w:type="dxa"/>
            <w:tcBorders>
              <w:top w:val="nil"/>
              <w:left w:val="nil"/>
              <w:bottom w:val="nil"/>
              <w:right w:val="single" w:sz="8" w:space="0" w:color="auto"/>
            </w:tcBorders>
            <w:shd w:val="clear" w:color="000000" w:fill="F2F2F2"/>
            <w:noWrap/>
            <w:vAlign w:val="center"/>
            <w:hideMark/>
          </w:tcPr>
          <w:p w14:paraId="3ED68FD6"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13</w:t>
            </w:r>
          </w:p>
        </w:tc>
      </w:tr>
      <w:tr w:rsidR="004F60A2" w14:paraId="78232BD2" w14:textId="77777777" w:rsidTr="004F60A2">
        <w:trPr>
          <w:trHeight w:val="585"/>
        </w:trPr>
        <w:tc>
          <w:tcPr>
            <w:tcW w:w="2810" w:type="dxa"/>
            <w:tcBorders>
              <w:top w:val="nil"/>
              <w:left w:val="single" w:sz="8" w:space="0" w:color="auto"/>
              <w:bottom w:val="nil"/>
              <w:right w:val="nil"/>
            </w:tcBorders>
            <w:vAlign w:val="center"/>
            <w:hideMark/>
          </w:tcPr>
          <w:p w14:paraId="156DFFA6" w14:textId="77777777" w:rsidR="004F60A2" w:rsidRDefault="004F60A2">
            <w:pPr>
              <w:rPr>
                <w:rFonts w:ascii="Calibri" w:hAnsi="Calibri" w:cs="Calibri"/>
                <w:color w:val="000000"/>
                <w:sz w:val="22"/>
                <w:szCs w:val="22"/>
              </w:rPr>
            </w:pPr>
            <w:r>
              <w:rPr>
                <w:rFonts w:ascii="Calibri" w:hAnsi="Calibri" w:cs="Calibri"/>
                <w:color w:val="000000"/>
                <w:sz w:val="22"/>
                <w:szCs w:val="22"/>
              </w:rPr>
              <w:t>Accounting, Organizations and Society</w:t>
            </w:r>
          </w:p>
        </w:tc>
        <w:tc>
          <w:tcPr>
            <w:tcW w:w="716" w:type="dxa"/>
            <w:tcBorders>
              <w:top w:val="nil"/>
              <w:left w:val="nil"/>
              <w:bottom w:val="nil"/>
              <w:right w:val="nil"/>
            </w:tcBorders>
            <w:shd w:val="clear" w:color="000000" w:fill="F2F2F2"/>
            <w:noWrap/>
            <w:vAlign w:val="center"/>
            <w:hideMark/>
          </w:tcPr>
          <w:p w14:paraId="37F53296"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896" w:type="dxa"/>
            <w:tcBorders>
              <w:top w:val="nil"/>
              <w:left w:val="nil"/>
              <w:bottom w:val="nil"/>
              <w:right w:val="nil"/>
            </w:tcBorders>
            <w:noWrap/>
            <w:vAlign w:val="center"/>
            <w:hideMark/>
          </w:tcPr>
          <w:p w14:paraId="54A26F92" w14:textId="77777777" w:rsidR="004F60A2" w:rsidRDefault="004F60A2">
            <w:pPr>
              <w:jc w:val="center"/>
              <w:rPr>
                <w:rFonts w:ascii="Calibri" w:hAnsi="Calibri" w:cs="Calibri"/>
                <w:color w:val="000000"/>
                <w:sz w:val="22"/>
                <w:szCs w:val="22"/>
              </w:rPr>
            </w:pPr>
          </w:p>
        </w:tc>
        <w:tc>
          <w:tcPr>
            <w:tcW w:w="596" w:type="dxa"/>
            <w:tcBorders>
              <w:top w:val="nil"/>
              <w:left w:val="nil"/>
              <w:bottom w:val="nil"/>
              <w:right w:val="nil"/>
            </w:tcBorders>
            <w:noWrap/>
            <w:vAlign w:val="center"/>
            <w:hideMark/>
          </w:tcPr>
          <w:p w14:paraId="769F0E06"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4EEA0227"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02616352"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2</w:t>
            </w:r>
          </w:p>
        </w:tc>
        <w:tc>
          <w:tcPr>
            <w:tcW w:w="1286" w:type="dxa"/>
            <w:tcBorders>
              <w:top w:val="nil"/>
              <w:left w:val="nil"/>
              <w:bottom w:val="nil"/>
              <w:right w:val="nil"/>
            </w:tcBorders>
            <w:shd w:val="clear" w:color="000000" w:fill="F2F2F2"/>
            <w:noWrap/>
            <w:vAlign w:val="center"/>
            <w:hideMark/>
          </w:tcPr>
          <w:p w14:paraId="6D2BE966"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2</w:t>
            </w:r>
          </w:p>
        </w:tc>
        <w:tc>
          <w:tcPr>
            <w:tcW w:w="1116" w:type="dxa"/>
            <w:tcBorders>
              <w:top w:val="nil"/>
              <w:left w:val="nil"/>
              <w:bottom w:val="nil"/>
              <w:right w:val="nil"/>
            </w:tcBorders>
            <w:noWrap/>
            <w:vAlign w:val="center"/>
            <w:hideMark/>
          </w:tcPr>
          <w:p w14:paraId="48A5D921"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1D87A720"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5</w:t>
            </w:r>
          </w:p>
        </w:tc>
      </w:tr>
      <w:tr w:rsidR="004F60A2" w14:paraId="7D948F84" w14:textId="77777777" w:rsidTr="004F60A2">
        <w:trPr>
          <w:trHeight w:val="585"/>
        </w:trPr>
        <w:tc>
          <w:tcPr>
            <w:tcW w:w="2810" w:type="dxa"/>
            <w:tcBorders>
              <w:top w:val="nil"/>
              <w:left w:val="single" w:sz="8" w:space="0" w:color="auto"/>
              <w:bottom w:val="nil"/>
              <w:right w:val="nil"/>
            </w:tcBorders>
            <w:vAlign w:val="center"/>
            <w:hideMark/>
          </w:tcPr>
          <w:p w14:paraId="78551624" w14:textId="77777777" w:rsidR="004F60A2" w:rsidRDefault="004F60A2">
            <w:pPr>
              <w:rPr>
                <w:rFonts w:ascii="Calibri" w:hAnsi="Calibri" w:cs="Calibri"/>
                <w:color w:val="000000"/>
                <w:sz w:val="22"/>
                <w:szCs w:val="22"/>
              </w:rPr>
            </w:pPr>
            <w:r>
              <w:rPr>
                <w:rFonts w:ascii="Calibri" w:hAnsi="Calibri" w:cs="Calibri"/>
                <w:color w:val="000000"/>
                <w:sz w:val="22"/>
                <w:szCs w:val="22"/>
              </w:rPr>
              <w:t>Auditing: A Journal of Practice &amp;amp; Theory</w:t>
            </w:r>
          </w:p>
        </w:tc>
        <w:tc>
          <w:tcPr>
            <w:tcW w:w="716" w:type="dxa"/>
            <w:tcBorders>
              <w:top w:val="nil"/>
              <w:left w:val="nil"/>
              <w:bottom w:val="nil"/>
              <w:right w:val="nil"/>
            </w:tcBorders>
            <w:shd w:val="clear" w:color="000000" w:fill="F2F2F2"/>
            <w:noWrap/>
            <w:vAlign w:val="center"/>
            <w:hideMark/>
          </w:tcPr>
          <w:p w14:paraId="733F50D8"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4</w:t>
            </w:r>
          </w:p>
        </w:tc>
        <w:tc>
          <w:tcPr>
            <w:tcW w:w="896" w:type="dxa"/>
            <w:tcBorders>
              <w:top w:val="nil"/>
              <w:left w:val="nil"/>
              <w:bottom w:val="nil"/>
              <w:right w:val="nil"/>
            </w:tcBorders>
            <w:noWrap/>
            <w:vAlign w:val="center"/>
            <w:hideMark/>
          </w:tcPr>
          <w:p w14:paraId="5F0D72B7"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596" w:type="dxa"/>
            <w:tcBorders>
              <w:top w:val="nil"/>
              <w:left w:val="nil"/>
              <w:bottom w:val="nil"/>
              <w:right w:val="nil"/>
            </w:tcBorders>
            <w:noWrap/>
            <w:vAlign w:val="center"/>
            <w:hideMark/>
          </w:tcPr>
          <w:p w14:paraId="21F6C740"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636" w:type="dxa"/>
            <w:tcBorders>
              <w:top w:val="nil"/>
              <w:left w:val="nil"/>
              <w:bottom w:val="nil"/>
              <w:right w:val="nil"/>
            </w:tcBorders>
            <w:noWrap/>
            <w:vAlign w:val="center"/>
            <w:hideMark/>
          </w:tcPr>
          <w:p w14:paraId="1346A3E4" w14:textId="77777777" w:rsidR="004F60A2" w:rsidRDefault="004F60A2">
            <w:pPr>
              <w:jc w:val="center"/>
              <w:rPr>
                <w:rFonts w:ascii="Calibri" w:hAnsi="Calibri" w:cs="Calibri"/>
                <w:color w:val="000000"/>
                <w:sz w:val="22"/>
                <w:szCs w:val="22"/>
              </w:rPr>
            </w:pPr>
          </w:p>
        </w:tc>
        <w:tc>
          <w:tcPr>
            <w:tcW w:w="636" w:type="dxa"/>
            <w:tcBorders>
              <w:top w:val="nil"/>
              <w:left w:val="nil"/>
              <w:bottom w:val="nil"/>
              <w:right w:val="nil"/>
            </w:tcBorders>
            <w:noWrap/>
            <w:vAlign w:val="center"/>
            <w:hideMark/>
          </w:tcPr>
          <w:p w14:paraId="180A19CD"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3</w:t>
            </w:r>
          </w:p>
        </w:tc>
        <w:tc>
          <w:tcPr>
            <w:tcW w:w="1286" w:type="dxa"/>
            <w:tcBorders>
              <w:top w:val="nil"/>
              <w:left w:val="nil"/>
              <w:bottom w:val="nil"/>
              <w:right w:val="nil"/>
            </w:tcBorders>
            <w:shd w:val="clear" w:color="000000" w:fill="F2F2F2"/>
            <w:noWrap/>
            <w:vAlign w:val="center"/>
            <w:hideMark/>
          </w:tcPr>
          <w:p w14:paraId="568C9B3F"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1116" w:type="dxa"/>
            <w:tcBorders>
              <w:top w:val="nil"/>
              <w:left w:val="nil"/>
              <w:bottom w:val="nil"/>
              <w:right w:val="nil"/>
            </w:tcBorders>
            <w:noWrap/>
            <w:vAlign w:val="center"/>
            <w:hideMark/>
          </w:tcPr>
          <w:p w14:paraId="6B2CAE8E"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2C31624B"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9</w:t>
            </w:r>
          </w:p>
        </w:tc>
      </w:tr>
      <w:tr w:rsidR="004F60A2" w14:paraId="5532ABA2" w14:textId="77777777" w:rsidTr="004F60A2">
        <w:trPr>
          <w:trHeight w:val="585"/>
        </w:trPr>
        <w:tc>
          <w:tcPr>
            <w:tcW w:w="2810" w:type="dxa"/>
            <w:tcBorders>
              <w:top w:val="nil"/>
              <w:left w:val="single" w:sz="8" w:space="0" w:color="auto"/>
              <w:bottom w:val="nil"/>
              <w:right w:val="nil"/>
            </w:tcBorders>
            <w:vAlign w:val="center"/>
            <w:hideMark/>
          </w:tcPr>
          <w:p w14:paraId="4752A49A" w14:textId="77777777" w:rsidR="004F60A2" w:rsidRDefault="004F60A2">
            <w:pPr>
              <w:rPr>
                <w:rFonts w:ascii="Calibri" w:hAnsi="Calibri" w:cs="Calibri"/>
                <w:color w:val="000000"/>
                <w:sz w:val="22"/>
                <w:szCs w:val="22"/>
              </w:rPr>
            </w:pPr>
            <w:proofErr w:type="spellStart"/>
            <w:r>
              <w:rPr>
                <w:rFonts w:ascii="Calibri" w:hAnsi="Calibri" w:cs="Calibri"/>
                <w:color w:val="000000"/>
                <w:sz w:val="22"/>
                <w:szCs w:val="22"/>
              </w:rPr>
              <w:t>Behavioral</w:t>
            </w:r>
            <w:proofErr w:type="spellEnd"/>
            <w:r>
              <w:rPr>
                <w:rFonts w:ascii="Calibri" w:hAnsi="Calibri" w:cs="Calibri"/>
                <w:color w:val="000000"/>
                <w:sz w:val="22"/>
                <w:szCs w:val="22"/>
              </w:rPr>
              <w:t xml:space="preserve"> Research in Accounting</w:t>
            </w:r>
          </w:p>
        </w:tc>
        <w:tc>
          <w:tcPr>
            <w:tcW w:w="716" w:type="dxa"/>
            <w:tcBorders>
              <w:top w:val="nil"/>
              <w:left w:val="nil"/>
              <w:bottom w:val="nil"/>
              <w:right w:val="nil"/>
            </w:tcBorders>
            <w:shd w:val="clear" w:color="000000" w:fill="F2F2F2"/>
            <w:noWrap/>
            <w:vAlign w:val="center"/>
            <w:hideMark/>
          </w:tcPr>
          <w:p w14:paraId="48818648"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896" w:type="dxa"/>
            <w:tcBorders>
              <w:top w:val="nil"/>
              <w:left w:val="nil"/>
              <w:bottom w:val="nil"/>
              <w:right w:val="nil"/>
            </w:tcBorders>
            <w:noWrap/>
            <w:vAlign w:val="center"/>
            <w:hideMark/>
          </w:tcPr>
          <w:p w14:paraId="2C0945EF"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596" w:type="dxa"/>
            <w:tcBorders>
              <w:top w:val="nil"/>
              <w:left w:val="nil"/>
              <w:bottom w:val="nil"/>
              <w:right w:val="nil"/>
            </w:tcBorders>
            <w:noWrap/>
            <w:vAlign w:val="center"/>
            <w:hideMark/>
          </w:tcPr>
          <w:p w14:paraId="7ACCAA20" w14:textId="77777777" w:rsidR="004F60A2" w:rsidRDefault="004F60A2">
            <w:pPr>
              <w:jc w:val="center"/>
              <w:rPr>
                <w:rFonts w:ascii="Calibri" w:hAnsi="Calibri" w:cs="Calibri"/>
                <w:color w:val="000000"/>
                <w:sz w:val="22"/>
                <w:szCs w:val="22"/>
              </w:rPr>
            </w:pPr>
          </w:p>
        </w:tc>
        <w:tc>
          <w:tcPr>
            <w:tcW w:w="636" w:type="dxa"/>
            <w:tcBorders>
              <w:top w:val="nil"/>
              <w:left w:val="nil"/>
              <w:bottom w:val="nil"/>
              <w:right w:val="nil"/>
            </w:tcBorders>
            <w:noWrap/>
            <w:vAlign w:val="center"/>
            <w:hideMark/>
          </w:tcPr>
          <w:p w14:paraId="18A798B2"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70999CEF" w14:textId="77777777" w:rsidR="004F60A2" w:rsidRDefault="004F60A2">
            <w:pPr>
              <w:jc w:val="center"/>
              <w:rPr>
                <w:sz w:val="20"/>
                <w:szCs w:val="20"/>
              </w:rPr>
            </w:pPr>
          </w:p>
        </w:tc>
        <w:tc>
          <w:tcPr>
            <w:tcW w:w="1286" w:type="dxa"/>
            <w:tcBorders>
              <w:top w:val="nil"/>
              <w:left w:val="nil"/>
              <w:bottom w:val="nil"/>
              <w:right w:val="nil"/>
            </w:tcBorders>
            <w:shd w:val="clear" w:color="000000" w:fill="F2F2F2"/>
            <w:noWrap/>
            <w:vAlign w:val="center"/>
            <w:hideMark/>
          </w:tcPr>
          <w:p w14:paraId="50266679"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1116" w:type="dxa"/>
            <w:tcBorders>
              <w:top w:val="nil"/>
              <w:left w:val="nil"/>
              <w:bottom w:val="nil"/>
              <w:right w:val="nil"/>
            </w:tcBorders>
            <w:noWrap/>
            <w:vAlign w:val="center"/>
            <w:hideMark/>
          </w:tcPr>
          <w:p w14:paraId="6C360E4A"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70CF2105"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w:t>
            </w:r>
          </w:p>
        </w:tc>
      </w:tr>
      <w:tr w:rsidR="004F60A2" w14:paraId="6329B3F0" w14:textId="77777777" w:rsidTr="004F60A2">
        <w:trPr>
          <w:trHeight w:val="585"/>
        </w:trPr>
        <w:tc>
          <w:tcPr>
            <w:tcW w:w="2810" w:type="dxa"/>
            <w:tcBorders>
              <w:top w:val="nil"/>
              <w:left w:val="single" w:sz="8" w:space="0" w:color="auto"/>
              <w:bottom w:val="nil"/>
              <w:right w:val="nil"/>
            </w:tcBorders>
            <w:vAlign w:val="center"/>
            <w:hideMark/>
          </w:tcPr>
          <w:p w14:paraId="13EF5892" w14:textId="77777777" w:rsidR="004F60A2" w:rsidRDefault="004F60A2">
            <w:pPr>
              <w:rPr>
                <w:rFonts w:ascii="Calibri" w:hAnsi="Calibri" w:cs="Calibri"/>
                <w:color w:val="000000"/>
                <w:sz w:val="22"/>
                <w:szCs w:val="22"/>
              </w:rPr>
            </w:pPr>
            <w:r>
              <w:rPr>
                <w:rFonts w:ascii="Calibri" w:hAnsi="Calibri" w:cs="Calibri"/>
                <w:color w:val="000000"/>
                <w:sz w:val="22"/>
                <w:szCs w:val="22"/>
              </w:rPr>
              <w:t>Contemporary Accounting Research</w:t>
            </w:r>
          </w:p>
        </w:tc>
        <w:tc>
          <w:tcPr>
            <w:tcW w:w="716" w:type="dxa"/>
            <w:tcBorders>
              <w:top w:val="nil"/>
              <w:left w:val="nil"/>
              <w:bottom w:val="nil"/>
              <w:right w:val="nil"/>
            </w:tcBorders>
            <w:shd w:val="clear" w:color="000000" w:fill="F2F2F2"/>
            <w:noWrap/>
            <w:vAlign w:val="center"/>
            <w:hideMark/>
          </w:tcPr>
          <w:p w14:paraId="60259009"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4</w:t>
            </w:r>
          </w:p>
        </w:tc>
        <w:tc>
          <w:tcPr>
            <w:tcW w:w="896" w:type="dxa"/>
            <w:tcBorders>
              <w:top w:val="nil"/>
              <w:left w:val="nil"/>
              <w:bottom w:val="nil"/>
              <w:right w:val="nil"/>
            </w:tcBorders>
            <w:noWrap/>
            <w:vAlign w:val="center"/>
            <w:hideMark/>
          </w:tcPr>
          <w:p w14:paraId="1C138F8D" w14:textId="77777777" w:rsidR="004F60A2" w:rsidRDefault="004F60A2">
            <w:pPr>
              <w:jc w:val="center"/>
              <w:rPr>
                <w:rFonts w:ascii="Calibri" w:hAnsi="Calibri" w:cs="Calibri"/>
                <w:color w:val="000000"/>
                <w:sz w:val="22"/>
                <w:szCs w:val="22"/>
              </w:rPr>
            </w:pPr>
          </w:p>
        </w:tc>
        <w:tc>
          <w:tcPr>
            <w:tcW w:w="596" w:type="dxa"/>
            <w:tcBorders>
              <w:top w:val="nil"/>
              <w:left w:val="nil"/>
              <w:bottom w:val="nil"/>
              <w:right w:val="nil"/>
            </w:tcBorders>
            <w:noWrap/>
            <w:vAlign w:val="center"/>
            <w:hideMark/>
          </w:tcPr>
          <w:p w14:paraId="3576C560"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287ED3B6"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248CACCF" w14:textId="77777777" w:rsidR="004F60A2" w:rsidRDefault="004F60A2">
            <w:pPr>
              <w:jc w:val="center"/>
              <w:rPr>
                <w:sz w:val="20"/>
                <w:szCs w:val="20"/>
              </w:rPr>
            </w:pPr>
          </w:p>
        </w:tc>
        <w:tc>
          <w:tcPr>
            <w:tcW w:w="1286" w:type="dxa"/>
            <w:tcBorders>
              <w:top w:val="nil"/>
              <w:left w:val="nil"/>
              <w:bottom w:val="nil"/>
              <w:right w:val="nil"/>
            </w:tcBorders>
            <w:shd w:val="clear" w:color="000000" w:fill="F2F2F2"/>
            <w:noWrap/>
            <w:vAlign w:val="center"/>
            <w:hideMark/>
          </w:tcPr>
          <w:p w14:paraId="43CE43D0"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1116" w:type="dxa"/>
            <w:tcBorders>
              <w:top w:val="nil"/>
              <w:left w:val="nil"/>
              <w:bottom w:val="nil"/>
              <w:right w:val="nil"/>
            </w:tcBorders>
            <w:noWrap/>
            <w:vAlign w:val="center"/>
            <w:hideMark/>
          </w:tcPr>
          <w:p w14:paraId="5B0C4865"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01422FA0"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5</w:t>
            </w:r>
          </w:p>
        </w:tc>
      </w:tr>
      <w:tr w:rsidR="004F60A2" w14:paraId="4AA50D08" w14:textId="77777777" w:rsidTr="004F60A2">
        <w:trPr>
          <w:trHeight w:val="585"/>
        </w:trPr>
        <w:tc>
          <w:tcPr>
            <w:tcW w:w="2810" w:type="dxa"/>
            <w:tcBorders>
              <w:top w:val="nil"/>
              <w:left w:val="single" w:sz="8" w:space="0" w:color="auto"/>
              <w:bottom w:val="nil"/>
              <w:right w:val="nil"/>
            </w:tcBorders>
            <w:vAlign w:val="center"/>
            <w:hideMark/>
          </w:tcPr>
          <w:p w14:paraId="51E8DB79" w14:textId="77777777" w:rsidR="004F60A2" w:rsidRDefault="004F60A2">
            <w:pPr>
              <w:rPr>
                <w:rFonts w:ascii="Calibri" w:hAnsi="Calibri" w:cs="Calibri"/>
                <w:color w:val="000000"/>
                <w:sz w:val="22"/>
                <w:szCs w:val="22"/>
              </w:rPr>
            </w:pPr>
            <w:r>
              <w:rPr>
                <w:rFonts w:ascii="Calibri" w:hAnsi="Calibri" w:cs="Calibri"/>
                <w:color w:val="000000"/>
                <w:sz w:val="22"/>
                <w:szCs w:val="22"/>
              </w:rPr>
              <w:t>Critical Perspectives on Accounting</w:t>
            </w:r>
          </w:p>
        </w:tc>
        <w:tc>
          <w:tcPr>
            <w:tcW w:w="716" w:type="dxa"/>
            <w:tcBorders>
              <w:top w:val="nil"/>
              <w:left w:val="nil"/>
              <w:bottom w:val="nil"/>
              <w:right w:val="nil"/>
            </w:tcBorders>
            <w:shd w:val="clear" w:color="000000" w:fill="F2F2F2"/>
            <w:noWrap/>
            <w:vAlign w:val="center"/>
            <w:hideMark/>
          </w:tcPr>
          <w:p w14:paraId="6D389BBA"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896" w:type="dxa"/>
            <w:tcBorders>
              <w:top w:val="nil"/>
              <w:left w:val="nil"/>
              <w:bottom w:val="nil"/>
              <w:right w:val="nil"/>
            </w:tcBorders>
            <w:noWrap/>
            <w:vAlign w:val="center"/>
            <w:hideMark/>
          </w:tcPr>
          <w:p w14:paraId="2FBB288E"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596" w:type="dxa"/>
            <w:tcBorders>
              <w:top w:val="nil"/>
              <w:left w:val="nil"/>
              <w:bottom w:val="nil"/>
              <w:right w:val="nil"/>
            </w:tcBorders>
            <w:noWrap/>
            <w:vAlign w:val="center"/>
            <w:hideMark/>
          </w:tcPr>
          <w:p w14:paraId="3A0F9E56" w14:textId="77777777" w:rsidR="004F60A2" w:rsidRDefault="004F60A2">
            <w:pPr>
              <w:jc w:val="center"/>
              <w:rPr>
                <w:rFonts w:ascii="Calibri" w:hAnsi="Calibri" w:cs="Calibri"/>
                <w:color w:val="000000"/>
                <w:sz w:val="22"/>
                <w:szCs w:val="22"/>
              </w:rPr>
            </w:pPr>
          </w:p>
        </w:tc>
        <w:tc>
          <w:tcPr>
            <w:tcW w:w="636" w:type="dxa"/>
            <w:tcBorders>
              <w:top w:val="nil"/>
              <w:left w:val="nil"/>
              <w:bottom w:val="nil"/>
              <w:right w:val="nil"/>
            </w:tcBorders>
            <w:noWrap/>
            <w:vAlign w:val="center"/>
            <w:hideMark/>
          </w:tcPr>
          <w:p w14:paraId="043A1F6A"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44D3D4A3"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1286" w:type="dxa"/>
            <w:tcBorders>
              <w:top w:val="nil"/>
              <w:left w:val="nil"/>
              <w:bottom w:val="nil"/>
              <w:right w:val="nil"/>
            </w:tcBorders>
            <w:shd w:val="clear" w:color="000000" w:fill="F2F2F2"/>
            <w:noWrap/>
            <w:vAlign w:val="center"/>
            <w:hideMark/>
          </w:tcPr>
          <w:p w14:paraId="0D9154B9"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2</w:t>
            </w:r>
          </w:p>
        </w:tc>
        <w:tc>
          <w:tcPr>
            <w:tcW w:w="1116" w:type="dxa"/>
            <w:tcBorders>
              <w:top w:val="nil"/>
              <w:left w:val="nil"/>
              <w:bottom w:val="nil"/>
              <w:right w:val="nil"/>
            </w:tcBorders>
            <w:noWrap/>
            <w:vAlign w:val="center"/>
            <w:hideMark/>
          </w:tcPr>
          <w:p w14:paraId="1B6BF914"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988" w:type="dxa"/>
            <w:tcBorders>
              <w:top w:val="nil"/>
              <w:left w:val="nil"/>
              <w:bottom w:val="nil"/>
              <w:right w:val="single" w:sz="8" w:space="0" w:color="auto"/>
            </w:tcBorders>
            <w:noWrap/>
            <w:vAlign w:val="center"/>
            <w:hideMark/>
          </w:tcPr>
          <w:p w14:paraId="183F2CC4"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5</w:t>
            </w:r>
          </w:p>
        </w:tc>
      </w:tr>
      <w:tr w:rsidR="004F60A2" w14:paraId="622BD411" w14:textId="77777777" w:rsidTr="004F60A2">
        <w:trPr>
          <w:trHeight w:val="300"/>
        </w:trPr>
        <w:tc>
          <w:tcPr>
            <w:tcW w:w="2810" w:type="dxa"/>
            <w:tcBorders>
              <w:top w:val="nil"/>
              <w:left w:val="single" w:sz="8" w:space="0" w:color="auto"/>
              <w:bottom w:val="nil"/>
              <w:right w:val="nil"/>
            </w:tcBorders>
            <w:vAlign w:val="center"/>
            <w:hideMark/>
          </w:tcPr>
          <w:p w14:paraId="38F1BDBB" w14:textId="77777777" w:rsidR="004F60A2" w:rsidRDefault="004F60A2">
            <w:pPr>
              <w:rPr>
                <w:rFonts w:ascii="Calibri" w:hAnsi="Calibri" w:cs="Calibri"/>
                <w:color w:val="000000"/>
                <w:sz w:val="22"/>
                <w:szCs w:val="22"/>
              </w:rPr>
            </w:pPr>
            <w:r>
              <w:rPr>
                <w:rFonts w:ascii="Calibri" w:hAnsi="Calibri" w:cs="Calibri"/>
                <w:color w:val="000000"/>
                <w:sz w:val="22"/>
                <w:szCs w:val="22"/>
              </w:rPr>
              <w:t>European Accounting Review</w:t>
            </w:r>
          </w:p>
        </w:tc>
        <w:tc>
          <w:tcPr>
            <w:tcW w:w="716" w:type="dxa"/>
            <w:tcBorders>
              <w:top w:val="nil"/>
              <w:left w:val="nil"/>
              <w:bottom w:val="nil"/>
              <w:right w:val="nil"/>
            </w:tcBorders>
            <w:shd w:val="clear" w:color="000000" w:fill="F2F2F2"/>
            <w:noWrap/>
            <w:vAlign w:val="center"/>
            <w:hideMark/>
          </w:tcPr>
          <w:p w14:paraId="2D086FE6"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896" w:type="dxa"/>
            <w:tcBorders>
              <w:top w:val="nil"/>
              <w:left w:val="nil"/>
              <w:bottom w:val="nil"/>
              <w:right w:val="nil"/>
            </w:tcBorders>
            <w:noWrap/>
            <w:vAlign w:val="center"/>
            <w:hideMark/>
          </w:tcPr>
          <w:p w14:paraId="37B9908A" w14:textId="77777777" w:rsidR="004F60A2" w:rsidRDefault="004F60A2">
            <w:pPr>
              <w:jc w:val="center"/>
              <w:rPr>
                <w:rFonts w:ascii="Calibri" w:hAnsi="Calibri" w:cs="Calibri"/>
                <w:color w:val="000000"/>
                <w:sz w:val="22"/>
                <w:szCs w:val="22"/>
              </w:rPr>
            </w:pPr>
          </w:p>
        </w:tc>
        <w:tc>
          <w:tcPr>
            <w:tcW w:w="596" w:type="dxa"/>
            <w:tcBorders>
              <w:top w:val="nil"/>
              <w:left w:val="nil"/>
              <w:bottom w:val="nil"/>
              <w:right w:val="nil"/>
            </w:tcBorders>
            <w:noWrap/>
            <w:vAlign w:val="center"/>
            <w:hideMark/>
          </w:tcPr>
          <w:p w14:paraId="64EACAA2"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1E6C9427"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636" w:type="dxa"/>
            <w:tcBorders>
              <w:top w:val="nil"/>
              <w:left w:val="nil"/>
              <w:bottom w:val="nil"/>
              <w:right w:val="nil"/>
            </w:tcBorders>
            <w:noWrap/>
            <w:vAlign w:val="center"/>
            <w:hideMark/>
          </w:tcPr>
          <w:p w14:paraId="467C53D7" w14:textId="77777777" w:rsidR="004F60A2" w:rsidRDefault="004F60A2">
            <w:pPr>
              <w:jc w:val="center"/>
              <w:rPr>
                <w:rFonts w:ascii="Calibri" w:hAnsi="Calibri" w:cs="Calibri"/>
                <w:color w:val="000000"/>
                <w:sz w:val="22"/>
                <w:szCs w:val="22"/>
              </w:rPr>
            </w:pPr>
          </w:p>
        </w:tc>
        <w:tc>
          <w:tcPr>
            <w:tcW w:w="1286" w:type="dxa"/>
            <w:tcBorders>
              <w:top w:val="nil"/>
              <w:left w:val="nil"/>
              <w:bottom w:val="nil"/>
              <w:right w:val="nil"/>
            </w:tcBorders>
            <w:shd w:val="clear" w:color="000000" w:fill="F2F2F2"/>
            <w:noWrap/>
            <w:vAlign w:val="center"/>
            <w:hideMark/>
          </w:tcPr>
          <w:p w14:paraId="2AA9375F"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1116" w:type="dxa"/>
            <w:tcBorders>
              <w:top w:val="nil"/>
              <w:left w:val="nil"/>
              <w:bottom w:val="nil"/>
              <w:right w:val="nil"/>
            </w:tcBorders>
            <w:noWrap/>
            <w:vAlign w:val="center"/>
            <w:hideMark/>
          </w:tcPr>
          <w:p w14:paraId="38BE104D"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6E843D2D"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3</w:t>
            </w:r>
          </w:p>
        </w:tc>
      </w:tr>
      <w:tr w:rsidR="004F60A2" w14:paraId="67DD818C"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46737F98" w14:textId="77777777" w:rsidR="004F60A2" w:rsidRDefault="004F60A2">
            <w:pPr>
              <w:rPr>
                <w:rFonts w:ascii="Calibri" w:hAnsi="Calibri" w:cs="Calibri"/>
                <w:color w:val="000000"/>
                <w:sz w:val="22"/>
                <w:szCs w:val="22"/>
              </w:rPr>
            </w:pPr>
            <w:r>
              <w:rPr>
                <w:rFonts w:ascii="Calibri" w:hAnsi="Calibri" w:cs="Calibri"/>
                <w:color w:val="000000"/>
                <w:sz w:val="22"/>
                <w:szCs w:val="22"/>
              </w:rPr>
              <w:t>Financial Accountability &amp; Management</w:t>
            </w:r>
          </w:p>
        </w:tc>
        <w:tc>
          <w:tcPr>
            <w:tcW w:w="716" w:type="dxa"/>
            <w:tcBorders>
              <w:top w:val="nil"/>
              <w:left w:val="nil"/>
              <w:bottom w:val="nil"/>
              <w:right w:val="nil"/>
            </w:tcBorders>
            <w:shd w:val="clear" w:color="000000" w:fill="F2F2F2"/>
            <w:noWrap/>
            <w:vAlign w:val="center"/>
            <w:hideMark/>
          </w:tcPr>
          <w:p w14:paraId="57F2C7E1"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896" w:type="dxa"/>
            <w:tcBorders>
              <w:top w:val="nil"/>
              <w:left w:val="nil"/>
              <w:bottom w:val="nil"/>
              <w:right w:val="nil"/>
            </w:tcBorders>
            <w:shd w:val="clear" w:color="000000" w:fill="F2F2F2"/>
            <w:noWrap/>
            <w:vAlign w:val="center"/>
            <w:hideMark/>
          </w:tcPr>
          <w:p w14:paraId="17EADE87"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5</w:t>
            </w:r>
          </w:p>
        </w:tc>
        <w:tc>
          <w:tcPr>
            <w:tcW w:w="596" w:type="dxa"/>
            <w:tcBorders>
              <w:top w:val="nil"/>
              <w:left w:val="nil"/>
              <w:bottom w:val="nil"/>
              <w:right w:val="nil"/>
            </w:tcBorders>
            <w:shd w:val="clear" w:color="000000" w:fill="F2F2F2"/>
            <w:noWrap/>
            <w:vAlign w:val="center"/>
            <w:hideMark/>
          </w:tcPr>
          <w:p w14:paraId="2867A814"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636" w:type="dxa"/>
            <w:tcBorders>
              <w:top w:val="nil"/>
              <w:left w:val="nil"/>
              <w:bottom w:val="nil"/>
              <w:right w:val="nil"/>
            </w:tcBorders>
            <w:shd w:val="clear" w:color="000000" w:fill="F2F2F2"/>
            <w:noWrap/>
            <w:vAlign w:val="center"/>
            <w:hideMark/>
          </w:tcPr>
          <w:p w14:paraId="2BA7C23C"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636" w:type="dxa"/>
            <w:tcBorders>
              <w:top w:val="nil"/>
              <w:left w:val="nil"/>
              <w:bottom w:val="nil"/>
              <w:right w:val="nil"/>
            </w:tcBorders>
            <w:shd w:val="clear" w:color="000000" w:fill="F2F2F2"/>
            <w:noWrap/>
            <w:vAlign w:val="center"/>
            <w:hideMark/>
          </w:tcPr>
          <w:p w14:paraId="5DD34FC3"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1286" w:type="dxa"/>
            <w:tcBorders>
              <w:top w:val="nil"/>
              <w:left w:val="nil"/>
              <w:bottom w:val="nil"/>
              <w:right w:val="nil"/>
            </w:tcBorders>
            <w:shd w:val="clear" w:color="000000" w:fill="F2F2F2"/>
            <w:noWrap/>
            <w:vAlign w:val="center"/>
            <w:hideMark/>
          </w:tcPr>
          <w:p w14:paraId="0EA7CF20"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6</w:t>
            </w:r>
          </w:p>
        </w:tc>
        <w:tc>
          <w:tcPr>
            <w:tcW w:w="1116" w:type="dxa"/>
            <w:tcBorders>
              <w:top w:val="nil"/>
              <w:left w:val="nil"/>
              <w:bottom w:val="nil"/>
              <w:right w:val="nil"/>
            </w:tcBorders>
            <w:shd w:val="clear" w:color="000000" w:fill="F2F2F2"/>
            <w:noWrap/>
            <w:vAlign w:val="center"/>
            <w:hideMark/>
          </w:tcPr>
          <w:p w14:paraId="56C1A596"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2</w:t>
            </w:r>
          </w:p>
        </w:tc>
        <w:tc>
          <w:tcPr>
            <w:tcW w:w="988" w:type="dxa"/>
            <w:tcBorders>
              <w:top w:val="nil"/>
              <w:left w:val="nil"/>
              <w:bottom w:val="nil"/>
              <w:right w:val="single" w:sz="8" w:space="0" w:color="auto"/>
            </w:tcBorders>
            <w:shd w:val="clear" w:color="000000" w:fill="F2F2F2"/>
            <w:noWrap/>
            <w:vAlign w:val="center"/>
            <w:hideMark/>
          </w:tcPr>
          <w:p w14:paraId="5DFA56B7"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15</w:t>
            </w:r>
          </w:p>
        </w:tc>
      </w:tr>
      <w:tr w:rsidR="004F60A2" w14:paraId="4949B0E3" w14:textId="77777777" w:rsidTr="004F60A2">
        <w:trPr>
          <w:trHeight w:val="585"/>
        </w:trPr>
        <w:tc>
          <w:tcPr>
            <w:tcW w:w="2810" w:type="dxa"/>
            <w:tcBorders>
              <w:top w:val="nil"/>
              <w:left w:val="single" w:sz="8" w:space="0" w:color="auto"/>
              <w:bottom w:val="nil"/>
              <w:right w:val="nil"/>
            </w:tcBorders>
            <w:vAlign w:val="center"/>
            <w:hideMark/>
          </w:tcPr>
          <w:p w14:paraId="37BFB43F" w14:textId="77777777" w:rsidR="004F60A2" w:rsidRDefault="004F60A2">
            <w:pPr>
              <w:rPr>
                <w:rFonts w:ascii="Calibri" w:hAnsi="Calibri" w:cs="Calibri"/>
                <w:color w:val="000000"/>
                <w:sz w:val="22"/>
                <w:szCs w:val="22"/>
              </w:rPr>
            </w:pPr>
            <w:r>
              <w:rPr>
                <w:rFonts w:ascii="Calibri" w:hAnsi="Calibri" w:cs="Calibri"/>
                <w:color w:val="000000"/>
                <w:sz w:val="22"/>
                <w:szCs w:val="22"/>
              </w:rPr>
              <w:t>Financial Accountability and Management</w:t>
            </w:r>
          </w:p>
        </w:tc>
        <w:tc>
          <w:tcPr>
            <w:tcW w:w="716" w:type="dxa"/>
            <w:tcBorders>
              <w:top w:val="nil"/>
              <w:left w:val="nil"/>
              <w:bottom w:val="nil"/>
              <w:right w:val="nil"/>
            </w:tcBorders>
            <w:shd w:val="clear" w:color="000000" w:fill="F2F2F2"/>
            <w:noWrap/>
            <w:vAlign w:val="center"/>
            <w:hideMark/>
          </w:tcPr>
          <w:p w14:paraId="5072AD4D"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896" w:type="dxa"/>
            <w:tcBorders>
              <w:top w:val="nil"/>
              <w:left w:val="nil"/>
              <w:bottom w:val="nil"/>
              <w:right w:val="nil"/>
            </w:tcBorders>
            <w:noWrap/>
            <w:vAlign w:val="center"/>
            <w:hideMark/>
          </w:tcPr>
          <w:p w14:paraId="5A6F49B3" w14:textId="77777777" w:rsidR="004F60A2" w:rsidRDefault="004F60A2">
            <w:pPr>
              <w:jc w:val="center"/>
              <w:rPr>
                <w:rFonts w:ascii="Calibri" w:hAnsi="Calibri" w:cs="Calibri"/>
                <w:color w:val="000000"/>
                <w:sz w:val="22"/>
                <w:szCs w:val="22"/>
              </w:rPr>
            </w:pPr>
          </w:p>
        </w:tc>
        <w:tc>
          <w:tcPr>
            <w:tcW w:w="596" w:type="dxa"/>
            <w:tcBorders>
              <w:top w:val="nil"/>
              <w:left w:val="nil"/>
              <w:bottom w:val="nil"/>
              <w:right w:val="nil"/>
            </w:tcBorders>
            <w:noWrap/>
            <w:vAlign w:val="center"/>
            <w:hideMark/>
          </w:tcPr>
          <w:p w14:paraId="7A6B32FD"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7D900161"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636" w:type="dxa"/>
            <w:tcBorders>
              <w:top w:val="nil"/>
              <w:left w:val="nil"/>
              <w:bottom w:val="nil"/>
              <w:right w:val="nil"/>
            </w:tcBorders>
            <w:noWrap/>
            <w:vAlign w:val="center"/>
            <w:hideMark/>
          </w:tcPr>
          <w:p w14:paraId="1891CE9E" w14:textId="77777777" w:rsidR="004F60A2" w:rsidRDefault="004F60A2">
            <w:pPr>
              <w:jc w:val="center"/>
              <w:rPr>
                <w:rFonts w:ascii="Calibri" w:hAnsi="Calibri" w:cs="Calibri"/>
                <w:color w:val="000000"/>
                <w:sz w:val="22"/>
                <w:szCs w:val="22"/>
              </w:rPr>
            </w:pPr>
          </w:p>
        </w:tc>
        <w:tc>
          <w:tcPr>
            <w:tcW w:w="1286" w:type="dxa"/>
            <w:tcBorders>
              <w:top w:val="nil"/>
              <w:left w:val="nil"/>
              <w:bottom w:val="nil"/>
              <w:right w:val="nil"/>
            </w:tcBorders>
            <w:shd w:val="clear" w:color="000000" w:fill="F2F2F2"/>
            <w:noWrap/>
            <w:vAlign w:val="center"/>
            <w:hideMark/>
          </w:tcPr>
          <w:p w14:paraId="2CB037ED"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1116" w:type="dxa"/>
            <w:tcBorders>
              <w:top w:val="nil"/>
              <w:left w:val="nil"/>
              <w:bottom w:val="nil"/>
              <w:right w:val="nil"/>
            </w:tcBorders>
            <w:noWrap/>
            <w:vAlign w:val="center"/>
            <w:hideMark/>
          </w:tcPr>
          <w:p w14:paraId="7F5E3F3C"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5DACCD37"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w:t>
            </w:r>
          </w:p>
        </w:tc>
      </w:tr>
      <w:tr w:rsidR="004F60A2" w14:paraId="1B7C8266" w14:textId="77777777" w:rsidTr="004F60A2">
        <w:trPr>
          <w:trHeight w:val="585"/>
        </w:trPr>
        <w:tc>
          <w:tcPr>
            <w:tcW w:w="2810" w:type="dxa"/>
            <w:tcBorders>
              <w:top w:val="nil"/>
              <w:left w:val="single" w:sz="8" w:space="0" w:color="auto"/>
              <w:bottom w:val="nil"/>
              <w:right w:val="nil"/>
            </w:tcBorders>
            <w:vAlign w:val="center"/>
            <w:hideMark/>
          </w:tcPr>
          <w:p w14:paraId="2B13E29C" w14:textId="77777777" w:rsidR="004F60A2" w:rsidRDefault="004F60A2">
            <w:pPr>
              <w:rPr>
                <w:rFonts w:ascii="Calibri" w:hAnsi="Calibri" w:cs="Calibri"/>
                <w:color w:val="000000"/>
                <w:sz w:val="22"/>
                <w:szCs w:val="22"/>
              </w:rPr>
            </w:pPr>
            <w:r>
              <w:rPr>
                <w:rFonts w:ascii="Calibri" w:hAnsi="Calibri" w:cs="Calibri"/>
                <w:color w:val="000000"/>
                <w:sz w:val="22"/>
                <w:szCs w:val="22"/>
              </w:rPr>
              <w:t>International Journal of Accounting Information Systems</w:t>
            </w:r>
          </w:p>
        </w:tc>
        <w:tc>
          <w:tcPr>
            <w:tcW w:w="716" w:type="dxa"/>
            <w:tcBorders>
              <w:top w:val="nil"/>
              <w:left w:val="nil"/>
              <w:bottom w:val="nil"/>
              <w:right w:val="nil"/>
            </w:tcBorders>
            <w:shd w:val="clear" w:color="000000" w:fill="F2F2F2"/>
            <w:noWrap/>
            <w:vAlign w:val="center"/>
            <w:hideMark/>
          </w:tcPr>
          <w:p w14:paraId="34E954F6"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2</w:t>
            </w:r>
          </w:p>
        </w:tc>
        <w:tc>
          <w:tcPr>
            <w:tcW w:w="896" w:type="dxa"/>
            <w:tcBorders>
              <w:top w:val="nil"/>
              <w:left w:val="nil"/>
              <w:bottom w:val="nil"/>
              <w:right w:val="nil"/>
            </w:tcBorders>
            <w:noWrap/>
            <w:vAlign w:val="center"/>
            <w:hideMark/>
          </w:tcPr>
          <w:p w14:paraId="766D367C" w14:textId="77777777" w:rsidR="004F60A2" w:rsidRDefault="004F60A2">
            <w:pPr>
              <w:jc w:val="center"/>
              <w:rPr>
                <w:rFonts w:ascii="Calibri" w:hAnsi="Calibri" w:cs="Calibri"/>
                <w:color w:val="000000"/>
                <w:sz w:val="22"/>
                <w:szCs w:val="22"/>
              </w:rPr>
            </w:pPr>
          </w:p>
        </w:tc>
        <w:tc>
          <w:tcPr>
            <w:tcW w:w="596" w:type="dxa"/>
            <w:tcBorders>
              <w:top w:val="nil"/>
              <w:left w:val="nil"/>
              <w:bottom w:val="nil"/>
              <w:right w:val="nil"/>
            </w:tcBorders>
            <w:noWrap/>
            <w:vAlign w:val="center"/>
            <w:hideMark/>
          </w:tcPr>
          <w:p w14:paraId="56D01A12"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08851B74"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757AEEBB" w14:textId="77777777" w:rsidR="004F60A2" w:rsidRDefault="004F60A2">
            <w:pPr>
              <w:jc w:val="center"/>
              <w:rPr>
                <w:sz w:val="20"/>
                <w:szCs w:val="20"/>
              </w:rPr>
            </w:pPr>
          </w:p>
        </w:tc>
        <w:tc>
          <w:tcPr>
            <w:tcW w:w="1286" w:type="dxa"/>
            <w:tcBorders>
              <w:top w:val="nil"/>
              <w:left w:val="nil"/>
              <w:bottom w:val="nil"/>
              <w:right w:val="nil"/>
            </w:tcBorders>
            <w:shd w:val="clear" w:color="000000" w:fill="F2F2F2"/>
            <w:noWrap/>
            <w:vAlign w:val="center"/>
            <w:hideMark/>
          </w:tcPr>
          <w:p w14:paraId="0825619D"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1116" w:type="dxa"/>
            <w:tcBorders>
              <w:top w:val="nil"/>
              <w:left w:val="nil"/>
              <w:bottom w:val="nil"/>
              <w:right w:val="nil"/>
            </w:tcBorders>
            <w:noWrap/>
            <w:vAlign w:val="center"/>
            <w:hideMark/>
          </w:tcPr>
          <w:p w14:paraId="1D1E8A3F"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37AA4DEE"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2</w:t>
            </w:r>
          </w:p>
        </w:tc>
      </w:tr>
      <w:tr w:rsidR="004F60A2" w14:paraId="3542F985"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12A33BDA" w14:textId="77777777" w:rsidR="004F60A2" w:rsidRDefault="004F60A2">
            <w:pPr>
              <w:rPr>
                <w:rFonts w:ascii="Calibri" w:hAnsi="Calibri" w:cs="Calibri"/>
                <w:color w:val="000000"/>
                <w:sz w:val="22"/>
                <w:szCs w:val="22"/>
              </w:rPr>
            </w:pPr>
            <w:r>
              <w:rPr>
                <w:rFonts w:ascii="Calibri" w:hAnsi="Calibri" w:cs="Calibri"/>
                <w:color w:val="000000"/>
                <w:sz w:val="22"/>
                <w:szCs w:val="22"/>
              </w:rPr>
              <w:t>International Journal of Auditing</w:t>
            </w:r>
          </w:p>
        </w:tc>
        <w:tc>
          <w:tcPr>
            <w:tcW w:w="716" w:type="dxa"/>
            <w:tcBorders>
              <w:top w:val="nil"/>
              <w:left w:val="nil"/>
              <w:bottom w:val="nil"/>
              <w:right w:val="nil"/>
            </w:tcBorders>
            <w:shd w:val="clear" w:color="000000" w:fill="F2F2F2"/>
            <w:noWrap/>
            <w:vAlign w:val="center"/>
            <w:hideMark/>
          </w:tcPr>
          <w:p w14:paraId="1B3BE7E6"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2</w:t>
            </w:r>
          </w:p>
        </w:tc>
        <w:tc>
          <w:tcPr>
            <w:tcW w:w="896" w:type="dxa"/>
            <w:tcBorders>
              <w:top w:val="nil"/>
              <w:left w:val="nil"/>
              <w:bottom w:val="nil"/>
              <w:right w:val="nil"/>
            </w:tcBorders>
            <w:shd w:val="clear" w:color="000000" w:fill="F2F2F2"/>
            <w:noWrap/>
            <w:vAlign w:val="center"/>
            <w:hideMark/>
          </w:tcPr>
          <w:p w14:paraId="643C23E4"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596" w:type="dxa"/>
            <w:tcBorders>
              <w:top w:val="nil"/>
              <w:left w:val="nil"/>
              <w:bottom w:val="nil"/>
              <w:right w:val="nil"/>
            </w:tcBorders>
            <w:shd w:val="clear" w:color="000000" w:fill="F2F2F2"/>
            <w:noWrap/>
            <w:vAlign w:val="center"/>
            <w:hideMark/>
          </w:tcPr>
          <w:p w14:paraId="7239CAA6"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3</w:t>
            </w:r>
          </w:p>
        </w:tc>
        <w:tc>
          <w:tcPr>
            <w:tcW w:w="636" w:type="dxa"/>
            <w:tcBorders>
              <w:top w:val="nil"/>
              <w:left w:val="nil"/>
              <w:bottom w:val="nil"/>
              <w:right w:val="nil"/>
            </w:tcBorders>
            <w:shd w:val="clear" w:color="000000" w:fill="F2F2F2"/>
            <w:noWrap/>
            <w:vAlign w:val="center"/>
            <w:hideMark/>
          </w:tcPr>
          <w:p w14:paraId="2E2046EE"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636" w:type="dxa"/>
            <w:tcBorders>
              <w:top w:val="nil"/>
              <w:left w:val="nil"/>
              <w:bottom w:val="nil"/>
              <w:right w:val="nil"/>
            </w:tcBorders>
            <w:shd w:val="clear" w:color="000000" w:fill="F2F2F2"/>
            <w:noWrap/>
            <w:vAlign w:val="center"/>
            <w:hideMark/>
          </w:tcPr>
          <w:p w14:paraId="274DDF6B"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1286" w:type="dxa"/>
            <w:tcBorders>
              <w:top w:val="nil"/>
              <w:left w:val="nil"/>
              <w:bottom w:val="nil"/>
              <w:right w:val="nil"/>
            </w:tcBorders>
            <w:shd w:val="clear" w:color="000000" w:fill="F2F2F2"/>
            <w:noWrap/>
            <w:vAlign w:val="center"/>
            <w:hideMark/>
          </w:tcPr>
          <w:p w14:paraId="7180E63B"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3</w:t>
            </w:r>
          </w:p>
        </w:tc>
        <w:tc>
          <w:tcPr>
            <w:tcW w:w="1116" w:type="dxa"/>
            <w:tcBorders>
              <w:top w:val="nil"/>
              <w:left w:val="nil"/>
              <w:bottom w:val="nil"/>
              <w:right w:val="nil"/>
            </w:tcBorders>
            <w:shd w:val="clear" w:color="000000" w:fill="F2F2F2"/>
            <w:noWrap/>
            <w:vAlign w:val="center"/>
            <w:hideMark/>
          </w:tcPr>
          <w:p w14:paraId="790D67E1"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2</w:t>
            </w:r>
          </w:p>
        </w:tc>
        <w:tc>
          <w:tcPr>
            <w:tcW w:w="988" w:type="dxa"/>
            <w:tcBorders>
              <w:top w:val="nil"/>
              <w:left w:val="nil"/>
              <w:bottom w:val="nil"/>
              <w:right w:val="single" w:sz="8" w:space="0" w:color="auto"/>
            </w:tcBorders>
            <w:shd w:val="clear" w:color="000000" w:fill="F2F2F2"/>
            <w:noWrap/>
            <w:vAlign w:val="center"/>
            <w:hideMark/>
          </w:tcPr>
          <w:p w14:paraId="12572C16"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11</w:t>
            </w:r>
          </w:p>
        </w:tc>
      </w:tr>
      <w:tr w:rsidR="004F60A2" w14:paraId="65D84CE5" w14:textId="77777777" w:rsidTr="004F60A2">
        <w:trPr>
          <w:trHeight w:val="585"/>
        </w:trPr>
        <w:tc>
          <w:tcPr>
            <w:tcW w:w="2810" w:type="dxa"/>
            <w:tcBorders>
              <w:top w:val="nil"/>
              <w:left w:val="single" w:sz="8" w:space="0" w:color="auto"/>
              <w:bottom w:val="nil"/>
              <w:right w:val="nil"/>
            </w:tcBorders>
            <w:vAlign w:val="center"/>
            <w:hideMark/>
          </w:tcPr>
          <w:p w14:paraId="656B3FA0" w14:textId="77777777" w:rsidR="004F60A2" w:rsidRDefault="004F60A2">
            <w:pPr>
              <w:rPr>
                <w:rFonts w:ascii="Calibri" w:hAnsi="Calibri" w:cs="Calibri"/>
                <w:color w:val="000000"/>
                <w:sz w:val="22"/>
                <w:szCs w:val="22"/>
              </w:rPr>
            </w:pPr>
            <w:r>
              <w:rPr>
                <w:rFonts w:ascii="Calibri" w:hAnsi="Calibri" w:cs="Calibri"/>
                <w:color w:val="000000"/>
                <w:sz w:val="22"/>
                <w:szCs w:val="22"/>
              </w:rPr>
              <w:t>Journal of Accounting and Public Policy</w:t>
            </w:r>
          </w:p>
        </w:tc>
        <w:tc>
          <w:tcPr>
            <w:tcW w:w="716" w:type="dxa"/>
            <w:tcBorders>
              <w:top w:val="nil"/>
              <w:left w:val="nil"/>
              <w:bottom w:val="nil"/>
              <w:right w:val="nil"/>
            </w:tcBorders>
            <w:shd w:val="clear" w:color="000000" w:fill="F2F2F2"/>
            <w:noWrap/>
            <w:vAlign w:val="center"/>
            <w:hideMark/>
          </w:tcPr>
          <w:p w14:paraId="5E74D4EF"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896" w:type="dxa"/>
            <w:tcBorders>
              <w:top w:val="nil"/>
              <w:left w:val="nil"/>
              <w:bottom w:val="nil"/>
              <w:right w:val="nil"/>
            </w:tcBorders>
            <w:noWrap/>
            <w:vAlign w:val="center"/>
            <w:hideMark/>
          </w:tcPr>
          <w:p w14:paraId="4319BFAC" w14:textId="77777777" w:rsidR="004F60A2" w:rsidRDefault="004F60A2">
            <w:pPr>
              <w:jc w:val="center"/>
              <w:rPr>
                <w:rFonts w:ascii="Calibri" w:hAnsi="Calibri" w:cs="Calibri"/>
                <w:color w:val="000000"/>
                <w:sz w:val="22"/>
                <w:szCs w:val="22"/>
              </w:rPr>
            </w:pPr>
          </w:p>
        </w:tc>
        <w:tc>
          <w:tcPr>
            <w:tcW w:w="596" w:type="dxa"/>
            <w:tcBorders>
              <w:top w:val="nil"/>
              <w:left w:val="nil"/>
              <w:bottom w:val="nil"/>
              <w:right w:val="nil"/>
            </w:tcBorders>
            <w:noWrap/>
            <w:vAlign w:val="center"/>
            <w:hideMark/>
          </w:tcPr>
          <w:p w14:paraId="4DDB0412"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636" w:type="dxa"/>
            <w:tcBorders>
              <w:top w:val="nil"/>
              <w:left w:val="nil"/>
              <w:bottom w:val="nil"/>
              <w:right w:val="nil"/>
            </w:tcBorders>
            <w:noWrap/>
            <w:vAlign w:val="center"/>
            <w:hideMark/>
          </w:tcPr>
          <w:p w14:paraId="66381787" w14:textId="77777777" w:rsidR="004F60A2" w:rsidRDefault="004F60A2">
            <w:pPr>
              <w:jc w:val="center"/>
              <w:rPr>
                <w:rFonts w:ascii="Calibri" w:hAnsi="Calibri" w:cs="Calibri"/>
                <w:color w:val="000000"/>
                <w:sz w:val="22"/>
                <w:szCs w:val="22"/>
              </w:rPr>
            </w:pPr>
          </w:p>
        </w:tc>
        <w:tc>
          <w:tcPr>
            <w:tcW w:w="636" w:type="dxa"/>
            <w:tcBorders>
              <w:top w:val="nil"/>
              <w:left w:val="nil"/>
              <w:bottom w:val="nil"/>
              <w:right w:val="nil"/>
            </w:tcBorders>
            <w:noWrap/>
            <w:vAlign w:val="center"/>
            <w:hideMark/>
          </w:tcPr>
          <w:p w14:paraId="10EB92F4" w14:textId="77777777" w:rsidR="004F60A2" w:rsidRDefault="004F60A2">
            <w:pPr>
              <w:jc w:val="center"/>
              <w:rPr>
                <w:sz w:val="20"/>
                <w:szCs w:val="20"/>
              </w:rPr>
            </w:pPr>
          </w:p>
        </w:tc>
        <w:tc>
          <w:tcPr>
            <w:tcW w:w="1286" w:type="dxa"/>
            <w:tcBorders>
              <w:top w:val="nil"/>
              <w:left w:val="nil"/>
              <w:bottom w:val="nil"/>
              <w:right w:val="nil"/>
            </w:tcBorders>
            <w:shd w:val="clear" w:color="000000" w:fill="F2F2F2"/>
            <w:noWrap/>
            <w:vAlign w:val="center"/>
            <w:hideMark/>
          </w:tcPr>
          <w:p w14:paraId="38714640"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1116" w:type="dxa"/>
            <w:tcBorders>
              <w:top w:val="nil"/>
              <w:left w:val="nil"/>
              <w:bottom w:val="nil"/>
              <w:right w:val="nil"/>
            </w:tcBorders>
            <w:noWrap/>
            <w:vAlign w:val="center"/>
            <w:hideMark/>
          </w:tcPr>
          <w:p w14:paraId="6CA0D426"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70F799E8"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2</w:t>
            </w:r>
          </w:p>
        </w:tc>
      </w:tr>
      <w:tr w:rsidR="004F60A2" w14:paraId="2F1A1637" w14:textId="77777777" w:rsidTr="004F60A2">
        <w:trPr>
          <w:trHeight w:val="585"/>
        </w:trPr>
        <w:tc>
          <w:tcPr>
            <w:tcW w:w="2810" w:type="dxa"/>
            <w:tcBorders>
              <w:top w:val="nil"/>
              <w:left w:val="single" w:sz="8" w:space="0" w:color="auto"/>
              <w:bottom w:val="nil"/>
              <w:right w:val="nil"/>
            </w:tcBorders>
            <w:vAlign w:val="center"/>
            <w:hideMark/>
          </w:tcPr>
          <w:p w14:paraId="360AD185" w14:textId="77777777" w:rsidR="004F60A2" w:rsidRDefault="004F60A2">
            <w:pPr>
              <w:rPr>
                <w:rFonts w:ascii="Calibri" w:hAnsi="Calibri" w:cs="Calibri"/>
                <w:color w:val="000000"/>
                <w:sz w:val="22"/>
                <w:szCs w:val="22"/>
              </w:rPr>
            </w:pPr>
            <w:r>
              <w:rPr>
                <w:rFonts w:ascii="Calibri" w:hAnsi="Calibri" w:cs="Calibri"/>
                <w:color w:val="000000"/>
                <w:sz w:val="22"/>
                <w:szCs w:val="22"/>
              </w:rPr>
              <w:t>Journal of Applied Accounting Research</w:t>
            </w:r>
          </w:p>
        </w:tc>
        <w:tc>
          <w:tcPr>
            <w:tcW w:w="716" w:type="dxa"/>
            <w:tcBorders>
              <w:top w:val="nil"/>
              <w:left w:val="nil"/>
              <w:bottom w:val="nil"/>
              <w:right w:val="nil"/>
            </w:tcBorders>
            <w:shd w:val="clear" w:color="000000" w:fill="F2F2F2"/>
            <w:noWrap/>
            <w:vAlign w:val="center"/>
            <w:hideMark/>
          </w:tcPr>
          <w:p w14:paraId="5814BD79"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896" w:type="dxa"/>
            <w:tcBorders>
              <w:top w:val="nil"/>
              <w:left w:val="nil"/>
              <w:bottom w:val="nil"/>
              <w:right w:val="nil"/>
            </w:tcBorders>
            <w:noWrap/>
            <w:vAlign w:val="center"/>
            <w:hideMark/>
          </w:tcPr>
          <w:p w14:paraId="2EB5A2D9" w14:textId="77777777" w:rsidR="004F60A2" w:rsidRDefault="004F60A2">
            <w:pPr>
              <w:jc w:val="center"/>
              <w:rPr>
                <w:rFonts w:ascii="Calibri" w:hAnsi="Calibri" w:cs="Calibri"/>
                <w:color w:val="000000"/>
                <w:sz w:val="22"/>
                <w:szCs w:val="22"/>
              </w:rPr>
            </w:pPr>
          </w:p>
        </w:tc>
        <w:tc>
          <w:tcPr>
            <w:tcW w:w="596" w:type="dxa"/>
            <w:tcBorders>
              <w:top w:val="nil"/>
              <w:left w:val="nil"/>
              <w:bottom w:val="nil"/>
              <w:right w:val="nil"/>
            </w:tcBorders>
            <w:noWrap/>
            <w:vAlign w:val="center"/>
            <w:hideMark/>
          </w:tcPr>
          <w:p w14:paraId="09353B26"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5A2ACBE3"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36DCAE50"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1286" w:type="dxa"/>
            <w:tcBorders>
              <w:top w:val="nil"/>
              <w:left w:val="nil"/>
              <w:bottom w:val="nil"/>
              <w:right w:val="nil"/>
            </w:tcBorders>
            <w:shd w:val="clear" w:color="000000" w:fill="F2F2F2"/>
            <w:noWrap/>
            <w:vAlign w:val="center"/>
            <w:hideMark/>
          </w:tcPr>
          <w:p w14:paraId="4B180DA7"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1116" w:type="dxa"/>
            <w:tcBorders>
              <w:top w:val="nil"/>
              <w:left w:val="nil"/>
              <w:bottom w:val="nil"/>
              <w:right w:val="nil"/>
            </w:tcBorders>
            <w:noWrap/>
            <w:vAlign w:val="center"/>
            <w:hideMark/>
          </w:tcPr>
          <w:p w14:paraId="74D08A4B"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988" w:type="dxa"/>
            <w:tcBorders>
              <w:top w:val="nil"/>
              <w:left w:val="nil"/>
              <w:bottom w:val="nil"/>
              <w:right w:val="single" w:sz="8" w:space="0" w:color="auto"/>
            </w:tcBorders>
            <w:noWrap/>
            <w:vAlign w:val="center"/>
            <w:hideMark/>
          </w:tcPr>
          <w:p w14:paraId="7F565C26"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4</w:t>
            </w:r>
          </w:p>
        </w:tc>
      </w:tr>
      <w:tr w:rsidR="004F60A2" w14:paraId="5D4B8D62" w14:textId="77777777" w:rsidTr="004F60A2">
        <w:trPr>
          <w:trHeight w:val="300"/>
        </w:trPr>
        <w:tc>
          <w:tcPr>
            <w:tcW w:w="2810" w:type="dxa"/>
            <w:tcBorders>
              <w:top w:val="nil"/>
              <w:left w:val="single" w:sz="8" w:space="0" w:color="auto"/>
              <w:bottom w:val="nil"/>
              <w:right w:val="nil"/>
            </w:tcBorders>
            <w:shd w:val="clear" w:color="000000" w:fill="F2F2F2"/>
            <w:vAlign w:val="center"/>
            <w:hideMark/>
          </w:tcPr>
          <w:p w14:paraId="16D311ED" w14:textId="77777777" w:rsidR="004F60A2" w:rsidRDefault="004F60A2">
            <w:pPr>
              <w:rPr>
                <w:rFonts w:ascii="Calibri" w:hAnsi="Calibri" w:cs="Calibri"/>
                <w:color w:val="000000"/>
                <w:sz w:val="22"/>
                <w:szCs w:val="22"/>
              </w:rPr>
            </w:pPr>
            <w:r>
              <w:rPr>
                <w:rFonts w:ascii="Calibri" w:hAnsi="Calibri" w:cs="Calibri"/>
                <w:color w:val="000000"/>
                <w:sz w:val="22"/>
                <w:szCs w:val="22"/>
              </w:rPr>
              <w:lastRenderedPageBreak/>
              <w:t>Journal of Business Ethics</w:t>
            </w:r>
          </w:p>
        </w:tc>
        <w:tc>
          <w:tcPr>
            <w:tcW w:w="716" w:type="dxa"/>
            <w:tcBorders>
              <w:top w:val="nil"/>
              <w:left w:val="nil"/>
              <w:bottom w:val="nil"/>
              <w:right w:val="nil"/>
            </w:tcBorders>
            <w:shd w:val="clear" w:color="000000" w:fill="F2F2F2"/>
            <w:noWrap/>
            <w:vAlign w:val="center"/>
            <w:hideMark/>
          </w:tcPr>
          <w:p w14:paraId="3A6371B0"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7</w:t>
            </w:r>
          </w:p>
        </w:tc>
        <w:tc>
          <w:tcPr>
            <w:tcW w:w="896" w:type="dxa"/>
            <w:tcBorders>
              <w:top w:val="nil"/>
              <w:left w:val="nil"/>
              <w:bottom w:val="nil"/>
              <w:right w:val="nil"/>
            </w:tcBorders>
            <w:shd w:val="clear" w:color="000000" w:fill="F2F2F2"/>
            <w:noWrap/>
            <w:vAlign w:val="center"/>
            <w:hideMark/>
          </w:tcPr>
          <w:p w14:paraId="140D3672"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596" w:type="dxa"/>
            <w:tcBorders>
              <w:top w:val="nil"/>
              <w:left w:val="nil"/>
              <w:bottom w:val="nil"/>
              <w:right w:val="nil"/>
            </w:tcBorders>
            <w:shd w:val="clear" w:color="000000" w:fill="F2F2F2"/>
            <w:noWrap/>
            <w:vAlign w:val="center"/>
            <w:hideMark/>
          </w:tcPr>
          <w:p w14:paraId="59EE6E28"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636" w:type="dxa"/>
            <w:tcBorders>
              <w:top w:val="nil"/>
              <w:left w:val="nil"/>
              <w:bottom w:val="nil"/>
              <w:right w:val="nil"/>
            </w:tcBorders>
            <w:shd w:val="clear" w:color="000000" w:fill="F2F2F2"/>
            <w:noWrap/>
            <w:vAlign w:val="center"/>
            <w:hideMark/>
          </w:tcPr>
          <w:p w14:paraId="2B04DDF5"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636" w:type="dxa"/>
            <w:tcBorders>
              <w:top w:val="nil"/>
              <w:left w:val="nil"/>
              <w:bottom w:val="nil"/>
              <w:right w:val="nil"/>
            </w:tcBorders>
            <w:shd w:val="clear" w:color="000000" w:fill="F2F2F2"/>
            <w:noWrap/>
            <w:vAlign w:val="center"/>
            <w:hideMark/>
          </w:tcPr>
          <w:p w14:paraId="74C3C948"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2</w:t>
            </w:r>
          </w:p>
        </w:tc>
        <w:tc>
          <w:tcPr>
            <w:tcW w:w="1286" w:type="dxa"/>
            <w:tcBorders>
              <w:top w:val="nil"/>
              <w:left w:val="nil"/>
              <w:bottom w:val="nil"/>
              <w:right w:val="nil"/>
            </w:tcBorders>
            <w:shd w:val="clear" w:color="000000" w:fill="F2F2F2"/>
            <w:noWrap/>
            <w:vAlign w:val="center"/>
            <w:hideMark/>
          </w:tcPr>
          <w:p w14:paraId="160DC1B9"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2</w:t>
            </w:r>
          </w:p>
        </w:tc>
        <w:tc>
          <w:tcPr>
            <w:tcW w:w="1116" w:type="dxa"/>
            <w:tcBorders>
              <w:top w:val="nil"/>
              <w:left w:val="nil"/>
              <w:bottom w:val="nil"/>
              <w:right w:val="nil"/>
            </w:tcBorders>
            <w:shd w:val="clear" w:color="000000" w:fill="F2F2F2"/>
            <w:noWrap/>
            <w:vAlign w:val="center"/>
            <w:hideMark/>
          </w:tcPr>
          <w:p w14:paraId="28CDA5B5"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988" w:type="dxa"/>
            <w:tcBorders>
              <w:top w:val="nil"/>
              <w:left w:val="nil"/>
              <w:bottom w:val="nil"/>
              <w:right w:val="single" w:sz="8" w:space="0" w:color="auto"/>
            </w:tcBorders>
            <w:shd w:val="clear" w:color="000000" w:fill="F2F2F2"/>
            <w:noWrap/>
            <w:vAlign w:val="center"/>
            <w:hideMark/>
          </w:tcPr>
          <w:p w14:paraId="745ADFE0"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12</w:t>
            </w:r>
          </w:p>
        </w:tc>
      </w:tr>
      <w:tr w:rsidR="004F60A2" w14:paraId="3653CE94" w14:textId="77777777" w:rsidTr="004F60A2">
        <w:trPr>
          <w:trHeight w:val="585"/>
        </w:trPr>
        <w:tc>
          <w:tcPr>
            <w:tcW w:w="2810" w:type="dxa"/>
            <w:tcBorders>
              <w:top w:val="nil"/>
              <w:left w:val="single" w:sz="8" w:space="0" w:color="auto"/>
              <w:bottom w:val="nil"/>
              <w:right w:val="nil"/>
            </w:tcBorders>
            <w:vAlign w:val="center"/>
            <w:hideMark/>
          </w:tcPr>
          <w:p w14:paraId="367BCFEE" w14:textId="77777777" w:rsidR="004F60A2" w:rsidRDefault="004F60A2">
            <w:pPr>
              <w:rPr>
                <w:rFonts w:ascii="Calibri" w:hAnsi="Calibri" w:cs="Calibri"/>
                <w:color w:val="000000"/>
                <w:sz w:val="22"/>
                <w:szCs w:val="22"/>
              </w:rPr>
            </w:pPr>
            <w:r>
              <w:rPr>
                <w:rFonts w:ascii="Calibri" w:hAnsi="Calibri" w:cs="Calibri"/>
                <w:color w:val="000000"/>
                <w:sz w:val="22"/>
                <w:szCs w:val="22"/>
              </w:rPr>
              <w:t>Journal of Contemporary Accounting &amp; Economics</w:t>
            </w:r>
          </w:p>
        </w:tc>
        <w:tc>
          <w:tcPr>
            <w:tcW w:w="716" w:type="dxa"/>
            <w:tcBorders>
              <w:top w:val="nil"/>
              <w:left w:val="nil"/>
              <w:bottom w:val="nil"/>
              <w:right w:val="nil"/>
            </w:tcBorders>
            <w:shd w:val="clear" w:color="000000" w:fill="F2F2F2"/>
            <w:noWrap/>
            <w:vAlign w:val="center"/>
            <w:hideMark/>
          </w:tcPr>
          <w:p w14:paraId="46E4A372"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896" w:type="dxa"/>
            <w:tcBorders>
              <w:top w:val="nil"/>
              <w:left w:val="nil"/>
              <w:bottom w:val="nil"/>
              <w:right w:val="nil"/>
            </w:tcBorders>
            <w:noWrap/>
            <w:vAlign w:val="center"/>
            <w:hideMark/>
          </w:tcPr>
          <w:p w14:paraId="4C5F18EA"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596" w:type="dxa"/>
            <w:tcBorders>
              <w:top w:val="nil"/>
              <w:left w:val="nil"/>
              <w:bottom w:val="nil"/>
              <w:right w:val="nil"/>
            </w:tcBorders>
            <w:noWrap/>
            <w:vAlign w:val="center"/>
            <w:hideMark/>
          </w:tcPr>
          <w:p w14:paraId="774BB44D" w14:textId="77777777" w:rsidR="004F60A2" w:rsidRDefault="004F60A2">
            <w:pPr>
              <w:jc w:val="center"/>
              <w:rPr>
                <w:rFonts w:ascii="Calibri" w:hAnsi="Calibri" w:cs="Calibri"/>
                <w:color w:val="000000"/>
                <w:sz w:val="22"/>
                <w:szCs w:val="22"/>
              </w:rPr>
            </w:pPr>
          </w:p>
        </w:tc>
        <w:tc>
          <w:tcPr>
            <w:tcW w:w="636" w:type="dxa"/>
            <w:tcBorders>
              <w:top w:val="nil"/>
              <w:left w:val="nil"/>
              <w:bottom w:val="nil"/>
              <w:right w:val="nil"/>
            </w:tcBorders>
            <w:noWrap/>
            <w:vAlign w:val="center"/>
            <w:hideMark/>
          </w:tcPr>
          <w:p w14:paraId="2E50F25F"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726EFED9" w14:textId="77777777" w:rsidR="004F60A2" w:rsidRDefault="004F60A2">
            <w:pPr>
              <w:jc w:val="center"/>
              <w:rPr>
                <w:sz w:val="20"/>
                <w:szCs w:val="20"/>
              </w:rPr>
            </w:pPr>
          </w:p>
        </w:tc>
        <w:tc>
          <w:tcPr>
            <w:tcW w:w="1286" w:type="dxa"/>
            <w:tcBorders>
              <w:top w:val="nil"/>
              <w:left w:val="nil"/>
              <w:bottom w:val="nil"/>
              <w:right w:val="nil"/>
            </w:tcBorders>
            <w:shd w:val="clear" w:color="000000" w:fill="F2F2F2"/>
            <w:noWrap/>
            <w:vAlign w:val="center"/>
            <w:hideMark/>
          </w:tcPr>
          <w:p w14:paraId="2733D0F5"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1116" w:type="dxa"/>
            <w:tcBorders>
              <w:top w:val="nil"/>
              <w:left w:val="nil"/>
              <w:bottom w:val="nil"/>
              <w:right w:val="nil"/>
            </w:tcBorders>
            <w:noWrap/>
            <w:vAlign w:val="center"/>
            <w:hideMark/>
          </w:tcPr>
          <w:p w14:paraId="09E3FFE1"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0ADC090C"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w:t>
            </w:r>
          </w:p>
        </w:tc>
      </w:tr>
      <w:tr w:rsidR="004F60A2" w14:paraId="69FC3B5A" w14:textId="77777777" w:rsidTr="004F60A2">
        <w:trPr>
          <w:trHeight w:val="585"/>
        </w:trPr>
        <w:tc>
          <w:tcPr>
            <w:tcW w:w="2810" w:type="dxa"/>
            <w:tcBorders>
              <w:top w:val="nil"/>
              <w:left w:val="single" w:sz="8" w:space="0" w:color="auto"/>
              <w:bottom w:val="nil"/>
              <w:right w:val="nil"/>
            </w:tcBorders>
            <w:vAlign w:val="center"/>
            <w:hideMark/>
          </w:tcPr>
          <w:p w14:paraId="4828C69A" w14:textId="77777777" w:rsidR="004F60A2" w:rsidRDefault="004F60A2">
            <w:pPr>
              <w:rPr>
                <w:rFonts w:ascii="Calibri" w:hAnsi="Calibri" w:cs="Calibri"/>
                <w:color w:val="000000"/>
                <w:sz w:val="22"/>
                <w:szCs w:val="22"/>
              </w:rPr>
            </w:pPr>
            <w:r>
              <w:rPr>
                <w:rFonts w:ascii="Calibri" w:hAnsi="Calibri" w:cs="Calibri"/>
                <w:color w:val="000000"/>
                <w:sz w:val="22"/>
                <w:szCs w:val="22"/>
              </w:rPr>
              <w:t>Journal of International Accounting Research</w:t>
            </w:r>
          </w:p>
        </w:tc>
        <w:tc>
          <w:tcPr>
            <w:tcW w:w="716" w:type="dxa"/>
            <w:tcBorders>
              <w:top w:val="nil"/>
              <w:left w:val="nil"/>
              <w:bottom w:val="nil"/>
              <w:right w:val="nil"/>
            </w:tcBorders>
            <w:shd w:val="clear" w:color="000000" w:fill="F2F2F2"/>
            <w:noWrap/>
            <w:vAlign w:val="center"/>
            <w:hideMark/>
          </w:tcPr>
          <w:p w14:paraId="5F57DCAF"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896" w:type="dxa"/>
            <w:tcBorders>
              <w:top w:val="nil"/>
              <w:left w:val="nil"/>
              <w:bottom w:val="nil"/>
              <w:right w:val="nil"/>
            </w:tcBorders>
            <w:noWrap/>
            <w:vAlign w:val="center"/>
            <w:hideMark/>
          </w:tcPr>
          <w:p w14:paraId="48B9FE24" w14:textId="77777777" w:rsidR="004F60A2" w:rsidRDefault="004F60A2">
            <w:pPr>
              <w:jc w:val="center"/>
              <w:rPr>
                <w:rFonts w:ascii="Calibri" w:hAnsi="Calibri" w:cs="Calibri"/>
                <w:color w:val="000000"/>
                <w:sz w:val="22"/>
                <w:szCs w:val="22"/>
              </w:rPr>
            </w:pPr>
          </w:p>
        </w:tc>
        <w:tc>
          <w:tcPr>
            <w:tcW w:w="596" w:type="dxa"/>
            <w:tcBorders>
              <w:top w:val="nil"/>
              <w:left w:val="nil"/>
              <w:bottom w:val="nil"/>
              <w:right w:val="nil"/>
            </w:tcBorders>
            <w:noWrap/>
            <w:vAlign w:val="center"/>
            <w:hideMark/>
          </w:tcPr>
          <w:p w14:paraId="22577961"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10D850F6"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55A6B539" w14:textId="77777777" w:rsidR="004F60A2" w:rsidRDefault="004F60A2">
            <w:pPr>
              <w:jc w:val="center"/>
              <w:rPr>
                <w:sz w:val="20"/>
                <w:szCs w:val="20"/>
              </w:rPr>
            </w:pPr>
          </w:p>
        </w:tc>
        <w:tc>
          <w:tcPr>
            <w:tcW w:w="1286" w:type="dxa"/>
            <w:tcBorders>
              <w:top w:val="nil"/>
              <w:left w:val="nil"/>
              <w:bottom w:val="nil"/>
              <w:right w:val="nil"/>
            </w:tcBorders>
            <w:shd w:val="clear" w:color="000000" w:fill="F2F2F2"/>
            <w:noWrap/>
            <w:vAlign w:val="center"/>
            <w:hideMark/>
          </w:tcPr>
          <w:p w14:paraId="77832CF6"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1116" w:type="dxa"/>
            <w:tcBorders>
              <w:top w:val="nil"/>
              <w:left w:val="nil"/>
              <w:bottom w:val="nil"/>
              <w:right w:val="nil"/>
            </w:tcBorders>
            <w:noWrap/>
            <w:vAlign w:val="center"/>
            <w:hideMark/>
          </w:tcPr>
          <w:p w14:paraId="7E60D0B9"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6334570B"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w:t>
            </w:r>
          </w:p>
        </w:tc>
      </w:tr>
      <w:tr w:rsidR="004F60A2" w14:paraId="72330D5E" w14:textId="77777777" w:rsidTr="004F60A2">
        <w:trPr>
          <w:trHeight w:val="300"/>
        </w:trPr>
        <w:tc>
          <w:tcPr>
            <w:tcW w:w="2810" w:type="dxa"/>
            <w:tcBorders>
              <w:top w:val="nil"/>
              <w:left w:val="single" w:sz="8" w:space="0" w:color="auto"/>
              <w:bottom w:val="nil"/>
              <w:right w:val="nil"/>
            </w:tcBorders>
            <w:vAlign w:val="center"/>
            <w:hideMark/>
          </w:tcPr>
          <w:p w14:paraId="0C7DDD4A" w14:textId="77777777" w:rsidR="004F60A2" w:rsidRDefault="004F60A2">
            <w:pPr>
              <w:rPr>
                <w:rFonts w:ascii="Calibri" w:hAnsi="Calibri" w:cs="Calibri"/>
                <w:color w:val="000000"/>
                <w:sz w:val="22"/>
                <w:szCs w:val="22"/>
              </w:rPr>
            </w:pPr>
            <w:r>
              <w:rPr>
                <w:rFonts w:ascii="Calibri" w:hAnsi="Calibri" w:cs="Calibri"/>
                <w:color w:val="000000"/>
                <w:sz w:val="22"/>
                <w:szCs w:val="22"/>
              </w:rPr>
              <w:t>Managerial Auditing Journal</w:t>
            </w:r>
          </w:p>
        </w:tc>
        <w:tc>
          <w:tcPr>
            <w:tcW w:w="716" w:type="dxa"/>
            <w:tcBorders>
              <w:top w:val="nil"/>
              <w:left w:val="nil"/>
              <w:bottom w:val="nil"/>
              <w:right w:val="nil"/>
            </w:tcBorders>
            <w:shd w:val="clear" w:color="000000" w:fill="F2F2F2"/>
            <w:noWrap/>
            <w:vAlign w:val="center"/>
            <w:hideMark/>
          </w:tcPr>
          <w:p w14:paraId="539F2172"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896" w:type="dxa"/>
            <w:tcBorders>
              <w:top w:val="nil"/>
              <w:left w:val="nil"/>
              <w:bottom w:val="nil"/>
              <w:right w:val="nil"/>
            </w:tcBorders>
            <w:noWrap/>
            <w:vAlign w:val="center"/>
            <w:hideMark/>
          </w:tcPr>
          <w:p w14:paraId="1AD2E9C8"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3</w:t>
            </w:r>
          </w:p>
        </w:tc>
        <w:tc>
          <w:tcPr>
            <w:tcW w:w="596" w:type="dxa"/>
            <w:tcBorders>
              <w:top w:val="nil"/>
              <w:left w:val="nil"/>
              <w:bottom w:val="nil"/>
              <w:right w:val="nil"/>
            </w:tcBorders>
            <w:noWrap/>
            <w:vAlign w:val="center"/>
            <w:hideMark/>
          </w:tcPr>
          <w:p w14:paraId="285F6F8E"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636" w:type="dxa"/>
            <w:tcBorders>
              <w:top w:val="nil"/>
              <w:left w:val="nil"/>
              <w:bottom w:val="nil"/>
              <w:right w:val="nil"/>
            </w:tcBorders>
            <w:noWrap/>
            <w:vAlign w:val="center"/>
            <w:hideMark/>
          </w:tcPr>
          <w:p w14:paraId="70476284"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636" w:type="dxa"/>
            <w:tcBorders>
              <w:top w:val="nil"/>
              <w:left w:val="nil"/>
              <w:bottom w:val="nil"/>
              <w:right w:val="nil"/>
            </w:tcBorders>
            <w:noWrap/>
            <w:vAlign w:val="center"/>
            <w:hideMark/>
          </w:tcPr>
          <w:p w14:paraId="7D9B4A2D" w14:textId="77777777" w:rsidR="004F60A2" w:rsidRDefault="004F60A2">
            <w:pPr>
              <w:jc w:val="center"/>
              <w:rPr>
                <w:rFonts w:ascii="Calibri" w:hAnsi="Calibri" w:cs="Calibri"/>
                <w:color w:val="000000"/>
                <w:sz w:val="22"/>
                <w:szCs w:val="22"/>
              </w:rPr>
            </w:pPr>
          </w:p>
        </w:tc>
        <w:tc>
          <w:tcPr>
            <w:tcW w:w="1286" w:type="dxa"/>
            <w:tcBorders>
              <w:top w:val="nil"/>
              <w:left w:val="nil"/>
              <w:bottom w:val="nil"/>
              <w:right w:val="nil"/>
            </w:tcBorders>
            <w:shd w:val="clear" w:color="000000" w:fill="F2F2F2"/>
            <w:noWrap/>
            <w:vAlign w:val="center"/>
            <w:hideMark/>
          </w:tcPr>
          <w:p w14:paraId="497993A9"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3</w:t>
            </w:r>
          </w:p>
        </w:tc>
        <w:tc>
          <w:tcPr>
            <w:tcW w:w="1116" w:type="dxa"/>
            <w:tcBorders>
              <w:top w:val="nil"/>
              <w:left w:val="nil"/>
              <w:bottom w:val="nil"/>
              <w:right w:val="nil"/>
            </w:tcBorders>
            <w:noWrap/>
            <w:vAlign w:val="center"/>
            <w:hideMark/>
          </w:tcPr>
          <w:p w14:paraId="5822A936"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988" w:type="dxa"/>
            <w:tcBorders>
              <w:top w:val="nil"/>
              <w:left w:val="nil"/>
              <w:bottom w:val="nil"/>
              <w:right w:val="single" w:sz="8" w:space="0" w:color="auto"/>
            </w:tcBorders>
            <w:noWrap/>
            <w:vAlign w:val="center"/>
            <w:hideMark/>
          </w:tcPr>
          <w:p w14:paraId="44C26F42"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9</w:t>
            </w:r>
          </w:p>
        </w:tc>
      </w:tr>
      <w:tr w:rsidR="004F60A2" w14:paraId="60F6690E" w14:textId="77777777" w:rsidTr="004F60A2">
        <w:trPr>
          <w:trHeight w:val="585"/>
        </w:trPr>
        <w:tc>
          <w:tcPr>
            <w:tcW w:w="2810" w:type="dxa"/>
            <w:tcBorders>
              <w:top w:val="nil"/>
              <w:left w:val="single" w:sz="8" w:space="0" w:color="auto"/>
              <w:bottom w:val="nil"/>
              <w:right w:val="nil"/>
            </w:tcBorders>
            <w:vAlign w:val="center"/>
            <w:hideMark/>
          </w:tcPr>
          <w:p w14:paraId="2B94B98C" w14:textId="77777777" w:rsidR="004F60A2" w:rsidRDefault="004F60A2">
            <w:pPr>
              <w:rPr>
                <w:rFonts w:ascii="Calibri" w:hAnsi="Calibri" w:cs="Calibri"/>
                <w:color w:val="000000"/>
                <w:sz w:val="22"/>
                <w:szCs w:val="22"/>
              </w:rPr>
            </w:pPr>
            <w:proofErr w:type="spellStart"/>
            <w:r>
              <w:rPr>
                <w:rFonts w:ascii="Calibri" w:hAnsi="Calibri" w:cs="Calibri"/>
                <w:color w:val="000000"/>
                <w:sz w:val="22"/>
                <w:szCs w:val="22"/>
              </w:rPr>
              <w:t>Meditari</w:t>
            </w:r>
            <w:proofErr w:type="spellEnd"/>
            <w:r>
              <w:rPr>
                <w:rFonts w:ascii="Calibri" w:hAnsi="Calibri" w:cs="Calibri"/>
                <w:color w:val="000000"/>
                <w:sz w:val="22"/>
                <w:szCs w:val="22"/>
              </w:rPr>
              <w:t xml:space="preserve"> Accountancy Research</w:t>
            </w:r>
          </w:p>
        </w:tc>
        <w:tc>
          <w:tcPr>
            <w:tcW w:w="716" w:type="dxa"/>
            <w:tcBorders>
              <w:top w:val="nil"/>
              <w:left w:val="nil"/>
              <w:bottom w:val="nil"/>
              <w:right w:val="nil"/>
            </w:tcBorders>
            <w:shd w:val="clear" w:color="000000" w:fill="F2F2F2"/>
            <w:noWrap/>
            <w:vAlign w:val="center"/>
            <w:hideMark/>
          </w:tcPr>
          <w:p w14:paraId="039F0701"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896" w:type="dxa"/>
            <w:tcBorders>
              <w:top w:val="nil"/>
              <w:left w:val="nil"/>
              <w:bottom w:val="nil"/>
              <w:right w:val="nil"/>
            </w:tcBorders>
            <w:noWrap/>
            <w:vAlign w:val="center"/>
            <w:hideMark/>
          </w:tcPr>
          <w:p w14:paraId="06DC6E5C"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596" w:type="dxa"/>
            <w:tcBorders>
              <w:top w:val="nil"/>
              <w:left w:val="nil"/>
              <w:bottom w:val="nil"/>
              <w:right w:val="nil"/>
            </w:tcBorders>
            <w:noWrap/>
            <w:vAlign w:val="center"/>
            <w:hideMark/>
          </w:tcPr>
          <w:p w14:paraId="51826D5A" w14:textId="77777777" w:rsidR="004F60A2" w:rsidRDefault="004F60A2">
            <w:pPr>
              <w:jc w:val="center"/>
              <w:rPr>
                <w:rFonts w:ascii="Calibri" w:hAnsi="Calibri" w:cs="Calibri"/>
                <w:color w:val="000000"/>
                <w:sz w:val="22"/>
                <w:szCs w:val="22"/>
              </w:rPr>
            </w:pPr>
          </w:p>
        </w:tc>
        <w:tc>
          <w:tcPr>
            <w:tcW w:w="636" w:type="dxa"/>
            <w:tcBorders>
              <w:top w:val="nil"/>
              <w:left w:val="nil"/>
              <w:bottom w:val="nil"/>
              <w:right w:val="nil"/>
            </w:tcBorders>
            <w:noWrap/>
            <w:vAlign w:val="center"/>
            <w:hideMark/>
          </w:tcPr>
          <w:p w14:paraId="13A9FCCD"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7B53F58C" w14:textId="77777777" w:rsidR="004F60A2" w:rsidRDefault="004F60A2">
            <w:pPr>
              <w:jc w:val="center"/>
              <w:rPr>
                <w:sz w:val="20"/>
                <w:szCs w:val="20"/>
              </w:rPr>
            </w:pPr>
          </w:p>
        </w:tc>
        <w:tc>
          <w:tcPr>
            <w:tcW w:w="1286" w:type="dxa"/>
            <w:tcBorders>
              <w:top w:val="nil"/>
              <w:left w:val="nil"/>
              <w:bottom w:val="nil"/>
              <w:right w:val="nil"/>
            </w:tcBorders>
            <w:shd w:val="clear" w:color="000000" w:fill="F2F2F2"/>
            <w:noWrap/>
            <w:vAlign w:val="center"/>
            <w:hideMark/>
          </w:tcPr>
          <w:p w14:paraId="5EFFFB16"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3</w:t>
            </w:r>
          </w:p>
        </w:tc>
        <w:tc>
          <w:tcPr>
            <w:tcW w:w="1116" w:type="dxa"/>
            <w:tcBorders>
              <w:top w:val="nil"/>
              <w:left w:val="nil"/>
              <w:bottom w:val="nil"/>
              <w:right w:val="nil"/>
            </w:tcBorders>
            <w:noWrap/>
            <w:vAlign w:val="center"/>
            <w:hideMark/>
          </w:tcPr>
          <w:p w14:paraId="1D506551"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2</w:t>
            </w:r>
          </w:p>
        </w:tc>
        <w:tc>
          <w:tcPr>
            <w:tcW w:w="988" w:type="dxa"/>
            <w:tcBorders>
              <w:top w:val="nil"/>
              <w:left w:val="nil"/>
              <w:bottom w:val="nil"/>
              <w:right w:val="single" w:sz="8" w:space="0" w:color="auto"/>
            </w:tcBorders>
            <w:noWrap/>
            <w:vAlign w:val="center"/>
            <w:hideMark/>
          </w:tcPr>
          <w:p w14:paraId="304BA49A"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6</w:t>
            </w:r>
          </w:p>
        </w:tc>
      </w:tr>
      <w:tr w:rsidR="004F60A2" w14:paraId="1D7DD83C" w14:textId="77777777" w:rsidTr="004F60A2">
        <w:trPr>
          <w:trHeight w:val="585"/>
        </w:trPr>
        <w:tc>
          <w:tcPr>
            <w:tcW w:w="2810" w:type="dxa"/>
            <w:tcBorders>
              <w:top w:val="nil"/>
              <w:left w:val="single" w:sz="8" w:space="0" w:color="auto"/>
              <w:bottom w:val="nil"/>
              <w:right w:val="nil"/>
            </w:tcBorders>
            <w:vAlign w:val="center"/>
            <w:hideMark/>
          </w:tcPr>
          <w:p w14:paraId="6829385E" w14:textId="77777777" w:rsidR="004F60A2" w:rsidRDefault="004F60A2">
            <w:pPr>
              <w:rPr>
                <w:rFonts w:ascii="Calibri" w:hAnsi="Calibri" w:cs="Calibri"/>
                <w:color w:val="000000"/>
                <w:sz w:val="22"/>
                <w:szCs w:val="22"/>
              </w:rPr>
            </w:pPr>
            <w:r>
              <w:rPr>
                <w:rFonts w:ascii="Calibri" w:hAnsi="Calibri" w:cs="Calibri"/>
                <w:color w:val="000000"/>
                <w:sz w:val="22"/>
                <w:szCs w:val="22"/>
              </w:rPr>
              <w:t>Qualitative Research in Accounting &amp; Management</w:t>
            </w:r>
          </w:p>
        </w:tc>
        <w:tc>
          <w:tcPr>
            <w:tcW w:w="716" w:type="dxa"/>
            <w:tcBorders>
              <w:top w:val="nil"/>
              <w:left w:val="nil"/>
              <w:bottom w:val="nil"/>
              <w:right w:val="nil"/>
            </w:tcBorders>
            <w:shd w:val="clear" w:color="000000" w:fill="F2F2F2"/>
            <w:noWrap/>
            <w:vAlign w:val="center"/>
            <w:hideMark/>
          </w:tcPr>
          <w:p w14:paraId="106458C6"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896" w:type="dxa"/>
            <w:tcBorders>
              <w:top w:val="nil"/>
              <w:left w:val="nil"/>
              <w:bottom w:val="nil"/>
              <w:right w:val="nil"/>
            </w:tcBorders>
            <w:noWrap/>
            <w:vAlign w:val="center"/>
            <w:hideMark/>
          </w:tcPr>
          <w:p w14:paraId="74AE699C" w14:textId="77777777" w:rsidR="004F60A2" w:rsidRDefault="004F60A2">
            <w:pPr>
              <w:jc w:val="center"/>
              <w:rPr>
                <w:rFonts w:ascii="Calibri" w:hAnsi="Calibri" w:cs="Calibri"/>
                <w:color w:val="000000"/>
                <w:sz w:val="22"/>
                <w:szCs w:val="22"/>
              </w:rPr>
            </w:pPr>
          </w:p>
        </w:tc>
        <w:tc>
          <w:tcPr>
            <w:tcW w:w="596" w:type="dxa"/>
            <w:tcBorders>
              <w:top w:val="nil"/>
              <w:left w:val="nil"/>
              <w:bottom w:val="nil"/>
              <w:right w:val="nil"/>
            </w:tcBorders>
            <w:noWrap/>
            <w:vAlign w:val="center"/>
            <w:hideMark/>
          </w:tcPr>
          <w:p w14:paraId="62168306"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14AD790A"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5E0931C6" w14:textId="77777777" w:rsidR="004F60A2" w:rsidRDefault="004F60A2">
            <w:pPr>
              <w:jc w:val="center"/>
              <w:rPr>
                <w:sz w:val="20"/>
                <w:szCs w:val="20"/>
              </w:rPr>
            </w:pPr>
          </w:p>
        </w:tc>
        <w:tc>
          <w:tcPr>
            <w:tcW w:w="1286" w:type="dxa"/>
            <w:tcBorders>
              <w:top w:val="nil"/>
              <w:left w:val="nil"/>
              <w:bottom w:val="nil"/>
              <w:right w:val="nil"/>
            </w:tcBorders>
            <w:shd w:val="clear" w:color="000000" w:fill="F2F2F2"/>
            <w:noWrap/>
            <w:vAlign w:val="center"/>
            <w:hideMark/>
          </w:tcPr>
          <w:p w14:paraId="21C75B2A"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2</w:t>
            </w:r>
          </w:p>
        </w:tc>
        <w:tc>
          <w:tcPr>
            <w:tcW w:w="1116" w:type="dxa"/>
            <w:tcBorders>
              <w:top w:val="nil"/>
              <w:left w:val="nil"/>
              <w:bottom w:val="nil"/>
              <w:right w:val="nil"/>
            </w:tcBorders>
            <w:noWrap/>
            <w:vAlign w:val="center"/>
            <w:hideMark/>
          </w:tcPr>
          <w:p w14:paraId="780112C0"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5C394E4D"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2</w:t>
            </w:r>
          </w:p>
        </w:tc>
      </w:tr>
      <w:tr w:rsidR="004F60A2" w14:paraId="4D349DEF" w14:textId="77777777" w:rsidTr="004F60A2">
        <w:trPr>
          <w:trHeight w:val="585"/>
        </w:trPr>
        <w:tc>
          <w:tcPr>
            <w:tcW w:w="2810" w:type="dxa"/>
            <w:tcBorders>
              <w:top w:val="nil"/>
              <w:left w:val="single" w:sz="8" w:space="0" w:color="auto"/>
              <w:bottom w:val="nil"/>
              <w:right w:val="nil"/>
            </w:tcBorders>
            <w:vAlign w:val="center"/>
            <w:hideMark/>
          </w:tcPr>
          <w:p w14:paraId="7FDD3DB9" w14:textId="77777777" w:rsidR="004F60A2" w:rsidRDefault="004F60A2">
            <w:pPr>
              <w:rPr>
                <w:rFonts w:ascii="Calibri" w:hAnsi="Calibri" w:cs="Calibri"/>
                <w:color w:val="000000"/>
                <w:sz w:val="22"/>
                <w:szCs w:val="22"/>
              </w:rPr>
            </w:pPr>
            <w:r>
              <w:rPr>
                <w:rFonts w:ascii="Calibri" w:hAnsi="Calibri" w:cs="Calibri"/>
                <w:color w:val="000000"/>
                <w:sz w:val="22"/>
                <w:szCs w:val="22"/>
              </w:rPr>
              <w:t>Review of Accounting Studies</w:t>
            </w:r>
          </w:p>
        </w:tc>
        <w:tc>
          <w:tcPr>
            <w:tcW w:w="716" w:type="dxa"/>
            <w:tcBorders>
              <w:top w:val="nil"/>
              <w:left w:val="nil"/>
              <w:bottom w:val="nil"/>
              <w:right w:val="nil"/>
            </w:tcBorders>
            <w:shd w:val="clear" w:color="000000" w:fill="F2F2F2"/>
            <w:noWrap/>
            <w:vAlign w:val="center"/>
            <w:hideMark/>
          </w:tcPr>
          <w:p w14:paraId="6595F0CB"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896" w:type="dxa"/>
            <w:tcBorders>
              <w:top w:val="nil"/>
              <w:left w:val="nil"/>
              <w:bottom w:val="nil"/>
              <w:right w:val="nil"/>
            </w:tcBorders>
            <w:noWrap/>
            <w:vAlign w:val="center"/>
            <w:hideMark/>
          </w:tcPr>
          <w:p w14:paraId="44438F10" w14:textId="77777777" w:rsidR="004F60A2" w:rsidRDefault="004F60A2">
            <w:pPr>
              <w:jc w:val="center"/>
              <w:rPr>
                <w:rFonts w:ascii="Calibri" w:hAnsi="Calibri" w:cs="Calibri"/>
                <w:color w:val="000000"/>
                <w:sz w:val="22"/>
                <w:szCs w:val="22"/>
              </w:rPr>
            </w:pPr>
          </w:p>
        </w:tc>
        <w:tc>
          <w:tcPr>
            <w:tcW w:w="596" w:type="dxa"/>
            <w:tcBorders>
              <w:top w:val="nil"/>
              <w:left w:val="nil"/>
              <w:bottom w:val="nil"/>
              <w:right w:val="nil"/>
            </w:tcBorders>
            <w:noWrap/>
            <w:vAlign w:val="center"/>
            <w:hideMark/>
          </w:tcPr>
          <w:p w14:paraId="6ED42131"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5B0A4079"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33583C8C"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1286" w:type="dxa"/>
            <w:tcBorders>
              <w:top w:val="nil"/>
              <w:left w:val="nil"/>
              <w:bottom w:val="nil"/>
              <w:right w:val="nil"/>
            </w:tcBorders>
            <w:shd w:val="clear" w:color="000000" w:fill="F2F2F2"/>
            <w:noWrap/>
            <w:vAlign w:val="center"/>
            <w:hideMark/>
          </w:tcPr>
          <w:p w14:paraId="5B17917D"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1116" w:type="dxa"/>
            <w:tcBorders>
              <w:top w:val="nil"/>
              <w:left w:val="nil"/>
              <w:bottom w:val="nil"/>
              <w:right w:val="nil"/>
            </w:tcBorders>
            <w:noWrap/>
            <w:vAlign w:val="center"/>
            <w:hideMark/>
          </w:tcPr>
          <w:p w14:paraId="32353EF4"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3FBCE89D"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w:t>
            </w:r>
          </w:p>
        </w:tc>
      </w:tr>
      <w:tr w:rsidR="004F60A2" w14:paraId="5855D87A" w14:textId="77777777" w:rsidTr="004F60A2">
        <w:trPr>
          <w:trHeight w:val="300"/>
        </w:trPr>
        <w:tc>
          <w:tcPr>
            <w:tcW w:w="2810" w:type="dxa"/>
            <w:tcBorders>
              <w:top w:val="nil"/>
              <w:left w:val="single" w:sz="8" w:space="0" w:color="auto"/>
              <w:bottom w:val="nil"/>
              <w:right w:val="nil"/>
            </w:tcBorders>
            <w:vAlign w:val="center"/>
            <w:hideMark/>
          </w:tcPr>
          <w:p w14:paraId="769BBDED" w14:textId="77777777" w:rsidR="004F60A2" w:rsidRDefault="004F60A2">
            <w:pPr>
              <w:rPr>
                <w:rFonts w:ascii="Calibri" w:hAnsi="Calibri" w:cs="Calibri"/>
                <w:color w:val="000000"/>
                <w:sz w:val="22"/>
                <w:szCs w:val="22"/>
              </w:rPr>
            </w:pPr>
            <w:r>
              <w:rPr>
                <w:rFonts w:ascii="Calibri" w:hAnsi="Calibri" w:cs="Calibri"/>
                <w:color w:val="000000"/>
                <w:sz w:val="22"/>
                <w:szCs w:val="22"/>
              </w:rPr>
              <w:t>The Accounting Review</w:t>
            </w:r>
          </w:p>
        </w:tc>
        <w:tc>
          <w:tcPr>
            <w:tcW w:w="716" w:type="dxa"/>
            <w:tcBorders>
              <w:top w:val="nil"/>
              <w:left w:val="nil"/>
              <w:bottom w:val="nil"/>
              <w:right w:val="nil"/>
            </w:tcBorders>
            <w:shd w:val="clear" w:color="000000" w:fill="F2F2F2"/>
            <w:noWrap/>
            <w:vAlign w:val="center"/>
            <w:hideMark/>
          </w:tcPr>
          <w:p w14:paraId="4FD220B6"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896" w:type="dxa"/>
            <w:tcBorders>
              <w:top w:val="nil"/>
              <w:left w:val="nil"/>
              <w:bottom w:val="nil"/>
              <w:right w:val="nil"/>
            </w:tcBorders>
            <w:noWrap/>
            <w:vAlign w:val="center"/>
            <w:hideMark/>
          </w:tcPr>
          <w:p w14:paraId="4B3DCA72" w14:textId="77777777" w:rsidR="004F60A2" w:rsidRDefault="004F60A2">
            <w:pPr>
              <w:jc w:val="center"/>
              <w:rPr>
                <w:rFonts w:ascii="Calibri" w:hAnsi="Calibri" w:cs="Calibri"/>
                <w:color w:val="000000"/>
                <w:sz w:val="22"/>
                <w:szCs w:val="22"/>
              </w:rPr>
            </w:pPr>
          </w:p>
        </w:tc>
        <w:tc>
          <w:tcPr>
            <w:tcW w:w="596" w:type="dxa"/>
            <w:tcBorders>
              <w:top w:val="nil"/>
              <w:left w:val="nil"/>
              <w:bottom w:val="nil"/>
              <w:right w:val="nil"/>
            </w:tcBorders>
            <w:noWrap/>
            <w:vAlign w:val="center"/>
            <w:hideMark/>
          </w:tcPr>
          <w:p w14:paraId="1C8C5993"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4F550DEE" w14:textId="77777777" w:rsidR="004F60A2" w:rsidRDefault="004F60A2">
            <w:pPr>
              <w:jc w:val="center"/>
              <w:rPr>
                <w:sz w:val="20"/>
                <w:szCs w:val="20"/>
              </w:rPr>
            </w:pPr>
          </w:p>
        </w:tc>
        <w:tc>
          <w:tcPr>
            <w:tcW w:w="636" w:type="dxa"/>
            <w:tcBorders>
              <w:top w:val="nil"/>
              <w:left w:val="nil"/>
              <w:bottom w:val="nil"/>
              <w:right w:val="nil"/>
            </w:tcBorders>
            <w:noWrap/>
            <w:vAlign w:val="center"/>
            <w:hideMark/>
          </w:tcPr>
          <w:p w14:paraId="0D043FC7"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1286" w:type="dxa"/>
            <w:tcBorders>
              <w:top w:val="nil"/>
              <w:left w:val="nil"/>
              <w:bottom w:val="nil"/>
              <w:right w:val="nil"/>
            </w:tcBorders>
            <w:shd w:val="clear" w:color="000000" w:fill="F2F2F2"/>
            <w:noWrap/>
            <w:vAlign w:val="center"/>
            <w:hideMark/>
          </w:tcPr>
          <w:p w14:paraId="770F6060"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1116" w:type="dxa"/>
            <w:tcBorders>
              <w:top w:val="nil"/>
              <w:left w:val="nil"/>
              <w:bottom w:val="nil"/>
              <w:right w:val="nil"/>
            </w:tcBorders>
            <w:noWrap/>
            <w:vAlign w:val="center"/>
            <w:hideMark/>
          </w:tcPr>
          <w:p w14:paraId="23F12DBA"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7673ECF1"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w:t>
            </w:r>
          </w:p>
        </w:tc>
      </w:tr>
      <w:tr w:rsidR="004F60A2" w14:paraId="15A977B8" w14:textId="77777777" w:rsidTr="004F60A2">
        <w:trPr>
          <w:trHeight w:val="585"/>
        </w:trPr>
        <w:tc>
          <w:tcPr>
            <w:tcW w:w="2810" w:type="dxa"/>
            <w:tcBorders>
              <w:top w:val="nil"/>
              <w:left w:val="single" w:sz="8" w:space="0" w:color="auto"/>
              <w:bottom w:val="nil"/>
              <w:right w:val="nil"/>
            </w:tcBorders>
            <w:vAlign w:val="center"/>
            <w:hideMark/>
          </w:tcPr>
          <w:p w14:paraId="705EB522" w14:textId="77777777" w:rsidR="004F60A2" w:rsidRDefault="004F60A2">
            <w:pPr>
              <w:rPr>
                <w:rFonts w:ascii="Calibri" w:hAnsi="Calibri" w:cs="Calibri"/>
                <w:color w:val="000000"/>
                <w:sz w:val="22"/>
                <w:szCs w:val="22"/>
              </w:rPr>
            </w:pPr>
            <w:r>
              <w:rPr>
                <w:rFonts w:ascii="Calibri" w:hAnsi="Calibri" w:cs="Calibri"/>
                <w:color w:val="000000"/>
                <w:sz w:val="22"/>
                <w:szCs w:val="22"/>
              </w:rPr>
              <w:t>The British Accounting Review</w:t>
            </w:r>
          </w:p>
        </w:tc>
        <w:tc>
          <w:tcPr>
            <w:tcW w:w="716" w:type="dxa"/>
            <w:tcBorders>
              <w:top w:val="nil"/>
              <w:left w:val="nil"/>
              <w:bottom w:val="nil"/>
              <w:right w:val="nil"/>
            </w:tcBorders>
            <w:shd w:val="clear" w:color="000000" w:fill="F2F2F2"/>
            <w:noWrap/>
            <w:vAlign w:val="center"/>
            <w:hideMark/>
          </w:tcPr>
          <w:p w14:paraId="7C57BA01"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 </w:t>
            </w:r>
          </w:p>
        </w:tc>
        <w:tc>
          <w:tcPr>
            <w:tcW w:w="896" w:type="dxa"/>
            <w:tcBorders>
              <w:top w:val="nil"/>
              <w:left w:val="nil"/>
              <w:bottom w:val="nil"/>
              <w:right w:val="nil"/>
            </w:tcBorders>
            <w:noWrap/>
            <w:vAlign w:val="center"/>
            <w:hideMark/>
          </w:tcPr>
          <w:p w14:paraId="4C87C4DA"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596" w:type="dxa"/>
            <w:tcBorders>
              <w:top w:val="nil"/>
              <w:left w:val="nil"/>
              <w:bottom w:val="nil"/>
              <w:right w:val="nil"/>
            </w:tcBorders>
            <w:noWrap/>
            <w:vAlign w:val="center"/>
            <w:hideMark/>
          </w:tcPr>
          <w:p w14:paraId="0F97CF37"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2</w:t>
            </w:r>
          </w:p>
        </w:tc>
        <w:tc>
          <w:tcPr>
            <w:tcW w:w="636" w:type="dxa"/>
            <w:tcBorders>
              <w:top w:val="nil"/>
              <w:left w:val="nil"/>
              <w:bottom w:val="nil"/>
              <w:right w:val="nil"/>
            </w:tcBorders>
            <w:noWrap/>
            <w:vAlign w:val="center"/>
            <w:hideMark/>
          </w:tcPr>
          <w:p w14:paraId="4DF539A9"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636" w:type="dxa"/>
            <w:tcBorders>
              <w:top w:val="nil"/>
              <w:left w:val="nil"/>
              <w:bottom w:val="nil"/>
              <w:right w:val="nil"/>
            </w:tcBorders>
            <w:noWrap/>
            <w:vAlign w:val="center"/>
            <w:hideMark/>
          </w:tcPr>
          <w:p w14:paraId="53B1E993" w14:textId="77777777" w:rsidR="004F60A2" w:rsidRDefault="004F60A2">
            <w:pPr>
              <w:jc w:val="center"/>
              <w:rPr>
                <w:rFonts w:ascii="Calibri" w:hAnsi="Calibri" w:cs="Calibri"/>
                <w:color w:val="000000"/>
                <w:sz w:val="22"/>
                <w:szCs w:val="22"/>
              </w:rPr>
            </w:pPr>
          </w:p>
        </w:tc>
        <w:tc>
          <w:tcPr>
            <w:tcW w:w="1286" w:type="dxa"/>
            <w:tcBorders>
              <w:top w:val="nil"/>
              <w:left w:val="nil"/>
              <w:bottom w:val="nil"/>
              <w:right w:val="nil"/>
            </w:tcBorders>
            <w:shd w:val="clear" w:color="000000" w:fill="F2F2F2"/>
            <w:noWrap/>
            <w:vAlign w:val="center"/>
            <w:hideMark/>
          </w:tcPr>
          <w:p w14:paraId="6B5A9CCB" w14:textId="77777777" w:rsidR="004F60A2" w:rsidRDefault="004F60A2">
            <w:pPr>
              <w:jc w:val="center"/>
              <w:rPr>
                <w:rFonts w:ascii="Calibri" w:hAnsi="Calibri" w:cs="Calibri"/>
                <w:color w:val="000000"/>
                <w:sz w:val="22"/>
                <w:szCs w:val="22"/>
              </w:rPr>
            </w:pPr>
            <w:r>
              <w:rPr>
                <w:rFonts w:ascii="Calibri" w:hAnsi="Calibri" w:cs="Calibri"/>
                <w:color w:val="000000"/>
                <w:sz w:val="22"/>
                <w:szCs w:val="22"/>
              </w:rPr>
              <w:t>1</w:t>
            </w:r>
          </w:p>
        </w:tc>
        <w:tc>
          <w:tcPr>
            <w:tcW w:w="1116" w:type="dxa"/>
            <w:tcBorders>
              <w:top w:val="nil"/>
              <w:left w:val="nil"/>
              <w:bottom w:val="nil"/>
              <w:right w:val="nil"/>
            </w:tcBorders>
            <w:noWrap/>
            <w:vAlign w:val="center"/>
            <w:hideMark/>
          </w:tcPr>
          <w:p w14:paraId="0E3E0346" w14:textId="77777777" w:rsidR="004F60A2" w:rsidRDefault="004F60A2">
            <w:pPr>
              <w:jc w:val="center"/>
              <w:rPr>
                <w:rFonts w:ascii="Calibri" w:hAnsi="Calibri" w:cs="Calibri"/>
                <w:color w:val="000000"/>
                <w:sz w:val="22"/>
                <w:szCs w:val="22"/>
              </w:rPr>
            </w:pPr>
          </w:p>
        </w:tc>
        <w:tc>
          <w:tcPr>
            <w:tcW w:w="988" w:type="dxa"/>
            <w:tcBorders>
              <w:top w:val="nil"/>
              <w:left w:val="nil"/>
              <w:bottom w:val="nil"/>
              <w:right w:val="single" w:sz="8" w:space="0" w:color="auto"/>
            </w:tcBorders>
            <w:noWrap/>
            <w:vAlign w:val="center"/>
            <w:hideMark/>
          </w:tcPr>
          <w:p w14:paraId="7C103AB7"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5</w:t>
            </w:r>
          </w:p>
        </w:tc>
      </w:tr>
      <w:tr w:rsidR="004F60A2" w14:paraId="7D60A0FD" w14:textId="77777777" w:rsidTr="004F60A2">
        <w:trPr>
          <w:trHeight w:val="315"/>
        </w:trPr>
        <w:tc>
          <w:tcPr>
            <w:tcW w:w="2810" w:type="dxa"/>
            <w:tcBorders>
              <w:top w:val="single" w:sz="8" w:space="0" w:color="auto"/>
              <w:left w:val="single" w:sz="8" w:space="0" w:color="auto"/>
              <w:bottom w:val="single" w:sz="8" w:space="0" w:color="auto"/>
              <w:right w:val="nil"/>
            </w:tcBorders>
            <w:shd w:val="clear" w:color="DDEBF7" w:fill="BFBFBF"/>
            <w:vAlign w:val="bottom"/>
            <w:hideMark/>
          </w:tcPr>
          <w:p w14:paraId="21627D6D" w14:textId="77777777" w:rsidR="004F60A2" w:rsidRDefault="004F60A2">
            <w:pPr>
              <w:rPr>
                <w:rFonts w:ascii="Calibri" w:hAnsi="Calibri" w:cs="Calibri"/>
                <w:b/>
                <w:bCs/>
                <w:color w:val="000000"/>
                <w:sz w:val="22"/>
                <w:szCs w:val="22"/>
              </w:rPr>
            </w:pPr>
            <w:r>
              <w:rPr>
                <w:rFonts w:ascii="Calibri" w:hAnsi="Calibri" w:cs="Calibri"/>
                <w:b/>
                <w:bCs/>
                <w:color w:val="000000"/>
                <w:sz w:val="22"/>
                <w:szCs w:val="22"/>
              </w:rPr>
              <w:t>Grand Total</w:t>
            </w:r>
          </w:p>
        </w:tc>
        <w:tc>
          <w:tcPr>
            <w:tcW w:w="716" w:type="dxa"/>
            <w:tcBorders>
              <w:top w:val="single" w:sz="8" w:space="0" w:color="auto"/>
              <w:left w:val="nil"/>
              <w:bottom w:val="single" w:sz="8" w:space="0" w:color="auto"/>
              <w:right w:val="nil"/>
            </w:tcBorders>
            <w:shd w:val="clear" w:color="DDEBF7" w:fill="BFBFBF"/>
            <w:noWrap/>
            <w:vAlign w:val="center"/>
            <w:hideMark/>
          </w:tcPr>
          <w:p w14:paraId="5A727F2F"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30</w:t>
            </w:r>
          </w:p>
        </w:tc>
        <w:tc>
          <w:tcPr>
            <w:tcW w:w="896" w:type="dxa"/>
            <w:tcBorders>
              <w:top w:val="single" w:sz="8" w:space="0" w:color="auto"/>
              <w:left w:val="nil"/>
              <w:bottom w:val="single" w:sz="8" w:space="0" w:color="auto"/>
              <w:right w:val="nil"/>
            </w:tcBorders>
            <w:shd w:val="clear" w:color="DDEBF7" w:fill="BFBFBF"/>
            <w:noWrap/>
            <w:vAlign w:val="center"/>
            <w:hideMark/>
          </w:tcPr>
          <w:p w14:paraId="75861DF0"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21</w:t>
            </w:r>
          </w:p>
        </w:tc>
        <w:tc>
          <w:tcPr>
            <w:tcW w:w="596" w:type="dxa"/>
            <w:tcBorders>
              <w:top w:val="single" w:sz="8" w:space="0" w:color="auto"/>
              <w:left w:val="nil"/>
              <w:bottom w:val="single" w:sz="8" w:space="0" w:color="auto"/>
              <w:right w:val="nil"/>
            </w:tcBorders>
            <w:shd w:val="clear" w:color="DDEBF7" w:fill="BFBFBF"/>
            <w:noWrap/>
            <w:vAlign w:val="center"/>
            <w:hideMark/>
          </w:tcPr>
          <w:p w14:paraId="353787A9"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10</w:t>
            </w:r>
          </w:p>
        </w:tc>
        <w:tc>
          <w:tcPr>
            <w:tcW w:w="636" w:type="dxa"/>
            <w:tcBorders>
              <w:top w:val="single" w:sz="8" w:space="0" w:color="auto"/>
              <w:left w:val="nil"/>
              <w:bottom w:val="single" w:sz="8" w:space="0" w:color="auto"/>
              <w:right w:val="nil"/>
            </w:tcBorders>
            <w:shd w:val="clear" w:color="DDEBF7" w:fill="BFBFBF"/>
            <w:noWrap/>
            <w:vAlign w:val="center"/>
            <w:hideMark/>
          </w:tcPr>
          <w:p w14:paraId="2E5C2175"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6</w:t>
            </w:r>
          </w:p>
        </w:tc>
        <w:tc>
          <w:tcPr>
            <w:tcW w:w="636" w:type="dxa"/>
            <w:tcBorders>
              <w:top w:val="single" w:sz="8" w:space="0" w:color="auto"/>
              <w:left w:val="nil"/>
              <w:bottom w:val="single" w:sz="8" w:space="0" w:color="auto"/>
              <w:right w:val="nil"/>
            </w:tcBorders>
            <w:shd w:val="clear" w:color="DDEBF7" w:fill="BFBFBF"/>
            <w:noWrap/>
            <w:vAlign w:val="center"/>
            <w:hideMark/>
          </w:tcPr>
          <w:p w14:paraId="1F7C4EC9"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11</w:t>
            </w:r>
          </w:p>
        </w:tc>
        <w:tc>
          <w:tcPr>
            <w:tcW w:w="1286" w:type="dxa"/>
            <w:tcBorders>
              <w:top w:val="single" w:sz="8" w:space="0" w:color="auto"/>
              <w:left w:val="nil"/>
              <w:bottom w:val="single" w:sz="8" w:space="0" w:color="auto"/>
              <w:right w:val="nil"/>
            </w:tcBorders>
            <w:shd w:val="clear" w:color="DDEBF7" w:fill="BFBFBF"/>
            <w:noWrap/>
            <w:vAlign w:val="center"/>
            <w:hideMark/>
          </w:tcPr>
          <w:p w14:paraId="7EE74138"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35</w:t>
            </w:r>
          </w:p>
        </w:tc>
        <w:tc>
          <w:tcPr>
            <w:tcW w:w="1116" w:type="dxa"/>
            <w:tcBorders>
              <w:top w:val="single" w:sz="8" w:space="0" w:color="auto"/>
              <w:left w:val="nil"/>
              <w:bottom w:val="single" w:sz="8" w:space="0" w:color="auto"/>
              <w:right w:val="nil"/>
            </w:tcBorders>
            <w:shd w:val="clear" w:color="DDEBF7" w:fill="BFBFBF"/>
            <w:noWrap/>
            <w:vAlign w:val="center"/>
            <w:hideMark/>
          </w:tcPr>
          <w:p w14:paraId="08BDF722"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11</w:t>
            </w:r>
          </w:p>
        </w:tc>
        <w:tc>
          <w:tcPr>
            <w:tcW w:w="988" w:type="dxa"/>
            <w:tcBorders>
              <w:top w:val="single" w:sz="8" w:space="0" w:color="auto"/>
              <w:left w:val="nil"/>
              <w:bottom w:val="single" w:sz="8" w:space="0" w:color="auto"/>
              <w:right w:val="single" w:sz="8" w:space="0" w:color="auto"/>
            </w:tcBorders>
            <w:shd w:val="clear" w:color="DDEBF7" w:fill="BFBFBF"/>
            <w:noWrap/>
            <w:vAlign w:val="center"/>
            <w:hideMark/>
          </w:tcPr>
          <w:p w14:paraId="7ABE9B81" w14:textId="77777777" w:rsidR="004F60A2" w:rsidRDefault="004F60A2">
            <w:pPr>
              <w:jc w:val="center"/>
              <w:rPr>
                <w:rFonts w:ascii="Calibri" w:hAnsi="Calibri" w:cs="Calibri"/>
                <w:b/>
                <w:bCs/>
                <w:color w:val="000000"/>
                <w:sz w:val="22"/>
                <w:szCs w:val="22"/>
              </w:rPr>
            </w:pPr>
            <w:r>
              <w:rPr>
                <w:rFonts w:ascii="Calibri" w:hAnsi="Calibri" w:cs="Calibri"/>
                <w:b/>
                <w:bCs/>
                <w:color w:val="000000"/>
                <w:sz w:val="22"/>
                <w:szCs w:val="22"/>
              </w:rPr>
              <w:t>124</w:t>
            </w:r>
          </w:p>
        </w:tc>
      </w:tr>
    </w:tbl>
    <w:p w14:paraId="4C6CFBD4" w14:textId="42F65B81" w:rsidR="0097313B" w:rsidRDefault="00B07C64" w:rsidP="0097313B">
      <w:pPr>
        <w:jc w:val="both"/>
        <w:rPr>
          <w:i/>
          <w:iCs/>
        </w:rPr>
      </w:pPr>
      <w:r w:rsidRPr="0097313B">
        <w:rPr>
          <w:b/>
          <w:bCs/>
          <w:lang w:val="en-US"/>
        </w:rPr>
        <w:t>Table 3. Distribution of empirical NFIA studies by journal outlet and jurisdiction of study</w:t>
      </w:r>
      <w:r w:rsidR="0097313B" w:rsidRPr="00C9060A">
        <w:br/>
      </w:r>
      <w:r w:rsidR="0097313B" w:rsidRPr="00C9060A">
        <w:rPr>
          <w:i/>
          <w:iCs/>
        </w:rPr>
        <w:t xml:space="preserve">Source: </w:t>
      </w:r>
      <w:r w:rsidR="0097313B" w:rsidRPr="008F53EF">
        <w:rPr>
          <w:i/>
          <w:iCs/>
        </w:rPr>
        <w:t>Author’s analysis</w:t>
      </w:r>
    </w:p>
    <w:p w14:paraId="40FBB9CD" w14:textId="77777777" w:rsidR="00EF62E0" w:rsidRPr="0097313B" w:rsidRDefault="00EF62E0" w:rsidP="0097313B">
      <w:pPr>
        <w:jc w:val="both"/>
        <w:rPr>
          <w:b/>
          <w:bCs/>
          <w:lang w:val="en-US"/>
        </w:rPr>
      </w:pPr>
    </w:p>
    <w:p w14:paraId="497BFE57" w14:textId="77777777" w:rsidR="00B8658E" w:rsidRPr="00B8658E" w:rsidRDefault="00B8658E" w:rsidP="00B8658E">
      <w:pPr>
        <w:widowControl w:val="0"/>
        <w:spacing w:after="160"/>
        <w:ind w:firstLine="420"/>
        <w:jc w:val="both"/>
      </w:pPr>
      <w:r w:rsidRPr="00B8658E">
        <w:t xml:space="preserve">Table 3 reports the distribution of empirical NFIA studies by journal outlet and jurisdiction of study, revealing clear patterns in both publication venues and geographical focus. A relatively small group of accounting journals accounts for a substantial share of publications, with </w:t>
      </w:r>
      <w:r w:rsidRPr="00B8658E">
        <w:rPr>
          <w:i/>
          <w:iCs/>
        </w:rPr>
        <w:t>Financial Accountability &amp; Management</w:t>
      </w:r>
      <w:r w:rsidRPr="00B8658E">
        <w:t xml:space="preserve">, </w:t>
      </w:r>
      <w:r w:rsidRPr="00B8658E">
        <w:rPr>
          <w:i/>
          <w:iCs/>
        </w:rPr>
        <w:t>Accounting, Auditing &amp; Accountability Journal</w:t>
      </w:r>
      <w:r w:rsidRPr="00B8658E">
        <w:t xml:space="preserve">, the </w:t>
      </w:r>
      <w:r w:rsidRPr="00B8658E">
        <w:rPr>
          <w:i/>
          <w:iCs/>
        </w:rPr>
        <w:t>Journal of Business Ethics</w:t>
      </w:r>
      <w:r w:rsidRPr="00B8658E">
        <w:t xml:space="preserve">, and the </w:t>
      </w:r>
      <w:r w:rsidRPr="00B8658E">
        <w:rPr>
          <w:i/>
          <w:iCs/>
        </w:rPr>
        <w:t>International Journal of Auditing</w:t>
      </w:r>
      <w:r w:rsidRPr="00B8658E">
        <w:t xml:space="preserve"> emerging as the most prominent outlets. This concentration reflects these journals’ established interest in public sector accountability, sustainability, and non-financial assurance, indicating that NFIA research has largely been channelled through venues oriented towards broader governance concerns.</w:t>
      </w:r>
    </w:p>
    <w:p w14:paraId="34D92579" w14:textId="77777777" w:rsidR="00B8658E" w:rsidRPr="00B8658E" w:rsidRDefault="00B8658E" w:rsidP="00B8658E">
      <w:pPr>
        <w:widowControl w:val="0"/>
        <w:spacing w:after="160"/>
        <w:ind w:firstLine="420"/>
        <w:jc w:val="both"/>
      </w:pPr>
      <w:r w:rsidRPr="00B8658E">
        <w:t xml:space="preserve">The table also highlights notable variation in jurisdictions examined. Australia represents a substantial proportion of empirical settings, exceeding those of the United Kingdom despite the latter’s central role in the early development of the audit explosion. This prominence is consistent with Australia’s strong public sector audit institutions and sustained scholarly attention to performance auditing. The category of other developed countries forms the largest grouping, driven primarily by European contexts such as France and Germany, where studies focus on carbon and emissions-related assurance and public sector performance auditing. China also emerges as a distinct empirical focus, with ten studies concentrated exclusively in the CSR, </w:t>
      </w:r>
      <w:r w:rsidRPr="00B8658E">
        <w:lastRenderedPageBreak/>
        <w:t>ESG and sustainability assurance domain.</w:t>
      </w:r>
    </w:p>
    <w:p w14:paraId="431714C4" w14:textId="1DDD7C7A" w:rsidR="00EB53C9" w:rsidRDefault="00EB53C9" w:rsidP="00EF62E0">
      <w:pPr>
        <w:widowControl w:val="0"/>
        <w:spacing w:after="160"/>
        <w:ind w:firstLine="420"/>
        <w:jc w:val="both"/>
      </w:pPr>
    </w:p>
    <w:tbl>
      <w:tblPr>
        <w:tblW w:w="8960" w:type="dxa"/>
        <w:tblLook w:val="04A0" w:firstRow="1" w:lastRow="0" w:firstColumn="1" w:lastColumn="0" w:noHBand="0" w:noVBand="1"/>
      </w:tblPr>
      <w:tblGrid>
        <w:gridCol w:w="2891"/>
        <w:gridCol w:w="1452"/>
        <w:gridCol w:w="1397"/>
        <w:gridCol w:w="1420"/>
        <w:gridCol w:w="820"/>
        <w:gridCol w:w="980"/>
      </w:tblGrid>
      <w:tr w:rsidR="00643350" w14:paraId="297C0CCC" w14:textId="77777777" w:rsidTr="0071264D">
        <w:trPr>
          <w:trHeight w:val="585"/>
        </w:trPr>
        <w:tc>
          <w:tcPr>
            <w:tcW w:w="2891" w:type="dxa"/>
            <w:tcBorders>
              <w:top w:val="single" w:sz="8" w:space="0" w:color="auto"/>
              <w:left w:val="single" w:sz="8" w:space="0" w:color="auto"/>
              <w:bottom w:val="single" w:sz="4" w:space="0" w:color="9BC2E6"/>
              <w:right w:val="nil"/>
            </w:tcBorders>
            <w:shd w:val="clear" w:color="DDEBF7" w:fill="BFBFBF"/>
            <w:vAlign w:val="center"/>
            <w:hideMark/>
          </w:tcPr>
          <w:p w14:paraId="53D3CFFD" w14:textId="77777777" w:rsidR="00643350" w:rsidRDefault="00643350">
            <w:pPr>
              <w:rPr>
                <w:rFonts w:ascii="Calibri" w:hAnsi="Calibri" w:cs="Calibri"/>
                <w:b/>
                <w:bCs/>
                <w:color w:val="000000"/>
                <w:sz w:val="22"/>
                <w:szCs w:val="22"/>
              </w:rPr>
            </w:pPr>
            <w:r>
              <w:rPr>
                <w:rFonts w:ascii="Calibri" w:hAnsi="Calibri" w:cs="Calibri"/>
                <w:b/>
                <w:bCs/>
                <w:color w:val="000000"/>
                <w:sz w:val="22"/>
                <w:szCs w:val="22"/>
              </w:rPr>
              <w:t>Main Research Method / Subject Domains</w:t>
            </w:r>
          </w:p>
        </w:tc>
        <w:tc>
          <w:tcPr>
            <w:tcW w:w="1452" w:type="dxa"/>
            <w:tcBorders>
              <w:top w:val="single" w:sz="8" w:space="0" w:color="auto"/>
              <w:left w:val="nil"/>
              <w:bottom w:val="single" w:sz="4" w:space="0" w:color="9BC2E6"/>
              <w:right w:val="nil"/>
            </w:tcBorders>
            <w:shd w:val="clear" w:color="DDEBF7" w:fill="BFBFBF"/>
            <w:vAlign w:val="center"/>
            <w:hideMark/>
          </w:tcPr>
          <w:p w14:paraId="7FDEF3E7"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CSR/ESG/ Sustainability</w:t>
            </w:r>
          </w:p>
        </w:tc>
        <w:tc>
          <w:tcPr>
            <w:tcW w:w="1397" w:type="dxa"/>
            <w:tcBorders>
              <w:top w:val="single" w:sz="8" w:space="0" w:color="auto"/>
              <w:left w:val="nil"/>
              <w:bottom w:val="single" w:sz="4" w:space="0" w:color="9BC2E6"/>
              <w:right w:val="nil"/>
            </w:tcBorders>
            <w:shd w:val="clear" w:color="DDEBF7" w:fill="BFBFBF"/>
            <w:vAlign w:val="center"/>
            <w:hideMark/>
          </w:tcPr>
          <w:p w14:paraId="273FD157"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Performance Audit</w:t>
            </w:r>
          </w:p>
        </w:tc>
        <w:tc>
          <w:tcPr>
            <w:tcW w:w="1420" w:type="dxa"/>
            <w:tcBorders>
              <w:top w:val="single" w:sz="8" w:space="0" w:color="auto"/>
              <w:left w:val="nil"/>
              <w:bottom w:val="single" w:sz="4" w:space="0" w:color="9BC2E6"/>
              <w:right w:val="nil"/>
            </w:tcBorders>
            <w:shd w:val="clear" w:color="DDEBF7" w:fill="BFBFBF"/>
            <w:vAlign w:val="center"/>
            <w:hideMark/>
          </w:tcPr>
          <w:p w14:paraId="564ECA26"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Carbon (GHG)</w:t>
            </w:r>
          </w:p>
        </w:tc>
        <w:tc>
          <w:tcPr>
            <w:tcW w:w="820" w:type="dxa"/>
            <w:tcBorders>
              <w:top w:val="single" w:sz="8" w:space="0" w:color="auto"/>
              <w:left w:val="nil"/>
              <w:bottom w:val="single" w:sz="4" w:space="0" w:color="9BC2E6"/>
              <w:right w:val="nil"/>
            </w:tcBorders>
            <w:shd w:val="clear" w:color="DDEBF7" w:fill="BFBFBF"/>
            <w:vAlign w:val="center"/>
            <w:hideMark/>
          </w:tcPr>
          <w:p w14:paraId="27AE01F3"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Other</w:t>
            </w:r>
          </w:p>
        </w:tc>
        <w:tc>
          <w:tcPr>
            <w:tcW w:w="980" w:type="dxa"/>
            <w:tcBorders>
              <w:top w:val="single" w:sz="8" w:space="0" w:color="auto"/>
              <w:left w:val="nil"/>
              <w:bottom w:val="single" w:sz="4" w:space="0" w:color="9BC2E6"/>
              <w:right w:val="single" w:sz="8" w:space="0" w:color="auto"/>
            </w:tcBorders>
            <w:shd w:val="clear" w:color="DDEBF7" w:fill="BFBFBF"/>
            <w:vAlign w:val="center"/>
            <w:hideMark/>
          </w:tcPr>
          <w:p w14:paraId="598DA191"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Total</w:t>
            </w:r>
          </w:p>
        </w:tc>
      </w:tr>
      <w:tr w:rsidR="00643350" w14:paraId="361AC797" w14:textId="77777777" w:rsidTr="0071264D">
        <w:trPr>
          <w:trHeight w:val="300"/>
        </w:trPr>
        <w:tc>
          <w:tcPr>
            <w:tcW w:w="2891" w:type="dxa"/>
            <w:tcBorders>
              <w:top w:val="nil"/>
              <w:left w:val="single" w:sz="8" w:space="0" w:color="auto"/>
              <w:bottom w:val="nil"/>
              <w:right w:val="nil"/>
            </w:tcBorders>
            <w:vAlign w:val="bottom"/>
            <w:hideMark/>
          </w:tcPr>
          <w:p w14:paraId="1703AEC6" w14:textId="77777777" w:rsidR="00643350" w:rsidRDefault="00643350">
            <w:pPr>
              <w:rPr>
                <w:rFonts w:ascii="Calibri" w:hAnsi="Calibri" w:cs="Calibri"/>
                <w:color w:val="000000"/>
                <w:sz w:val="22"/>
                <w:szCs w:val="22"/>
              </w:rPr>
            </w:pPr>
            <w:r>
              <w:rPr>
                <w:rFonts w:ascii="Calibri" w:hAnsi="Calibri" w:cs="Calibri"/>
                <w:color w:val="000000"/>
                <w:sz w:val="22"/>
                <w:szCs w:val="22"/>
              </w:rPr>
              <w:t>Archival / statistical analysis</w:t>
            </w:r>
          </w:p>
        </w:tc>
        <w:tc>
          <w:tcPr>
            <w:tcW w:w="1452" w:type="dxa"/>
            <w:tcBorders>
              <w:top w:val="nil"/>
              <w:left w:val="nil"/>
              <w:bottom w:val="nil"/>
              <w:right w:val="nil"/>
            </w:tcBorders>
            <w:shd w:val="clear" w:color="000000" w:fill="D9D9D9"/>
            <w:noWrap/>
            <w:vAlign w:val="center"/>
            <w:hideMark/>
          </w:tcPr>
          <w:p w14:paraId="0354B268"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33</w:t>
            </w:r>
          </w:p>
        </w:tc>
        <w:tc>
          <w:tcPr>
            <w:tcW w:w="1397" w:type="dxa"/>
            <w:tcBorders>
              <w:top w:val="nil"/>
              <w:left w:val="nil"/>
              <w:bottom w:val="nil"/>
              <w:right w:val="nil"/>
            </w:tcBorders>
            <w:noWrap/>
            <w:vAlign w:val="center"/>
            <w:hideMark/>
          </w:tcPr>
          <w:p w14:paraId="634CF667"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3</w:t>
            </w:r>
          </w:p>
        </w:tc>
        <w:tc>
          <w:tcPr>
            <w:tcW w:w="1420" w:type="dxa"/>
            <w:tcBorders>
              <w:top w:val="nil"/>
              <w:left w:val="nil"/>
              <w:bottom w:val="nil"/>
              <w:right w:val="nil"/>
            </w:tcBorders>
            <w:noWrap/>
            <w:vAlign w:val="center"/>
            <w:hideMark/>
          </w:tcPr>
          <w:p w14:paraId="1A95B739"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3</w:t>
            </w:r>
          </w:p>
        </w:tc>
        <w:tc>
          <w:tcPr>
            <w:tcW w:w="820" w:type="dxa"/>
            <w:tcBorders>
              <w:top w:val="nil"/>
              <w:left w:val="nil"/>
              <w:bottom w:val="nil"/>
              <w:right w:val="nil"/>
            </w:tcBorders>
            <w:noWrap/>
            <w:vAlign w:val="center"/>
            <w:hideMark/>
          </w:tcPr>
          <w:p w14:paraId="7CA2BC1A" w14:textId="77777777" w:rsidR="00643350" w:rsidRDefault="00643350">
            <w:pPr>
              <w:jc w:val="center"/>
              <w:rPr>
                <w:rFonts w:ascii="Calibri" w:hAnsi="Calibri" w:cs="Calibri"/>
                <w:color w:val="000000"/>
                <w:sz w:val="22"/>
                <w:szCs w:val="22"/>
              </w:rPr>
            </w:pPr>
          </w:p>
        </w:tc>
        <w:tc>
          <w:tcPr>
            <w:tcW w:w="980" w:type="dxa"/>
            <w:tcBorders>
              <w:top w:val="nil"/>
              <w:left w:val="nil"/>
              <w:bottom w:val="nil"/>
              <w:right w:val="single" w:sz="8" w:space="0" w:color="auto"/>
            </w:tcBorders>
            <w:noWrap/>
            <w:vAlign w:val="center"/>
            <w:hideMark/>
          </w:tcPr>
          <w:p w14:paraId="0A172CB5"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39</w:t>
            </w:r>
          </w:p>
        </w:tc>
      </w:tr>
      <w:tr w:rsidR="00643350" w14:paraId="3EF5DC3D" w14:textId="77777777" w:rsidTr="0071264D">
        <w:trPr>
          <w:trHeight w:val="300"/>
        </w:trPr>
        <w:tc>
          <w:tcPr>
            <w:tcW w:w="2891" w:type="dxa"/>
            <w:tcBorders>
              <w:top w:val="nil"/>
              <w:left w:val="single" w:sz="8" w:space="0" w:color="auto"/>
              <w:bottom w:val="nil"/>
              <w:right w:val="nil"/>
            </w:tcBorders>
            <w:vAlign w:val="bottom"/>
            <w:hideMark/>
          </w:tcPr>
          <w:p w14:paraId="3C67A94C" w14:textId="77777777" w:rsidR="00643350" w:rsidRDefault="00643350">
            <w:pPr>
              <w:rPr>
                <w:rFonts w:ascii="Calibri" w:hAnsi="Calibri" w:cs="Calibri"/>
                <w:color w:val="000000"/>
                <w:sz w:val="22"/>
                <w:szCs w:val="22"/>
              </w:rPr>
            </w:pPr>
            <w:r>
              <w:rPr>
                <w:rFonts w:ascii="Calibri" w:hAnsi="Calibri" w:cs="Calibri"/>
                <w:color w:val="000000"/>
                <w:sz w:val="22"/>
                <w:szCs w:val="22"/>
              </w:rPr>
              <w:t>Case study</w:t>
            </w:r>
          </w:p>
        </w:tc>
        <w:tc>
          <w:tcPr>
            <w:tcW w:w="1452" w:type="dxa"/>
            <w:tcBorders>
              <w:top w:val="nil"/>
              <w:left w:val="nil"/>
              <w:bottom w:val="nil"/>
              <w:right w:val="nil"/>
            </w:tcBorders>
            <w:shd w:val="clear" w:color="000000" w:fill="D9D9D9"/>
            <w:noWrap/>
            <w:vAlign w:val="center"/>
            <w:hideMark/>
          </w:tcPr>
          <w:p w14:paraId="6FD6A059"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7</w:t>
            </w:r>
          </w:p>
        </w:tc>
        <w:tc>
          <w:tcPr>
            <w:tcW w:w="1397" w:type="dxa"/>
            <w:tcBorders>
              <w:top w:val="nil"/>
              <w:left w:val="nil"/>
              <w:bottom w:val="nil"/>
              <w:right w:val="nil"/>
            </w:tcBorders>
            <w:shd w:val="clear" w:color="000000" w:fill="D9D9D9"/>
            <w:noWrap/>
            <w:vAlign w:val="center"/>
            <w:hideMark/>
          </w:tcPr>
          <w:p w14:paraId="17D26B13"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11</w:t>
            </w:r>
          </w:p>
        </w:tc>
        <w:tc>
          <w:tcPr>
            <w:tcW w:w="1420" w:type="dxa"/>
            <w:tcBorders>
              <w:top w:val="nil"/>
              <w:left w:val="nil"/>
              <w:bottom w:val="nil"/>
              <w:right w:val="nil"/>
            </w:tcBorders>
            <w:noWrap/>
            <w:vAlign w:val="center"/>
            <w:hideMark/>
          </w:tcPr>
          <w:p w14:paraId="7E626B60" w14:textId="77777777" w:rsidR="00643350" w:rsidRDefault="00643350">
            <w:pPr>
              <w:jc w:val="center"/>
              <w:rPr>
                <w:rFonts w:ascii="Calibri" w:hAnsi="Calibri" w:cs="Calibri"/>
                <w:color w:val="000000"/>
                <w:sz w:val="22"/>
                <w:szCs w:val="22"/>
              </w:rPr>
            </w:pPr>
          </w:p>
        </w:tc>
        <w:tc>
          <w:tcPr>
            <w:tcW w:w="820" w:type="dxa"/>
            <w:tcBorders>
              <w:top w:val="nil"/>
              <w:left w:val="nil"/>
              <w:bottom w:val="nil"/>
              <w:right w:val="nil"/>
            </w:tcBorders>
            <w:noWrap/>
            <w:vAlign w:val="center"/>
            <w:hideMark/>
          </w:tcPr>
          <w:p w14:paraId="20BE39EA"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2</w:t>
            </w:r>
          </w:p>
        </w:tc>
        <w:tc>
          <w:tcPr>
            <w:tcW w:w="980" w:type="dxa"/>
            <w:tcBorders>
              <w:top w:val="nil"/>
              <w:left w:val="nil"/>
              <w:bottom w:val="nil"/>
              <w:right w:val="single" w:sz="8" w:space="0" w:color="auto"/>
            </w:tcBorders>
            <w:noWrap/>
            <w:vAlign w:val="center"/>
            <w:hideMark/>
          </w:tcPr>
          <w:p w14:paraId="3CC0792F"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20</w:t>
            </w:r>
          </w:p>
        </w:tc>
      </w:tr>
      <w:tr w:rsidR="00643350" w14:paraId="68403437" w14:textId="77777777" w:rsidTr="0071264D">
        <w:trPr>
          <w:trHeight w:val="300"/>
        </w:trPr>
        <w:tc>
          <w:tcPr>
            <w:tcW w:w="2891" w:type="dxa"/>
            <w:tcBorders>
              <w:top w:val="nil"/>
              <w:left w:val="single" w:sz="8" w:space="0" w:color="auto"/>
              <w:bottom w:val="nil"/>
              <w:right w:val="nil"/>
            </w:tcBorders>
            <w:vAlign w:val="bottom"/>
            <w:hideMark/>
          </w:tcPr>
          <w:p w14:paraId="790ED3AB" w14:textId="77777777" w:rsidR="00643350" w:rsidRDefault="00643350">
            <w:pPr>
              <w:rPr>
                <w:rFonts w:ascii="Calibri" w:hAnsi="Calibri" w:cs="Calibri"/>
                <w:color w:val="000000"/>
                <w:sz w:val="22"/>
                <w:szCs w:val="22"/>
              </w:rPr>
            </w:pPr>
            <w:r>
              <w:rPr>
                <w:rFonts w:ascii="Calibri" w:hAnsi="Calibri" w:cs="Calibri"/>
                <w:color w:val="000000"/>
                <w:sz w:val="22"/>
                <w:szCs w:val="22"/>
              </w:rPr>
              <w:t>Discourse / content analysis</w:t>
            </w:r>
          </w:p>
        </w:tc>
        <w:tc>
          <w:tcPr>
            <w:tcW w:w="1452" w:type="dxa"/>
            <w:tcBorders>
              <w:top w:val="nil"/>
              <w:left w:val="nil"/>
              <w:bottom w:val="nil"/>
              <w:right w:val="nil"/>
            </w:tcBorders>
            <w:noWrap/>
            <w:vAlign w:val="center"/>
            <w:hideMark/>
          </w:tcPr>
          <w:p w14:paraId="48DB3A36"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5</w:t>
            </w:r>
          </w:p>
        </w:tc>
        <w:tc>
          <w:tcPr>
            <w:tcW w:w="1397" w:type="dxa"/>
            <w:tcBorders>
              <w:top w:val="nil"/>
              <w:left w:val="nil"/>
              <w:bottom w:val="nil"/>
              <w:right w:val="nil"/>
            </w:tcBorders>
            <w:noWrap/>
            <w:vAlign w:val="center"/>
            <w:hideMark/>
          </w:tcPr>
          <w:p w14:paraId="1D550375"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1</w:t>
            </w:r>
          </w:p>
        </w:tc>
        <w:tc>
          <w:tcPr>
            <w:tcW w:w="1420" w:type="dxa"/>
            <w:tcBorders>
              <w:top w:val="nil"/>
              <w:left w:val="nil"/>
              <w:bottom w:val="nil"/>
              <w:right w:val="nil"/>
            </w:tcBorders>
            <w:noWrap/>
            <w:vAlign w:val="center"/>
            <w:hideMark/>
          </w:tcPr>
          <w:p w14:paraId="6172712D" w14:textId="77777777" w:rsidR="00643350" w:rsidRDefault="00643350">
            <w:pPr>
              <w:jc w:val="center"/>
              <w:rPr>
                <w:rFonts w:ascii="Calibri" w:hAnsi="Calibri" w:cs="Calibri"/>
                <w:color w:val="000000"/>
                <w:sz w:val="22"/>
                <w:szCs w:val="22"/>
              </w:rPr>
            </w:pPr>
          </w:p>
        </w:tc>
        <w:tc>
          <w:tcPr>
            <w:tcW w:w="820" w:type="dxa"/>
            <w:tcBorders>
              <w:top w:val="nil"/>
              <w:left w:val="nil"/>
              <w:bottom w:val="nil"/>
              <w:right w:val="nil"/>
            </w:tcBorders>
            <w:noWrap/>
            <w:vAlign w:val="center"/>
            <w:hideMark/>
          </w:tcPr>
          <w:p w14:paraId="7E6CA4BC" w14:textId="77777777" w:rsidR="00643350" w:rsidRDefault="00643350">
            <w:pPr>
              <w:jc w:val="center"/>
              <w:rPr>
                <w:sz w:val="20"/>
                <w:szCs w:val="20"/>
              </w:rPr>
            </w:pPr>
          </w:p>
        </w:tc>
        <w:tc>
          <w:tcPr>
            <w:tcW w:w="980" w:type="dxa"/>
            <w:tcBorders>
              <w:top w:val="nil"/>
              <w:left w:val="nil"/>
              <w:bottom w:val="nil"/>
              <w:right w:val="single" w:sz="8" w:space="0" w:color="auto"/>
            </w:tcBorders>
            <w:noWrap/>
            <w:vAlign w:val="center"/>
            <w:hideMark/>
          </w:tcPr>
          <w:p w14:paraId="28F8B4E3"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6</w:t>
            </w:r>
          </w:p>
        </w:tc>
      </w:tr>
      <w:tr w:rsidR="00643350" w14:paraId="123C942A" w14:textId="77777777" w:rsidTr="0071264D">
        <w:trPr>
          <w:trHeight w:val="300"/>
        </w:trPr>
        <w:tc>
          <w:tcPr>
            <w:tcW w:w="2891" w:type="dxa"/>
            <w:tcBorders>
              <w:top w:val="nil"/>
              <w:left w:val="single" w:sz="8" w:space="0" w:color="auto"/>
              <w:bottom w:val="nil"/>
              <w:right w:val="nil"/>
            </w:tcBorders>
            <w:vAlign w:val="bottom"/>
            <w:hideMark/>
          </w:tcPr>
          <w:p w14:paraId="02201453" w14:textId="77777777" w:rsidR="00643350" w:rsidRDefault="00643350">
            <w:pPr>
              <w:rPr>
                <w:rFonts w:ascii="Calibri" w:hAnsi="Calibri" w:cs="Calibri"/>
                <w:color w:val="000000"/>
                <w:sz w:val="22"/>
                <w:szCs w:val="22"/>
              </w:rPr>
            </w:pPr>
            <w:r>
              <w:rPr>
                <w:rFonts w:ascii="Calibri" w:hAnsi="Calibri" w:cs="Calibri"/>
                <w:color w:val="000000"/>
                <w:sz w:val="22"/>
                <w:szCs w:val="22"/>
              </w:rPr>
              <w:t>Document / textual analysis</w:t>
            </w:r>
          </w:p>
        </w:tc>
        <w:tc>
          <w:tcPr>
            <w:tcW w:w="1452" w:type="dxa"/>
            <w:tcBorders>
              <w:top w:val="nil"/>
              <w:left w:val="nil"/>
              <w:bottom w:val="nil"/>
              <w:right w:val="nil"/>
            </w:tcBorders>
            <w:noWrap/>
            <w:vAlign w:val="center"/>
            <w:hideMark/>
          </w:tcPr>
          <w:p w14:paraId="23B86EAC"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5</w:t>
            </w:r>
          </w:p>
        </w:tc>
        <w:tc>
          <w:tcPr>
            <w:tcW w:w="1397" w:type="dxa"/>
            <w:tcBorders>
              <w:top w:val="nil"/>
              <w:left w:val="nil"/>
              <w:bottom w:val="nil"/>
              <w:right w:val="nil"/>
            </w:tcBorders>
            <w:noWrap/>
            <w:vAlign w:val="center"/>
            <w:hideMark/>
          </w:tcPr>
          <w:p w14:paraId="757A9101"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6</w:t>
            </w:r>
          </w:p>
        </w:tc>
        <w:tc>
          <w:tcPr>
            <w:tcW w:w="1420" w:type="dxa"/>
            <w:tcBorders>
              <w:top w:val="nil"/>
              <w:left w:val="nil"/>
              <w:bottom w:val="nil"/>
              <w:right w:val="nil"/>
            </w:tcBorders>
            <w:noWrap/>
            <w:vAlign w:val="center"/>
            <w:hideMark/>
          </w:tcPr>
          <w:p w14:paraId="7A19C002" w14:textId="77777777" w:rsidR="00643350" w:rsidRDefault="00643350">
            <w:pPr>
              <w:jc w:val="center"/>
              <w:rPr>
                <w:rFonts w:ascii="Calibri" w:hAnsi="Calibri" w:cs="Calibri"/>
                <w:color w:val="000000"/>
                <w:sz w:val="22"/>
                <w:szCs w:val="22"/>
              </w:rPr>
            </w:pPr>
          </w:p>
        </w:tc>
        <w:tc>
          <w:tcPr>
            <w:tcW w:w="820" w:type="dxa"/>
            <w:tcBorders>
              <w:top w:val="nil"/>
              <w:left w:val="nil"/>
              <w:bottom w:val="nil"/>
              <w:right w:val="nil"/>
            </w:tcBorders>
            <w:noWrap/>
            <w:vAlign w:val="center"/>
            <w:hideMark/>
          </w:tcPr>
          <w:p w14:paraId="48E7F540" w14:textId="77777777" w:rsidR="00643350" w:rsidRDefault="00643350">
            <w:pPr>
              <w:jc w:val="center"/>
              <w:rPr>
                <w:sz w:val="20"/>
                <w:szCs w:val="20"/>
              </w:rPr>
            </w:pPr>
          </w:p>
        </w:tc>
        <w:tc>
          <w:tcPr>
            <w:tcW w:w="980" w:type="dxa"/>
            <w:tcBorders>
              <w:top w:val="nil"/>
              <w:left w:val="nil"/>
              <w:bottom w:val="nil"/>
              <w:right w:val="single" w:sz="8" w:space="0" w:color="auto"/>
            </w:tcBorders>
            <w:noWrap/>
            <w:vAlign w:val="center"/>
            <w:hideMark/>
          </w:tcPr>
          <w:p w14:paraId="05B88114"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11</w:t>
            </w:r>
          </w:p>
        </w:tc>
      </w:tr>
      <w:tr w:rsidR="00643350" w14:paraId="22E07475" w14:textId="77777777" w:rsidTr="0071264D">
        <w:trPr>
          <w:trHeight w:val="600"/>
        </w:trPr>
        <w:tc>
          <w:tcPr>
            <w:tcW w:w="2891" w:type="dxa"/>
            <w:tcBorders>
              <w:top w:val="nil"/>
              <w:left w:val="single" w:sz="8" w:space="0" w:color="auto"/>
              <w:bottom w:val="nil"/>
              <w:right w:val="nil"/>
            </w:tcBorders>
            <w:vAlign w:val="bottom"/>
            <w:hideMark/>
          </w:tcPr>
          <w:p w14:paraId="390CD611" w14:textId="77777777" w:rsidR="00643350" w:rsidRDefault="00643350">
            <w:pPr>
              <w:rPr>
                <w:rFonts w:ascii="Calibri" w:hAnsi="Calibri" w:cs="Calibri"/>
                <w:color w:val="000000"/>
                <w:sz w:val="22"/>
                <w:szCs w:val="22"/>
              </w:rPr>
            </w:pPr>
            <w:r>
              <w:rPr>
                <w:rFonts w:ascii="Calibri" w:hAnsi="Calibri" w:cs="Calibri"/>
                <w:color w:val="000000"/>
                <w:sz w:val="22"/>
                <w:szCs w:val="22"/>
              </w:rPr>
              <w:t>Experimental / quasi-experimental</w:t>
            </w:r>
          </w:p>
        </w:tc>
        <w:tc>
          <w:tcPr>
            <w:tcW w:w="1452" w:type="dxa"/>
            <w:tcBorders>
              <w:top w:val="nil"/>
              <w:left w:val="nil"/>
              <w:bottom w:val="nil"/>
              <w:right w:val="nil"/>
            </w:tcBorders>
            <w:shd w:val="clear" w:color="000000" w:fill="D9D9D9"/>
            <w:noWrap/>
            <w:vAlign w:val="center"/>
            <w:hideMark/>
          </w:tcPr>
          <w:p w14:paraId="3C7D169A"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9</w:t>
            </w:r>
          </w:p>
        </w:tc>
        <w:tc>
          <w:tcPr>
            <w:tcW w:w="1397" w:type="dxa"/>
            <w:tcBorders>
              <w:top w:val="nil"/>
              <w:left w:val="nil"/>
              <w:bottom w:val="nil"/>
              <w:right w:val="nil"/>
            </w:tcBorders>
            <w:noWrap/>
            <w:vAlign w:val="center"/>
            <w:hideMark/>
          </w:tcPr>
          <w:p w14:paraId="25D8F647" w14:textId="77777777" w:rsidR="00643350" w:rsidRDefault="00643350">
            <w:pPr>
              <w:jc w:val="center"/>
              <w:rPr>
                <w:rFonts w:ascii="Calibri" w:hAnsi="Calibri" w:cs="Calibri"/>
                <w:color w:val="000000"/>
                <w:sz w:val="22"/>
                <w:szCs w:val="22"/>
              </w:rPr>
            </w:pPr>
          </w:p>
        </w:tc>
        <w:tc>
          <w:tcPr>
            <w:tcW w:w="1420" w:type="dxa"/>
            <w:tcBorders>
              <w:top w:val="nil"/>
              <w:left w:val="nil"/>
              <w:bottom w:val="nil"/>
              <w:right w:val="nil"/>
            </w:tcBorders>
            <w:noWrap/>
            <w:vAlign w:val="center"/>
            <w:hideMark/>
          </w:tcPr>
          <w:p w14:paraId="0F6CBD97"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2</w:t>
            </w:r>
          </w:p>
        </w:tc>
        <w:tc>
          <w:tcPr>
            <w:tcW w:w="820" w:type="dxa"/>
            <w:tcBorders>
              <w:top w:val="nil"/>
              <w:left w:val="nil"/>
              <w:bottom w:val="nil"/>
              <w:right w:val="nil"/>
            </w:tcBorders>
            <w:noWrap/>
            <w:vAlign w:val="center"/>
            <w:hideMark/>
          </w:tcPr>
          <w:p w14:paraId="59B1FB62"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1</w:t>
            </w:r>
          </w:p>
        </w:tc>
        <w:tc>
          <w:tcPr>
            <w:tcW w:w="980" w:type="dxa"/>
            <w:tcBorders>
              <w:top w:val="nil"/>
              <w:left w:val="nil"/>
              <w:bottom w:val="nil"/>
              <w:right w:val="single" w:sz="8" w:space="0" w:color="auto"/>
            </w:tcBorders>
            <w:noWrap/>
            <w:vAlign w:val="center"/>
            <w:hideMark/>
          </w:tcPr>
          <w:p w14:paraId="1C05BAEA"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12</w:t>
            </w:r>
          </w:p>
        </w:tc>
      </w:tr>
      <w:tr w:rsidR="00643350" w14:paraId="5385BAD1" w14:textId="77777777" w:rsidTr="0071264D">
        <w:trPr>
          <w:trHeight w:val="300"/>
        </w:trPr>
        <w:tc>
          <w:tcPr>
            <w:tcW w:w="2891" w:type="dxa"/>
            <w:tcBorders>
              <w:top w:val="nil"/>
              <w:left w:val="single" w:sz="8" w:space="0" w:color="auto"/>
              <w:bottom w:val="nil"/>
              <w:right w:val="nil"/>
            </w:tcBorders>
            <w:vAlign w:val="bottom"/>
            <w:hideMark/>
          </w:tcPr>
          <w:p w14:paraId="17E070FE" w14:textId="77777777" w:rsidR="00643350" w:rsidRDefault="00643350">
            <w:pPr>
              <w:rPr>
                <w:rFonts w:ascii="Calibri" w:hAnsi="Calibri" w:cs="Calibri"/>
                <w:color w:val="000000"/>
                <w:sz w:val="22"/>
                <w:szCs w:val="22"/>
              </w:rPr>
            </w:pPr>
            <w:r>
              <w:rPr>
                <w:rFonts w:ascii="Calibri" w:hAnsi="Calibri" w:cs="Calibri"/>
                <w:color w:val="000000"/>
                <w:sz w:val="22"/>
                <w:szCs w:val="22"/>
              </w:rPr>
              <w:t>Interview study</w:t>
            </w:r>
          </w:p>
        </w:tc>
        <w:tc>
          <w:tcPr>
            <w:tcW w:w="1452" w:type="dxa"/>
            <w:tcBorders>
              <w:top w:val="nil"/>
              <w:left w:val="nil"/>
              <w:bottom w:val="nil"/>
              <w:right w:val="nil"/>
            </w:tcBorders>
            <w:shd w:val="clear" w:color="000000" w:fill="D9D9D9"/>
            <w:noWrap/>
            <w:vAlign w:val="center"/>
            <w:hideMark/>
          </w:tcPr>
          <w:p w14:paraId="185B7480"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9</w:t>
            </w:r>
          </w:p>
        </w:tc>
        <w:tc>
          <w:tcPr>
            <w:tcW w:w="1397" w:type="dxa"/>
            <w:tcBorders>
              <w:top w:val="nil"/>
              <w:left w:val="nil"/>
              <w:bottom w:val="nil"/>
              <w:right w:val="nil"/>
            </w:tcBorders>
            <w:shd w:val="clear" w:color="000000" w:fill="D9D9D9"/>
            <w:noWrap/>
            <w:vAlign w:val="center"/>
            <w:hideMark/>
          </w:tcPr>
          <w:p w14:paraId="07911D22"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9</w:t>
            </w:r>
          </w:p>
        </w:tc>
        <w:tc>
          <w:tcPr>
            <w:tcW w:w="1420" w:type="dxa"/>
            <w:tcBorders>
              <w:top w:val="nil"/>
              <w:left w:val="nil"/>
              <w:bottom w:val="nil"/>
              <w:right w:val="nil"/>
            </w:tcBorders>
            <w:noWrap/>
            <w:vAlign w:val="center"/>
            <w:hideMark/>
          </w:tcPr>
          <w:p w14:paraId="65175187" w14:textId="77777777" w:rsidR="00643350" w:rsidRDefault="00643350">
            <w:pPr>
              <w:jc w:val="center"/>
              <w:rPr>
                <w:rFonts w:ascii="Calibri" w:hAnsi="Calibri" w:cs="Calibri"/>
                <w:color w:val="000000"/>
                <w:sz w:val="22"/>
                <w:szCs w:val="22"/>
              </w:rPr>
            </w:pPr>
          </w:p>
        </w:tc>
        <w:tc>
          <w:tcPr>
            <w:tcW w:w="820" w:type="dxa"/>
            <w:tcBorders>
              <w:top w:val="nil"/>
              <w:left w:val="nil"/>
              <w:bottom w:val="nil"/>
              <w:right w:val="nil"/>
            </w:tcBorders>
            <w:noWrap/>
            <w:vAlign w:val="center"/>
            <w:hideMark/>
          </w:tcPr>
          <w:p w14:paraId="4A9FA061"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1</w:t>
            </w:r>
          </w:p>
        </w:tc>
        <w:tc>
          <w:tcPr>
            <w:tcW w:w="980" w:type="dxa"/>
            <w:tcBorders>
              <w:top w:val="nil"/>
              <w:left w:val="nil"/>
              <w:bottom w:val="nil"/>
              <w:right w:val="single" w:sz="8" w:space="0" w:color="auto"/>
            </w:tcBorders>
            <w:noWrap/>
            <w:vAlign w:val="center"/>
            <w:hideMark/>
          </w:tcPr>
          <w:p w14:paraId="68D87823"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19</w:t>
            </w:r>
          </w:p>
        </w:tc>
      </w:tr>
      <w:tr w:rsidR="00643350" w14:paraId="25C70585" w14:textId="77777777" w:rsidTr="0071264D">
        <w:trPr>
          <w:trHeight w:val="300"/>
        </w:trPr>
        <w:tc>
          <w:tcPr>
            <w:tcW w:w="2891" w:type="dxa"/>
            <w:tcBorders>
              <w:top w:val="nil"/>
              <w:left w:val="single" w:sz="8" w:space="0" w:color="auto"/>
              <w:bottom w:val="nil"/>
              <w:right w:val="nil"/>
            </w:tcBorders>
            <w:vAlign w:val="bottom"/>
            <w:hideMark/>
          </w:tcPr>
          <w:p w14:paraId="4C5CD78A" w14:textId="77777777" w:rsidR="00643350" w:rsidRDefault="00643350">
            <w:pPr>
              <w:rPr>
                <w:rFonts w:ascii="Calibri" w:hAnsi="Calibri" w:cs="Calibri"/>
                <w:color w:val="000000"/>
                <w:sz w:val="22"/>
                <w:szCs w:val="22"/>
              </w:rPr>
            </w:pPr>
            <w:r>
              <w:rPr>
                <w:rFonts w:ascii="Calibri" w:hAnsi="Calibri" w:cs="Calibri"/>
                <w:color w:val="000000"/>
                <w:sz w:val="22"/>
                <w:szCs w:val="22"/>
              </w:rPr>
              <w:t>Participant observation</w:t>
            </w:r>
          </w:p>
        </w:tc>
        <w:tc>
          <w:tcPr>
            <w:tcW w:w="1452" w:type="dxa"/>
            <w:tcBorders>
              <w:top w:val="nil"/>
              <w:left w:val="nil"/>
              <w:bottom w:val="nil"/>
              <w:right w:val="nil"/>
            </w:tcBorders>
            <w:noWrap/>
            <w:vAlign w:val="center"/>
            <w:hideMark/>
          </w:tcPr>
          <w:p w14:paraId="20C5AD64"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1</w:t>
            </w:r>
          </w:p>
        </w:tc>
        <w:tc>
          <w:tcPr>
            <w:tcW w:w="1397" w:type="dxa"/>
            <w:tcBorders>
              <w:top w:val="nil"/>
              <w:left w:val="nil"/>
              <w:bottom w:val="nil"/>
              <w:right w:val="nil"/>
            </w:tcBorders>
            <w:noWrap/>
            <w:vAlign w:val="center"/>
            <w:hideMark/>
          </w:tcPr>
          <w:p w14:paraId="5A998A27" w14:textId="77777777" w:rsidR="00643350" w:rsidRDefault="00643350">
            <w:pPr>
              <w:jc w:val="center"/>
              <w:rPr>
                <w:rFonts w:ascii="Calibri" w:hAnsi="Calibri" w:cs="Calibri"/>
                <w:color w:val="000000"/>
                <w:sz w:val="22"/>
                <w:szCs w:val="22"/>
              </w:rPr>
            </w:pPr>
          </w:p>
        </w:tc>
        <w:tc>
          <w:tcPr>
            <w:tcW w:w="1420" w:type="dxa"/>
            <w:tcBorders>
              <w:top w:val="nil"/>
              <w:left w:val="nil"/>
              <w:bottom w:val="nil"/>
              <w:right w:val="nil"/>
            </w:tcBorders>
            <w:noWrap/>
            <w:vAlign w:val="center"/>
            <w:hideMark/>
          </w:tcPr>
          <w:p w14:paraId="4F55D62E" w14:textId="77777777" w:rsidR="00643350" w:rsidRDefault="00643350">
            <w:pPr>
              <w:jc w:val="center"/>
              <w:rPr>
                <w:sz w:val="20"/>
                <w:szCs w:val="20"/>
              </w:rPr>
            </w:pPr>
          </w:p>
        </w:tc>
        <w:tc>
          <w:tcPr>
            <w:tcW w:w="820" w:type="dxa"/>
            <w:tcBorders>
              <w:top w:val="nil"/>
              <w:left w:val="nil"/>
              <w:bottom w:val="nil"/>
              <w:right w:val="nil"/>
            </w:tcBorders>
            <w:noWrap/>
            <w:vAlign w:val="center"/>
            <w:hideMark/>
          </w:tcPr>
          <w:p w14:paraId="2B067EA6" w14:textId="77777777" w:rsidR="00643350" w:rsidRDefault="00643350">
            <w:pPr>
              <w:jc w:val="center"/>
              <w:rPr>
                <w:sz w:val="20"/>
                <w:szCs w:val="20"/>
              </w:rPr>
            </w:pPr>
          </w:p>
        </w:tc>
        <w:tc>
          <w:tcPr>
            <w:tcW w:w="980" w:type="dxa"/>
            <w:tcBorders>
              <w:top w:val="nil"/>
              <w:left w:val="nil"/>
              <w:bottom w:val="nil"/>
              <w:right w:val="single" w:sz="8" w:space="0" w:color="auto"/>
            </w:tcBorders>
            <w:noWrap/>
            <w:vAlign w:val="center"/>
            <w:hideMark/>
          </w:tcPr>
          <w:p w14:paraId="33357B46"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1</w:t>
            </w:r>
          </w:p>
        </w:tc>
      </w:tr>
      <w:tr w:rsidR="00643350" w14:paraId="1F163AEA" w14:textId="77777777" w:rsidTr="0071264D">
        <w:trPr>
          <w:trHeight w:val="300"/>
        </w:trPr>
        <w:tc>
          <w:tcPr>
            <w:tcW w:w="2891" w:type="dxa"/>
            <w:tcBorders>
              <w:top w:val="nil"/>
              <w:left w:val="single" w:sz="8" w:space="0" w:color="auto"/>
              <w:bottom w:val="nil"/>
              <w:right w:val="nil"/>
            </w:tcBorders>
            <w:vAlign w:val="bottom"/>
            <w:hideMark/>
          </w:tcPr>
          <w:p w14:paraId="5F2B9808" w14:textId="77777777" w:rsidR="00643350" w:rsidRDefault="00643350">
            <w:pPr>
              <w:rPr>
                <w:rFonts w:ascii="Calibri" w:hAnsi="Calibri" w:cs="Calibri"/>
                <w:color w:val="000000"/>
                <w:sz w:val="22"/>
                <w:szCs w:val="22"/>
              </w:rPr>
            </w:pPr>
            <w:r>
              <w:rPr>
                <w:rFonts w:ascii="Calibri" w:hAnsi="Calibri" w:cs="Calibri"/>
                <w:color w:val="000000"/>
                <w:sz w:val="22"/>
                <w:szCs w:val="22"/>
              </w:rPr>
              <w:t>Survey</w:t>
            </w:r>
          </w:p>
        </w:tc>
        <w:tc>
          <w:tcPr>
            <w:tcW w:w="1452" w:type="dxa"/>
            <w:tcBorders>
              <w:top w:val="nil"/>
              <w:left w:val="nil"/>
              <w:bottom w:val="nil"/>
              <w:right w:val="nil"/>
            </w:tcBorders>
            <w:noWrap/>
            <w:vAlign w:val="center"/>
            <w:hideMark/>
          </w:tcPr>
          <w:p w14:paraId="26744725"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7</w:t>
            </w:r>
          </w:p>
        </w:tc>
        <w:tc>
          <w:tcPr>
            <w:tcW w:w="1397" w:type="dxa"/>
            <w:tcBorders>
              <w:top w:val="nil"/>
              <w:left w:val="nil"/>
              <w:bottom w:val="nil"/>
              <w:right w:val="nil"/>
            </w:tcBorders>
            <w:noWrap/>
            <w:vAlign w:val="center"/>
            <w:hideMark/>
          </w:tcPr>
          <w:p w14:paraId="55DA20EB"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6</w:t>
            </w:r>
          </w:p>
        </w:tc>
        <w:tc>
          <w:tcPr>
            <w:tcW w:w="1420" w:type="dxa"/>
            <w:tcBorders>
              <w:top w:val="nil"/>
              <w:left w:val="nil"/>
              <w:bottom w:val="nil"/>
              <w:right w:val="nil"/>
            </w:tcBorders>
            <w:noWrap/>
            <w:vAlign w:val="center"/>
            <w:hideMark/>
          </w:tcPr>
          <w:p w14:paraId="2C2DC657" w14:textId="77777777" w:rsidR="00643350" w:rsidRDefault="00643350">
            <w:pPr>
              <w:jc w:val="center"/>
              <w:rPr>
                <w:rFonts w:ascii="Calibri" w:hAnsi="Calibri" w:cs="Calibri"/>
                <w:color w:val="000000"/>
                <w:sz w:val="22"/>
                <w:szCs w:val="22"/>
              </w:rPr>
            </w:pPr>
            <w:r>
              <w:rPr>
                <w:rFonts w:ascii="Calibri" w:hAnsi="Calibri" w:cs="Calibri"/>
                <w:color w:val="000000"/>
                <w:sz w:val="22"/>
                <w:szCs w:val="22"/>
              </w:rPr>
              <w:t>3</w:t>
            </w:r>
          </w:p>
        </w:tc>
        <w:tc>
          <w:tcPr>
            <w:tcW w:w="820" w:type="dxa"/>
            <w:tcBorders>
              <w:top w:val="nil"/>
              <w:left w:val="nil"/>
              <w:bottom w:val="nil"/>
              <w:right w:val="nil"/>
            </w:tcBorders>
            <w:noWrap/>
            <w:vAlign w:val="center"/>
            <w:hideMark/>
          </w:tcPr>
          <w:p w14:paraId="731ED1D1" w14:textId="77777777" w:rsidR="00643350" w:rsidRDefault="00643350">
            <w:pPr>
              <w:jc w:val="center"/>
              <w:rPr>
                <w:rFonts w:ascii="Calibri" w:hAnsi="Calibri" w:cs="Calibri"/>
                <w:color w:val="000000"/>
                <w:sz w:val="22"/>
                <w:szCs w:val="22"/>
              </w:rPr>
            </w:pPr>
          </w:p>
        </w:tc>
        <w:tc>
          <w:tcPr>
            <w:tcW w:w="980" w:type="dxa"/>
            <w:tcBorders>
              <w:top w:val="nil"/>
              <w:left w:val="nil"/>
              <w:bottom w:val="nil"/>
              <w:right w:val="single" w:sz="8" w:space="0" w:color="auto"/>
            </w:tcBorders>
            <w:noWrap/>
            <w:vAlign w:val="center"/>
            <w:hideMark/>
          </w:tcPr>
          <w:p w14:paraId="00643372"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16</w:t>
            </w:r>
          </w:p>
        </w:tc>
      </w:tr>
      <w:tr w:rsidR="00643350" w14:paraId="72F922AD" w14:textId="77777777" w:rsidTr="0071264D">
        <w:trPr>
          <w:trHeight w:val="315"/>
        </w:trPr>
        <w:tc>
          <w:tcPr>
            <w:tcW w:w="2891" w:type="dxa"/>
            <w:tcBorders>
              <w:top w:val="single" w:sz="4" w:space="0" w:color="9BC2E6"/>
              <w:left w:val="single" w:sz="8" w:space="0" w:color="auto"/>
              <w:bottom w:val="single" w:sz="8" w:space="0" w:color="auto"/>
              <w:right w:val="nil"/>
            </w:tcBorders>
            <w:shd w:val="clear" w:color="DDEBF7" w:fill="BFBFBF"/>
            <w:vAlign w:val="bottom"/>
            <w:hideMark/>
          </w:tcPr>
          <w:p w14:paraId="32DED3B7" w14:textId="77777777" w:rsidR="00643350" w:rsidRDefault="00643350">
            <w:pPr>
              <w:rPr>
                <w:rFonts w:ascii="Calibri" w:hAnsi="Calibri" w:cs="Calibri"/>
                <w:b/>
                <w:bCs/>
                <w:color w:val="000000"/>
                <w:sz w:val="22"/>
                <w:szCs w:val="22"/>
              </w:rPr>
            </w:pPr>
            <w:r>
              <w:rPr>
                <w:rFonts w:ascii="Calibri" w:hAnsi="Calibri" w:cs="Calibri"/>
                <w:b/>
                <w:bCs/>
                <w:color w:val="000000"/>
                <w:sz w:val="22"/>
                <w:szCs w:val="22"/>
              </w:rPr>
              <w:t>Grand Total</w:t>
            </w:r>
          </w:p>
        </w:tc>
        <w:tc>
          <w:tcPr>
            <w:tcW w:w="1452" w:type="dxa"/>
            <w:tcBorders>
              <w:top w:val="single" w:sz="4" w:space="0" w:color="9BC2E6"/>
              <w:left w:val="nil"/>
              <w:bottom w:val="single" w:sz="8" w:space="0" w:color="auto"/>
              <w:right w:val="nil"/>
            </w:tcBorders>
            <w:shd w:val="clear" w:color="DDEBF7" w:fill="BFBFBF"/>
            <w:noWrap/>
            <w:vAlign w:val="center"/>
            <w:hideMark/>
          </w:tcPr>
          <w:p w14:paraId="296CD7E4"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76</w:t>
            </w:r>
          </w:p>
        </w:tc>
        <w:tc>
          <w:tcPr>
            <w:tcW w:w="1397" w:type="dxa"/>
            <w:tcBorders>
              <w:top w:val="single" w:sz="4" w:space="0" w:color="9BC2E6"/>
              <w:left w:val="nil"/>
              <w:bottom w:val="single" w:sz="8" w:space="0" w:color="auto"/>
              <w:right w:val="nil"/>
            </w:tcBorders>
            <w:shd w:val="clear" w:color="DDEBF7" w:fill="BFBFBF"/>
            <w:noWrap/>
            <w:vAlign w:val="center"/>
            <w:hideMark/>
          </w:tcPr>
          <w:p w14:paraId="4FA31973"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36</w:t>
            </w:r>
          </w:p>
        </w:tc>
        <w:tc>
          <w:tcPr>
            <w:tcW w:w="1420" w:type="dxa"/>
            <w:tcBorders>
              <w:top w:val="single" w:sz="4" w:space="0" w:color="9BC2E6"/>
              <w:left w:val="nil"/>
              <w:bottom w:val="single" w:sz="8" w:space="0" w:color="auto"/>
              <w:right w:val="nil"/>
            </w:tcBorders>
            <w:shd w:val="clear" w:color="DDEBF7" w:fill="BFBFBF"/>
            <w:noWrap/>
            <w:vAlign w:val="center"/>
            <w:hideMark/>
          </w:tcPr>
          <w:p w14:paraId="3F141F87"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8</w:t>
            </w:r>
          </w:p>
        </w:tc>
        <w:tc>
          <w:tcPr>
            <w:tcW w:w="820" w:type="dxa"/>
            <w:tcBorders>
              <w:top w:val="single" w:sz="4" w:space="0" w:color="9BC2E6"/>
              <w:left w:val="nil"/>
              <w:bottom w:val="single" w:sz="8" w:space="0" w:color="auto"/>
              <w:right w:val="nil"/>
            </w:tcBorders>
            <w:shd w:val="clear" w:color="DDEBF7" w:fill="BFBFBF"/>
            <w:noWrap/>
            <w:vAlign w:val="center"/>
            <w:hideMark/>
          </w:tcPr>
          <w:p w14:paraId="020A5437"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4</w:t>
            </w:r>
          </w:p>
        </w:tc>
        <w:tc>
          <w:tcPr>
            <w:tcW w:w="980" w:type="dxa"/>
            <w:tcBorders>
              <w:top w:val="single" w:sz="4" w:space="0" w:color="9BC2E6"/>
              <w:left w:val="nil"/>
              <w:bottom w:val="single" w:sz="8" w:space="0" w:color="auto"/>
              <w:right w:val="single" w:sz="8" w:space="0" w:color="auto"/>
            </w:tcBorders>
            <w:shd w:val="clear" w:color="DDEBF7" w:fill="BFBFBF"/>
            <w:noWrap/>
            <w:vAlign w:val="center"/>
            <w:hideMark/>
          </w:tcPr>
          <w:p w14:paraId="614D711C" w14:textId="77777777" w:rsidR="00643350" w:rsidRDefault="00643350">
            <w:pPr>
              <w:jc w:val="center"/>
              <w:rPr>
                <w:rFonts w:ascii="Calibri" w:hAnsi="Calibri" w:cs="Calibri"/>
                <w:b/>
                <w:bCs/>
                <w:color w:val="000000"/>
                <w:sz w:val="22"/>
                <w:szCs w:val="22"/>
              </w:rPr>
            </w:pPr>
            <w:r>
              <w:rPr>
                <w:rFonts w:ascii="Calibri" w:hAnsi="Calibri" w:cs="Calibri"/>
                <w:b/>
                <w:bCs/>
                <w:color w:val="000000"/>
                <w:sz w:val="22"/>
                <w:szCs w:val="22"/>
              </w:rPr>
              <w:t>124</w:t>
            </w:r>
          </w:p>
        </w:tc>
      </w:tr>
    </w:tbl>
    <w:p w14:paraId="199795BD" w14:textId="1593A045" w:rsidR="0071264D" w:rsidRPr="0097313B" w:rsidRDefault="0071264D" w:rsidP="0071264D">
      <w:pPr>
        <w:jc w:val="both"/>
        <w:rPr>
          <w:b/>
          <w:bCs/>
          <w:lang w:val="en-US"/>
        </w:rPr>
      </w:pPr>
      <w:r w:rsidRPr="0097313B">
        <w:rPr>
          <w:b/>
          <w:bCs/>
          <w:lang w:val="en-US"/>
        </w:rPr>
        <w:t xml:space="preserve">Table </w:t>
      </w:r>
      <w:r>
        <w:rPr>
          <w:b/>
          <w:bCs/>
          <w:lang w:val="en-US"/>
        </w:rPr>
        <w:t>4</w:t>
      </w:r>
      <w:r w:rsidRPr="0097313B">
        <w:rPr>
          <w:b/>
          <w:bCs/>
          <w:lang w:val="en-US"/>
        </w:rPr>
        <w:t xml:space="preserve">. </w:t>
      </w:r>
      <w:r w:rsidR="00A16132" w:rsidRPr="00A16132">
        <w:rPr>
          <w:b/>
          <w:bCs/>
        </w:rPr>
        <w:t>Distribution of research methods across NFIA subject domains</w:t>
      </w:r>
      <w:r w:rsidRPr="00C9060A">
        <w:br/>
      </w:r>
      <w:r w:rsidRPr="00C9060A">
        <w:rPr>
          <w:i/>
          <w:iCs/>
        </w:rPr>
        <w:t xml:space="preserve">Source: </w:t>
      </w:r>
      <w:r w:rsidRPr="008F53EF">
        <w:rPr>
          <w:i/>
          <w:iCs/>
        </w:rPr>
        <w:t>Author’s analysis</w:t>
      </w:r>
    </w:p>
    <w:p w14:paraId="20AB3E31" w14:textId="77777777" w:rsidR="00EF62E0" w:rsidRDefault="00EF62E0" w:rsidP="00EF62E0">
      <w:pPr>
        <w:widowControl w:val="0"/>
        <w:spacing w:after="160"/>
        <w:jc w:val="both"/>
      </w:pPr>
    </w:p>
    <w:p w14:paraId="4F25BD9D" w14:textId="57458279" w:rsidR="00EF62E0" w:rsidRPr="00EF62E0" w:rsidRDefault="00EF62E0" w:rsidP="00EF62E0">
      <w:pPr>
        <w:widowControl w:val="0"/>
        <w:spacing w:after="160"/>
        <w:ind w:firstLine="420"/>
        <w:jc w:val="both"/>
      </w:pPr>
      <w:r w:rsidRPr="00EF62E0">
        <w:t xml:space="preserve">Table </w:t>
      </w:r>
      <w:r>
        <w:t>4</w:t>
      </w:r>
      <w:r w:rsidRPr="00EF62E0">
        <w:t xml:space="preserve"> summarises the distribution of research methods across major NFIA subject domains, highlighting clear methodological preferences within different strands of the literature. Archival and statistical analyses constitute the most frequently used approach overall, particularly within CSR, ESG and sustainability assurance research. This dominance reflects the increasing availability and standardisation of non-financial disclosure datasets in recent years, which has enabled large-sample quantitative analysis in these domains. In contrast, archival methods are used far less extensively in performance audit studies, where comparable large-scale datasets are less readily available.</w:t>
      </w:r>
    </w:p>
    <w:p w14:paraId="75E81A95" w14:textId="77777777" w:rsidR="00EF62E0" w:rsidRPr="00EF62E0" w:rsidRDefault="00EF62E0" w:rsidP="00EF62E0">
      <w:pPr>
        <w:widowControl w:val="0"/>
        <w:spacing w:after="160"/>
        <w:ind w:firstLine="420"/>
        <w:jc w:val="both"/>
      </w:pPr>
      <w:r w:rsidRPr="00EF62E0">
        <w:t>Performance audit research exhibits a stronger reliance on qualitative methodologies, most notably case studies, interviews and document or textual analysis. These approaches are well suited to examining audit processes, institutional contexts and organisational practices that are often embedded within specific public sector settings. CSR, ESG and sustainability studies also employ qualitative methods, including case-based and interview-based designs, although these are more evenly balanced with quantitative approaches than in the performance audit literature.</w:t>
      </w:r>
    </w:p>
    <w:p w14:paraId="6450AB35" w14:textId="77777777" w:rsidR="00EF62E0" w:rsidRDefault="00EF62E0" w:rsidP="00EF62E0">
      <w:pPr>
        <w:widowControl w:val="0"/>
        <w:spacing w:after="160"/>
        <w:ind w:firstLine="420"/>
        <w:jc w:val="both"/>
      </w:pPr>
      <w:r w:rsidRPr="00EF62E0">
        <w:t>Experimental and quasi-experimental designs appear primarily within the CSR and sustainability domain, with limited application to carbon and other NFIA areas, while survey-based studies are distributed across both CSR/ESG and performance audit research. Overall, the table indicates that the empirical NFIA literature draws on a diverse mix of qualitative and quantitative methods, with methodological choices broadly aligned with data availability and the analytical demands of different subject domains.</w:t>
      </w:r>
    </w:p>
    <w:p w14:paraId="163FE497" w14:textId="0162F610" w:rsidR="008C0293" w:rsidRPr="00EF62E0" w:rsidRDefault="008C0293" w:rsidP="00EF62E0">
      <w:pPr>
        <w:widowControl w:val="0"/>
        <w:spacing w:after="160"/>
        <w:ind w:firstLine="420"/>
        <w:jc w:val="both"/>
      </w:pPr>
      <w:r w:rsidRPr="008C0293">
        <w:t xml:space="preserve">Taken together, these descriptive results indicate that empirical NFIA research has evolved from an early focus on performance auditing within public sector contexts towards a more </w:t>
      </w:r>
      <w:r w:rsidRPr="008C0293">
        <w:lastRenderedPageBreak/>
        <w:t>diverse and methodologically plural field, increasingly dominated by CSR, ESG and sustainability assurance studies across a wider range of institutional settings.</w:t>
      </w:r>
    </w:p>
    <w:p w14:paraId="740A8052" w14:textId="77777777" w:rsidR="004F60A2" w:rsidRPr="00EB53C9" w:rsidRDefault="004F60A2" w:rsidP="00EB53C9">
      <w:pPr>
        <w:widowControl w:val="0"/>
        <w:spacing w:after="160"/>
        <w:jc w:val="both"/>
      </w:pPr>
    </w:p>
    <w:p w14:paraId="4D0BAD34" w14:textId="77777777" w:rsidR="007C1E62" w:rsidRPr="002344FD" w:rsidRDefault="007C1E62">
      <w:pPr>
        <w:spacing w:after="160" w:line="278" w:lineRule="auto"/>
        <w:rPr>
          <w:i/>
          <w:iCs/>
        </w:rPr>
      </w:pPr>
      <w:r w:rsidRPr="002344FD">
        <w:rPr>
          <w:i/>
          <w:iCs/>
        </w:rPr>
        <w:br w:type="page"/>
      </w:r>
    </w:p>
    <w:p w14:paraId="69B53B5A" w14:textId="77777777" w:rsidR="002344FD" w:rsidRDefault="002344FD" w:rsidP="00FA1126">
      <w:pPr>
        <w:jc w:val="both"/>
        <w:rPr>
          <w:i/>
          <w:iCs/>
          <w:highlight w:val="cyan"/>
        </w:rPr>
        <w:sectPr w:rsidR="002344FD" w:rsidSect="007C1E62">
          <w:pgSz w:w="11906" w:h="16838"/>
          <w:pgMar w:top="1440" w:right="1440" w:bottom="1440" w:left="1440" w:header="851" w:footer="992" w:gutter="0"/>
          <w:cols w:space="425"/>
          <w:docGrid w:type="lines" w:linePitch="326"/>
        </w:sectPr>
      </w:pPr>
    </w:p>
    <w:p w14:paraId="59053906" w14:textId="3F44CA24" w:rsidR="00873C97" w:rsidRPr="00FA1126" w:rsidRDefault="00A03371" w:rsidP="00FA1126">
      <w:pPr>
        <w:jc w:val="both"/>
      </w:pPr>
      <w:r w:rsidRPr="00A03371">
        <w:rPr>
          <w:i/>
          <w:iCs/>
          <w:highlight w:val="cyan"/>
        </w:rPr>
        <w:lastRenderedPageBreak/>
        <w:t>Bibliometric Results</w:t>
      </w:r>
    </w:p>
    <w:p w14:paraId="074C1302" w14:textId="14C5AFBB" w:rsidR="00612FFB" w:rsidRPr="008F53EF" w:rsidRDefault="00FA600F" w:rsidP="00862CAE">
      <w:pPr>
        <w:pStyle w:val="ListParagraph"/>
        <w:ind w:left="360" w:firstLine="491"/>
        <w:jc w:val="both"/>
      </w:pPr>
      <w:r>
        <w:t xml:space="preserve"> </w:t>
      </w:r>
    </w:p>
    <w:p w14:paraId="13706E69" w14:textId="77777777" w:rsidR="00EE23F5" w:rsidRDefault="00EE23F5" w:rsidP="00EE23F5">
      <w:r>
        <w:rPr>
          <w:noProof/>
        </w:rPr>
        <w:drawing>
          <wp:inline distT="0" distB="0" distL="0" distR="0" wp14:anchorId="2FB6854D" wp14:editId="45F6B2D1">
            <wp:extent cx="8048847" cy="1781950"/>
            <wp:effectExtent l="0" t="0" r="0" b="8890"/>
            <wp:docPr id="638083172" name="Picture 1" descr="A close-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3172" name="Picture 1" descr="A close-up of a network&#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3973" b="28538"/>
                    <a:stretch>
                      <a:fillRect/>
                    </a:stretch>
                  </pic:blipFill>
                  <pic:spPr bwMode="auto">
                    <a:xfrm>
                      <a:off x="0" y="0"/>
                      <a:ext cx="8134417" cy="1800894"/>
                    </a:xfrm>
                    <a:prstGeom prst="rect">
                      <a:avLst/>
                    </a:prstGeom>
                    <a:noFill/>
                    <a:ln>
                      <a:noFill/>
                    </a:ln>
                    <a:extLst>
                      <a:ext uri="{53640926-AAD7-44D8-BBD7-CCE9431645EC}">
                        <a14:shadowObscured xmlns:a14="http://schemas.microsoft.com/office/drawing/2010/main"/>
                      </a:ext>
                    </a:extLst>
                  </pic:spPr>
                </pic:pic>
              </a:graphicData>
            </a:graphic>
          </wp:inline>
        </w:drawing>
      </w:r>
    </w:p>
    <w:p w14:paraId="51D0CA9F" w14:textId="51FA1359" w:rsidR="00BB3A39" w:rsidRDefault="00BB3A39" w:rsidP="00EE23F5">
      <w:r w:rsidRPr="00AF7A7E">
        <w:rPr>
          <w:noProof/>
        </w:rPr>
        <w:drawing>
          <wp:inline distT="0" distB="0" distL="0" distR="0" wp14:anchorId="01C51228" wp14:editId="6BA82780">
            <wp:extent cx="8038214" cy="2811795"/>
            <wp:effectExtent l="0" t="0" r="1270" b="7620"/>
            <wp:docPr id="760322046" name="Picture 1" descr="A blurry image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2046" name="Picture 1" descr="A blurry image of text&#10;&#10;AI-generated content may be incorrect."/>
                    <pic:cNvPicPr/>
                  </pic:nvPicPr>
                  <pic:blipFill rotWithShape="1">
                    <a:blip r:embed="rId10"/>
                    <a:srcRect t="12282" b="5047"/>
                    <a:stretch>
                      <a:fillRect/>
                    </a:stretch>
                  </pic:blipFill>
                  <pic:spPr bwMode="auto">
                    <a:xfrm>
                      <a:off x="0" y="0"/>
                      <a:ext cx="8066572" cy="2821715"/>
                    </a:xfrm>
                    <a:prstGeom prst="rect">
                      <a:avLst/>
                    </a:prstGeom>
                    <a:ln>
                      <a:noFill/>
                    </a:ln>
                    <a:extLst>
                      <a:ext uri="{53640926-AAD7-44D8-BBD7-CCE9431645EC}">
                        <a14:shadowObscured xmlns:a14="http://schemas.microsoft.com/office/drawing/2010/main"/>
                      </a:ext>
                    </a:extLst>
                  </pic:spPr>
                </pic:pic>
              </a:graphicData>
            </a:graphic>
          </wp:inline>
        </w:drawing>
      </w:r>
    </w:p>
    <w:p w14:paraId="5B4874FB" w14:textId="27C7A151" w:rsidR="00EE23F5" w:rsidRDefault="00EE23F5" w:rsidP="00EE23F5">
      <w:r w:rsidRPr="0035393E">
        <w:rPr>
          <w:b/>
          <w:bCs/>
        </w:rPr>
        <w:t xml:space="preserve">Figure </w:t>
      </w:r>
      <w:r w:rsidR="005F6308">
        <w:rPr>
          <w:b/>
          <w:bCs/>
        </w:rPr>
        <w:t>3</w:t>
      </w:r>
      <w:r w:rsidRPr="0035393E">
        <w:rPr>
          <w:b/>
          <w:bCs/>
        </w:rPr>
        <w:t>.</w:t>
      </w:r>
      <w:r w:rsidRPr="0035393E">
        <w:t xml:space="preserve"> </w:t>
      </w:r>
      <w:r w:rsidR="00B7709F" w:rsidRPr="0035393E">
        <w:t xml:space="preserve">Internal citation network </w:t>
      </w:r>
      <w:r w:rsidR="00B7709F">
        <w:t>and d</w:t>
      </w:r>
      <w:r w:rsidR="006635CF" w:rsidRPr="00F636F7">
        <w:t>ensity visualisation of influential NFIA studies based on within-corpus citations</w:t>
      </w:r>
      <w:r w:rsidR="006635CF">
        <w:br/>
      </w:r>
      <w:r w:rsidR="006635CF" w:rsidRPr="00C9060A">
        <w:rPr>
          <w:i/>
          <w:iCs/>
        </w:rPr>
        <w:t xml:space="preserve">Source: </w:t>
      </w:r>
      <w:r w:rsidR="006635CF" w:rsidRPr="008F53EF">
        <w:rPr>
          <w:i/>
          <w:iCs/>
        </w:rPr>
        <w:t>Author’s analysis</w:t>
      </w:r>
    </w:p>
    <w:p w14:paraId="4CD730D1" w14:textId="73E7D604" w:rsidR="004003CE" w:rsidRPr="004003CE" w:rsidRDefault="004003CE" w:rsidP="00FF6436">
      <w:pPr>
        <w:widowControl w:val="0"/>
        <w:spacing w:after="160"/>
        <w:ind w:firstLine="420"/>
        <w:jc w:val="both"/>
      </w:pPr>
      <w:r w:rsidRPr="004003CE">
        <w:lastRenderedPageBreak/>
        <w:t>Figure 3 presents the internal citation structure of the NFIA literature based on within-corpus references. The upper panel visualises the internal citation network among the 124 studies included in the review, identifying which papers cite others within the same dataset. Of these, 114 studies exhibit at least one internal citation link, with only a small number of isolates. This dense pattern of interconnection indicates a relatively coherent research field, characterised by shared reference points and cumulative scholarly development rather than fragmented or isolated lines of inquiry.</w:t>
      </w:r>
      <w:r w:rsidR="00FF6436">
        <w:t xml:space="preserve"> </w:t>
      </w:r>
      <w:r w:rsidRPr="004003CE">
        <w:t>The lower panel presents a density visualisation highlighting the most influential studies within the corpus. The brightest and most concentrated area of the map centres on O’Dwyer (2011), Perego and Kolk (2012), and Casey and Grenier (2015), indicating that these works are the most consistently cited across the dataset. Together, these studies function as intellectual anchors for the NFIA literature, shaping subsequent research on sustainability assurance, accountability, and the institutionalisation of non-financial audit practices.</w:t>
      </w:r>
    </w:p>
    <w:p w14:paraId="3C3A4D35" w14:textId="0BABF55E" w:rsidR="000E33A1" w:rsidRDefault="004003CE" w:rsidP="00931ED4">
      <w:pPr>
        <w:widowControl w:val="0"/>
        <w:spacing w:after="160"/>
        <w:ind w:firstLine="420"/>
        <w:jc w:val="both"/>
      </w:pPr>
      <w:r w:rsidRPr="004003CE">
        <w:t>O’Dwyer (2011) provides a detailed, practitioner-level account of the emergence of sustainability assurance, examining how audit firms attempt to construct auditability in the absence of stable standards. Perego and Kolk (2012) analyse the global diffusion of sustainability assurance among multinational corporations, documenting substantial variation in adoption and highlighting the potential for symbolic or decoupled accountability practices. Casey and Grenier (2015) focus on the United States context, offering a comprehensive explanation for the comparatively low demand for CSR assurance while demonstrating significant capital market benefits for firms that do obtain assurance, particularly from accounting providers.</w:t>
      </w:r>
      <w:r w:rsidR="00931ED4" w:rsidRPr="00931ED4">
        <w:t xml:space="preserve"> </w:t>
      </w:r>
      <w:r w:rsidR="00931ED4" w:rsidRPr="00931ED4">
        <w:t>Together, these studies constitute the most influential empirical reference points within the NFIA corpus and provide a common intellectual foundation for subsequent research, which is examined in greater detail in the thematic and narrative synthesis that follows.</w:t>
      </w:r>
    </w:p>
    <w:p w14:paraId="710842E1" w14:textId="77777777" w:rsidR="00A72A3F" w:rsidRPr="00A72A3F" w:rsidRDefault="00A72A3F" w:rsidP="00A72A3F">
      <w:pPr>
        <w:widowControl w:val="0"/>
        <w:spacing w:after="160"/>
        <w:ind w:firstLine="420"/>
        <w:jc w:val="both"/>
      </w:pPr>
      <w:r w:rsidRPr="00A72A3F">
        <w:t>A comparison between the internal citation network and the broader reference patterns in the corpus indicates a clear distinction between within-field consolidation and external intellectual anchoring. While the internal network highlights a small number of influential empirical NFIA studies, the wider reference base remains heavily oriented towards foundational works outside the corpus, most notably Power (1997), which is cited by almost half of the reviewed studies. This continued reliance underscores the enduring influence of the original audit society thesis in structuring NFIA research. In addition, practitioner-oriented publications—particularly major KPMG reports—are cited extensively across the corpus, suggesting that developments in non-financial assurance practice have often preceded academic theorisation, with scholarly research responding to, rather than leading, emerging audit and assurance challenges.</w:t>
      </w:r>
    </w:p>
    <w:p w14:paraId="67AF77A2" w14:textId="77777777" w:rsidR="00A72A3F" w:rsidRDefault="00A72A3F" w:rsidP="00931ED4">
      <w:pPr>
        <w:widowControl w:val="0"/>
        <w:spacing w:after="160"/>
        <w:ind w:firstLine="420"/>
        <w:jc w:val="both"/>
      </w:pPr>
    </w:p>
    <w:p w14:paraId="0FD9ADE5" w14:textId="2CF0F4AC" w:rsidR="00931ED4" w:rsidRDefault="00931ED4">
      <w:pPr>
        <w:spacing w:after="160" w:line="278" w:lineRule="auto"/>
      </w:pPr>
      <w:r>
        <w:br w:type="page"/>
      </w:r>
    </w:p>
    <w:p w14:paraId="04A52CAC" w14:textId="77777777" w:rsidR="00701F07" w:rsidRDefault="00701F07" w:rsidP="00701F07">
      <w:r>
        <w:rPr>
          <w:noProof/>
        </w:rPr>
        <w:lastRenderedPageBreak/>
        <w:drawing>
          <wp:inline distT="0" distB="0" distL="0" distR="0" wp14:anchorId="17B50268" wp14:editId="293667C3">
            <wp:extent cx="8863330" cy="4937228"/>
            <wp:effectExtent l="0" t="0" r="0" b="0"/>
            <wp:docPr id="186164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687"/>
                    <a:stretch>
                      <a:fillRect/>
                    </a:stretch>
                  </pic:blipFill>
                  <pic:spPr bwMode="auto">
                    <a:xfrm>
                      <a:off x="0" y="0"/>
                      <a:ext cx="8863330" cy="4937228"/>
                    </a:xfrm>
                    <a:prstGeom prst="rect">
                      <a:avLst/>
                    </a:prstGeom>
                    <a:noFill/>
                    <a:ln>
                      <a:noFill/>
                    </a:ln>
                    <a:extLst>
                      <a:ext uri="{53640926-AAD7-44D8-BBD7-CCE9431645EC}">
                        <a14:shadowObscured xmlns:a14="http://schemas.microsoft.com/office/drawing/2010/main"/>
                      </a:ext>
                    </a:extLst>
                  </pic:spPr>
                </pic:pic>
              </a:graphicData>
            </a:graphic>
          </wp:inline>
        </w:drawing>
      </w:r>
    </w:p>
    <w:p w14:paraId="4FAF6B52" w14:textId="38D56832" w:rsidR="00701F07" w:rsidRDefault="00701F07" w:rsidP="00701F07">
      <w:r w:rsidRPr="00A17079">
        <w:rPr>
          <w:b/>
          <w:bCs/>
        </w:rPr>
        <w:t xml:space="preserve">Figure </w:t>
      </w:r>
      <w:r>
        <w:rPr>
          <w:b/>
          <w:bCs/>
        </w:rPr>
        <w:t>4</w:t>
      </w:r>
      <w:r w:rsidRPr="00A17079">
        <w:rPr>
          <w:b/>
          <w:bCs/>
        </w:rPr>
        <w:t>.</w:t>
      </w:r>
      <w:r w:rsidRPr="00917ECD">
        <w:t xml:space="preserve"> </w:t>
      </w:r>
      <w:r w:rsidRPr="00926911">
        <w:t>Network visualisation of keyword co-occurrence in the NFIA literature</w:t>
      </w:r>
    </w:p>
    <w:p w14:paraId="6F9477F7" w14:textId="2DCB369E" w:rsidR="00E13871" w:rsidRDefault="00E13871" w:rsidP="00701F07">
      <w:r w:rsidRPr="00C9060A">
        <w:rPr>
          <w:i/>
          <w:iCs/>
        </w:rPr>
        <w:t xml:space="preserve">Source: </w:t>
      </w:r>
      <w:r w:rsidRPr="008F53EF">
        <w:rPr>
          <w:i/>
          <w:iCs/>
        </w:rPr>
        <w:t>Author’s analysis</w:t>
      </w:r>
    </w:p>
    <w:p w14:paraId="32E73317" w14:textId="77777777" w:rsidR="00931ED4" w:rsidRPr="001B495B" w:rsidRDefault="00931ED4" w:rsidP="00931ED4">
      <w:pPr>
        <w:widowControl w:val="0"/>
        <w:spacing w:after="160"/>
        <w:ind w:firstLine="420"/>
        <w:jc w:val="both"/>
      </w:pPr>
    </w:p>
    <w:p w14:paraId="6E0130B9" w14:textId="77777777" w:rsidR="003C1875" w:rsidRDefault="003C1875" w:rsidP="00BA132E">
      <w:pPr>
        <w:spacing w:after="160" w:line="278" w:lineRule="auto"/>
        <w:ind w:firstLine="420"/>
        <w:rPr>
          <w:noProof/>
        </w:rPr>
        <w:sectPr w:rsidR="003C1875" w:rsidSect="002344FD">
          <w:pgSz w:w="16838" w:h="11906" w:orient="landscape"/>
          <w:pgMar w:top="1440" w:right="1440" w:bottom="1440" w:left="1440" w:header="851" w:footer="992" w:gutter="0"/>
          <w:cols w:space="425"/>
          <w:docGrid w:type="linesAndChars" w:linePitch="326"/>
        </w:sectPr>
      </w:pPr>
    </w:p>
    <w:p w14:paraId="11DA2505" w14:textId="32025525" w:rsidR="007B5EBB" w:rsidRPr="00BA132E" w:rsidRDefault="007B5EBB" w:rsidP="00BA132E">
      <w:pPr>
        <w:spacing w:after="160" w:line="278" w:lineRule="auto"/>
        <w:ind w:firstLine="420"/>
        <w:rPr>
          <w:noProof/>
        </w:rPr>
      </w:pPr>
      <w:r w:rsidRPr="00BA132E">
        <w:rPr>
          <w:noProof/>
        </w:rPr>
        <w:lastRenderedPageBreak/>
        <w:t>Figure 4 presents a network visualisation of keyword co-occurrence in the NFIA literature, constructed using VOSviewer. To ensure conceptual clarity and reduce lexical fragmentation, the map is based on a purpose-built thesaurus developed through a staged refinement of the full-count co-occurrence matrix. Full counting was employed to retain only substantively meaningful terms, yielding an initial set of 276 frequently occurring items and excluding low-frequency or incidental expressions at an early stage.</w:t>
      </w:r>
    </w:p>
    <w:p w14:paraId="1C2EB134" w14:textId="02B059A5" w:rsidR="007B5EBB" w:rsidRPr="00BA132E" w:rsidRDefault="007B5EBB" w:rsidP="00BA132E">
      <w:pPr>
        <w:spacing w:after="160" w:line="278" w:lineRule="auto"/>
        <w:ind w:firstLine="420"/>
        <w:rPr>
          <w:noProof/>
        </w:rPr>
      </w:pPr>
      <w:r w:rsidRPr="00BA132E">
        <w:rPr>
          <w:noProof/>
        </w:rPr>
        <w:t>The thesaurus construction involved consolidating synonymous or closely related terms into higher-order conceptual categories. For example, variants referring to organisational form (e.g. “accounting firm”, “audit firm”, “listed firm”) were normalised to “firm”, while assurance-related expressions (e.g. “assurance engagement”, “assurance service”, “assurance statement”) were recoded under the single concept of “assurance”. Similar consolidation was applied to audit-related terminology, sustainability and CSR concepts, and institutional actors such as supreme audit institutions. At the same time, noise reduction was undertaken by removing methodological descriptors, generic academic terms, and country-specific references, which were abstracted to the broader category of “jurisdiction” where relevant. These decisions necessarily involved analytical judgement and reflect an intentional shift away from surface-level lexical variation towards a concept-focused representation of the field.</w:t>
      </w:r>
    </w:p>
    <w:p w14:paraId="7DE2BFDD" w14:textId="77777777" w:rsidR="009A3C39" w:rsidRDefault="007B5EBB" w:rsidP="00BA132E">
      <w:pPr>
        <w:spacing w:after="160" w:line="278" w:lineRule="auto"/>
        <w:ind w:firstLine="420"/>
        <w:rPr>
          <w:b/>
          <w:bCs/>
        </w:rPr>
      </w:pPr>
      <w:r w:rsidRPr="00BA132E">
        <w:rPr>
          <w:noProof/>
        </w:rPr>
        <w:t>The resulting network visualisation confirms earlier descriptive findings that NFIA constitutes a relatively unified body of literature. Despite spanning diverse subject areas—including performance auditing, CSR and ESG assurance, and sustainability assurance—the field converges around a shared conceptual core centred on audit, assurance, firms, auditors, reporting quality and governance. Differences across clusters are primarily matters of emphasis rather than separation: performance audit research foregrounds public-sector accountability and institutional oversight, CSR and sustainability studies emphasise organisational transparency and stakeholder expectations, and auditor-focused work highlights professional identity and expertise. Importantly, these clusters remain densely interconnected, indicating that NFIA research is structured around common audit and assurance logics rather than fragmented thematic silos.</w:t>
      </w:r>
      <w:r w:rsidRPr="007B5EBB">
        <w:rPr>
          <w:b/>
          <w:bCs/>
        </w:rPr>
        <w:t xml:space="preserve"> </w:t>
      </w:r>
    </w:p>
    <w:p w14:paraId="54EA4DC8" w14:textId="271F7BF2" w:rsidR="0039582D" w:rsidRPr="009A3C39" w:rsidRDefault="009A3C39" w:rsidP="00BA132E">
      <w:pPr>
        <w:spacing w:after="160" w:line="278" w:lineRule="auto"/>
        <w:ind w:firstLine="420"/>
      </w:pPr>
      <w:r w:rsidRPr="009A3C39">
        <w:t xml:space="preserve">Taken together, the bibliometric results provide a structured overview of the intellectual organisation of the NFIA literature, revealing patterns of influence, conceptual proximity and thematic concentration. However, by their nature, citation networks and keyword co-occurrence maps remain descriptive and relational: they indicate who is influential and which concepts tend to appear together, but they cannot reveal how these concepts are substantively mobilised, interpreted or contested within empirical studies. Nor do they capture the practices, assumptions and problem framings that underpin these surface-level regularities. To move beyond mapping towards analytical depth, the next stage of the review adopts the “accounting complex” framework developed by Miller and Power (2013) as a sensitising device. This framework is used to guide inductive, content-based coding of the full texts, enabling a closer examination of how NFIA research constructs auditability, legitimacy, governance and professional roles in practice. This narrative synthesis therefore shifts the </w:t>
      </w:r>
      <w:r w:rsidRPr="009A3C39">
        <w:lastRenderedPageBreak/>
        <w:t>focus from bibliometric patterns to the substantive concerns and empirical problematics that animate the literature beneath these high-level observations.</w:t>
      </w:r>
      <w:r w:rsidR="0039582D" w:rsidRPr="009A3C39">
        <w:br w:type="page"/>
      </w:r>
    </w:p>
    <w:p w14:paraId="512698E9" w14:textId="77777777" w:rsidR="00AD4567" w:rsidRPr="009A3C39" w:rsidRDefault="00AD4567" w:rsidP="00AF6699">
      <w:pPr>
        <w:jc w:val="center"/>
        <w:sectPr w:rsidR="00AD4567" w:rsidRPr="009A3C39" w:rsidSect="003C1875">
          <w:pgSz w:w="11906" w:h="16838"/>
          <w:pgMar w:top="1440" w:right="1440" w:bottom="1440" w:left="1440" w:header="851" w:footer="992" w:gutter="0"/>
          <w:cols w:space="425"/>
          <w:docGrid w:linePitch="326"/>
        </w:sectPr>
      </w:pPr>
    </w:p>
    <w:p w14:paraId="185BC2D9" w14:textId="5B6398E2" w:rsidR="00575309" w:rsidRDefault="00933E37" w:rsidP="00575309">
      <w:pPr>
        <w:rPr>
          <w:i/>
          <w:iCs/>
        </w:rPr>
      </w:pPr>
      <w:r w:rsidRPr="00933E37">
        <w:rPr>
          <w:i/>
          <w:iCs/>
        </w:rPr>
        <w:lastRenderedPageBreak/>
        <w:t>Analytical framework and thematic development</w:t>
      </w:r>
    </w:p>
    <w:p w14:paraId="63B58406" w14:textId="77777777" w:rsidR="00933E37" w:rsidRPr="00933E37" w:rsidRDefault="00933E37" w:rsidP="00575309"/>
    <w:p w14:paraId="350C2EA0" w14:textId="5F22714C" w:rsidR="00575309" w:rsidRDefault="002F06B0" w:rsidP="00575309">
      <w:pPr>
        <w:widowControl w:val="0"/>
        <w:spacing w:after="160"/>
        <w:ind w:firstLine="420"/>
        <w:jc w:val="both"/>
      </w:pPr>
      <w:r w:rsidRPr="002F06B0">
        <w:t>The analytical core of this review is grounded in the concept of the accounting complex developed by Miller and Power (2013). Although formulated to explain the expanding role of accounting more broadly, rather than auditing alone, the accounting complex provides a particularly appropriate framework for analysing the NFIA literature. At its core, the framework conceptualises accounting and auditing as interconnected practices that intervene in social and economic life by linking calculation, evaluation, governance and professional expertise. This makes it well suited to interrogating the keyword co-occurrence patterns identified in the bibliometric analysis, which by definition map the relational connections between audit and a wide range of adjacent domains, largely within and at the margins of accounting. Mobilising the accounting complex as a sensitising device allows the review to move beyond surface-level thematic proximity and examine how NFIA studies articulate both the broader societal reach of audit and the concrete mechanisms through which audit and assurance operate in practice.</w:t>
      </w:r>
    </w:p>
    <w:p w14:paraId="55E0115A" w14:textId="77777777" w:rsidR="00D31EA7" w:rsidRPr="00D31EA7" w:rsidRDefault="00D31EA7" w:rsidP="00D31EA7">
      <w:pPr>
        <w:widowControl w:val="0"/>
        <w:spacing w:after="160"/>
        <w:ind w:firstLine="420"/>
        <w:jc w:val="both"/>
      </w:pPr>
      <w:r w:rsidRPr="00D31EA7">
        <w:t xml:space="preserve">Viewed through the lens of the accounting complex, the keyword co-occurrence network displays a structure that plausibly aligns with the four interrelated roles identified by Miller and Power (2013). Although these roles are neither discrete nor mutually exclusive, distinct clusters foreground particular dimensions of accounting and audit intervention. The red cluster, centred on </w:t>
      </w:r>
      <w:r w:rsidRPr="00D31EA7">
        <w:rPr>
          <w:i/>
          <w:iCs/>
        </w:rPr>
        <w:t>profession</w:t>
      </w:r>
      <w:r w:rsidRPr="00D31EA7">
        <w:t xml:space="preserve">, </w:t>
      </w:r>
      <w:r w:rsidRPr="00D31EA7">
        <w:rPr>
          <w:i/>
          <w:iCs/>
        </w:rPr>
        <w:t>auditor</w:t>
      </w:r>
      <w:r w:rsidRPr="00D31EA7">
        <w:t xml:space="preserve">, </w:t>
      </w:r>
      <w:r w:rsidRPr="00D31EA7">
        <w:rPr>
          <w:i/>
          <w:iCs/>
        </w:rPr>
        <w:t>accountant</w:t>
      </w:r>
      <w:r w:rsidRPr="00D31EA7">
        <w:t xml:space="preserve">, </w:t>
      </w:r>
      <w:r w:rsidRPr="00D31EA7">
        <w:rPr>
          <w:i/>
          <w:iCs/>
        </w:rPr>
        <w:t>trust</w:t>
      </w:r>
      <w:r w:rsidRPr="00D31EA7">
        <w:t xml:space="preserve">, </w:t>
      </w:r>
      <w:r w:rsidRPr="00D31EA7">
        <w:rPr>
          <w:i/>
          <w:iCs/>
        </w:rPr>
        <w:t>logic</w:t>
      </w:r>
      <w:r w:rsidRPr="00D31EA7">
        <w:t xml:space="preserve"> and </w:t>
      </w:r>
      <w:r w:rsidRPr="00D31EA7">
        <w:rPr>
          <w:i/>
          <w:iCs/>
        </w:rPr>
        <w:t>socialisation</w:t>
      </w:r>
      <w:r w:rsidRPr="00D31EA7">
        <w:t xml:space="preserve">, aligns most closely with subjectivising processes, emphasising the construction of professional identity, expertise and credibility. A second cluster, dominated by terms such as </w:t>
      </w:r>
      <w:r w:rsidRPr="00D31EA7">
        <w:rPr>
          <w:i/>
          <w:iCs/>
        </w:rPr>
        <w:t>supreme audit institution</w:t>
      </w:r>
      <w:r w:rsidRPr="00D31EA7">
        <w:t xml:space="preserve">, </w:t>
      </w:r>
      <w:r w:rsidRPr="00D31EA7">
        <w:rPr>
          <w:i/>
          <w:iCs/>
        </w:rPr>
        <w:t>government</w:t>
      </w:r>
      <w:r w:rsidRPr="00D31EA7">
        <w:t xml:space="preserve">, </w:t>
      </w:r>
      <w:r w:rsidRPr="00D31EA7">
        <w:rPr>
          <w:i/>
          <w:iCs/>
        </w:rPr>
        <w:t>accountability</w:t>
      </w:r>
      <w:r w:rsidRPr="00D31EA7">
        <w:t xml:space="preserve">, </w:t>
      </w:r>
      <w:r w:rsidRPr="00D31EA7">
        <w:rPr>
          <w:i/>
          <w:iCs/>
        </w:rPr>
        <w:t>jurisdiction</w:t>
      </w:r>
      <w:r w:rsidRPr="00D31EA7">
        <w:t xml:space="preserve"> and </w:t>
      </w:r>
      <w:r w:rsidRPr="00D31EA7">
        <w:rPr>
          <w:i/>
          <w:iCs/>
        </w:rPr>
        <w:t>implementation</w:t>
      </w:r>
      <w:r w:rsidRPr="00D31EA7">
        <w:t xml:space="preserve">, reflects territorialising dynamics through which auditing delineates governable spaces and institutional domains. The blue cluster, organised around </w:t>
      </w:r>
      <w:r w:rsidRPr="00D31EA7">
        <w:rPr>
          <w:i/>
          <w:iCs/>
        </w:rPr>
        <w:t>sustainability</w:t>
      </w:r>
      <w:r w:rsidRPr="00D31EA7">
        <w:t xml:space="preserve">, </w:t>
      </w:r>
      <w:r w:rsidRPr="00D31EA7">
        <w:rPr>
          <w:i/>
          <w:iCs/>
        </w:rPr>
        <w:t>corporate social responsibility</w:t>
      </w:r>
      <w:r w:rsidRPr="00D31EA7">
        <w:t xml:space="preserve">, </w:t>
      </w:r>
      <w:r w:rsidRPr="00D31EA7">
        <w:rPr>
          <w:i/>
          <w:iCs/>
        </w:rPr>
        <w:t>stakeholder</w:t>
      </w:r>
      <w:r w:rsidRPr="00D31EA7">
        <w:t xml:space="preserve">, </w:t>
      </w:r>
      <w:r w:rsidRPr="00D31EA7">
        <w:rPr>
          <w:i/>
          <w:iCs/>
        </w:rPr>
        <w:t>engagement</w:t>
      </w:r>
      <w:r w:rsidRPr="00D31EA7">
        <w:t xml:space="preserve"> and </w:t>
      </w:r>
      <w:r w:rsidRPr="00D31EA7">
        <w:rPr>
          <w:i/>
          <w:iCs/>
        </w:rPr>
        <w:t>evidence</w:t>
      </w:r>
      <w:r w:rsidRPr="00D31EA7">
        <w:t xml:space="preserve">, resonates with mediating practices, highlighting assurance as a boundary mechanism translating heterogeneous social and organisational concerns into credible forms. More peripheral clusters associated with </w:t>
      </w:r>
      <w:r w:rsidRPr="00D31EA7">
        <w:rPr>
          <w:i/>
          <w:iCs/>
        </w:rPr>
        <w:t>firm</w:t>
      </w:r>
      <w:r w:rsidRPr="00D31EA7">
        <w:t xml:space="preserve">, </w:t>
      </w:r>
      <w:r w:rsidRPr="00D31EA7">
        <w:rPr>
          <w:i/>
          <w:iCs/>
        </w:rPr>
        <w:t>risk</w:t>
      </w:r>
      <w:r w:rsidRPr="00D31EA7">
        <w:t xml:space="preserve">, </w:t>
      </w:r>
      <w:r w:rsidRPr="00D31EA7">
        <w:rPr>
          <w:i/>
          <w:iCs/>
        </w:rPr>
        <w:t>competition</w:t>
      </w:r>
      <w:r w:rsidRPr="00D31EA7">
        <w:t xml:space="preserve">, </w:t>
      </w:r>
      <w:r w:rsidRPr="00D31EA7">
        <w:rPr>
          <w:i/>
          <w:iCs/>
        </w:rPr>
        <w:t>financial distress</w:t>
      </w:r>
      <w:r w:rsidRPr="00D31EA7">
        <w:t xml:space="preserve"> and </w:t>
      </w:r>
      <w:r w:rsidRPr="00D31EA7">
        <w:rPr>
          <w:i/>
          <w:iCs/>
        </w:rPr>
        <w:t>investor</w:t>
      </w:r>
      <w:r w:rsidRPr="00D31EA7">
        <w:t xml:space="preserve"> correspond most closely to adjudicating processes concerned with evaluating performance, outcomes and consequences. These associations should be read as patterns of emphasis rather than fixed classifications, as the dense interconnections across clusters indicate that NFIA research routinely mobilises multiple dimensions of the accounting complex simultaneously, providing a flexible foundation for the thematic synthesis that follows.</w:t>
      </w:r>
    </w:p>
    <w:p w14:paraId="245C1864" w14:textId="29A9C6A2" w:rsidR="00CF5A99" w:rsidRDefault="00AE4B3A" w:rsidP="00D31EA7">
      <w:pPr>
        <w:widowControl w:val="0"/>
        <w:spacing w:after="160"/>
        <w:ind w:firstLine="420"/>
        <w:jc w:val="both"/>
        <w:sectPr w:rsidR="00CF5A99" w:rsidSect="003C1875">
          <w:pgSz w:w="11906" w:h="16838"/>
          <w:pgMar w:top="1440" w:right="1440" w:bottom="1440" w:left="1440" w:header="851" w:footer="992" w:gutter="0"/>
          <w:cols w:space="425"/>
          <w:docGrid w:linePitch="326"/>
        </w:sectPr>
      </w:pPr>
      <w:r w:rsidRPr="00AE4B3A">
        <w:t>The four dimensions of the accounting complex did not operate as predefined categories imposed on the literature, but rather as a sensitising framework that informed the iterative development of the review’s thematic structure. Following the bibliometric mapping, full-text coding was conducted inductively to capture the substantive concerns, empirical foci and analytical emphases of individual studies. These inductively derived codes were then examined abductively in dialogue with Miller and Power’s (2013) framework, allowing recurring empirical problematics to be interpreted through a coherent analytical vocabulary without constraining their content. This iterative movement between data and theory revealed four dominant thematic constellations that cut across methodological traditions and subject domains. While each theme resonates more strongly with particular dimensions of the accounting complex, none maps straightforwardly or exclusively onto a single role. Instead, the themes reflect empirically grounded problem spaces in which processes of territorialising, mediating, adjudicating and subjectivising are variously foregrounded and intertwined. This approach preserves analytical rigour while remaining faithful to the complexity and heterogeneity of the NFIA literature.</w:t>
      </w:r>
      <w:r w:rsidR="00E13161">
        <w:br w:type="page"/>
      </w:r>
    </w:p>
    <w:tbl>
      <w:tblPr>
        <w:tblStyle w:val="GridTable1Light"/>
        <w:tblW w:w="14454" w:type="dxa"/>
        <w:tblLook w:val="04A0" w:firstRow="1" w:lastRow="0" w:firstColumn="1" w:lastColumn="0" w:noHBand="0" w:noVBand="1"/>
      </w:tblPr>
      <w:tblGrid>
        <w:gridCol w:w="1621"/>
        <w:gridCol w:w="2627"/>
        <w:gridCol w:w="2358"/>
        <w:gridCol w:w="2573"/>
        <w:gridCol w:w="5275"/>
      </w:tblGrid>
      <w:tr w:rsidR="008E1276" w:rsidRPr="003D1983" w14:paraId="2E07D707" w14:textId="77777777" w:rsidTr="006978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CA441" w14:textId="77777777" w:rsidR="003D1983" w:rsidRPr="003D1983" w:rsidRDefault="003D1983" w:rsidP="0069781C">
            <w:pPr>
              <w:widowControl w:val="0"/>
              <w:spacing w:after="160"/>
              <w:jc w:val="center"/>
              <w:rPr>
                <w:sz w:val="22"/>
                <w:szCs w:val="22"/>
              </w:rPr>
            </w:pPr>
            <w:proofErr w:type="spellStart"/>
            <w:r w:rsidRPr="003D1983">
              <w:rPr>
                <w:sz w:val="22"/>
                <w:szCs w:val="22"/>
              </w:rPr>
              <w:lastRenderedPageBreak/>
              <w:t>VOSviewer</w:t>
            </w:r>
            <w:proofErr w:type="spellEnd"/>
            <w:r w:rsidRPr="003D1983">
              <w:rPr>
                <w:sz w:val="22"/>
                <w:szCs w:val="22"/>
              </w:rPr>
              <w:t xml:space="preserve"> colour cluster</w:t>
            </w:r>
          </w:p>
        </w:tc>
        <w:tc>
          <w:tcPr>
            <w:tcW w:w="2627" w:type="dxa"/>
            <w:hideMark/>
          </w:tcPr>
          <w:p w14:paraId="385654F7" w14:textId="4DCC8837" w:rsidR="003D1983" w:rsidRPr="003D198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2"/>
                <w:szCs w:val="22"/>
              </w:rPr>
            </w:pPr>
            <w:r w:rsidRPr="003D1983">
              <w:rPr>
                <w:sz w:val="22"/>
                <w:szCs w:val="22"/>
              </w:rPr>
              <w:t>Representative keywords</w:t>
            </w:r>
          </w:p>
        </w:tc>
        <w:tc>
          <w:tcPr>
            <w:tcW w:w="2358" w:type="dxa"/>
            <w:hideMark/>
          </w:tcPr>
          <w:p w14:paraId="63064B3D" w14:textId="1AC0B6B4" w:rsidR="003D1983" w:rsidRPr="003D198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D1983">
              <w:rPr>
                <w:sz w:val="22"/>
                <w:szCs w:val="22"/>
              </w:rPr>
              <w:t xml:space="preserve">Accounting complex </w:t>
            </w:r>
            <w:r w:rsidR="0069781C" w:rsidRPr="0069781C">
              <w:rPr>
                <w:sz w:val="22"/>
                <w:szCs w:val="22"/>
              </w:rPr>
              <w:br/>
            </w:r>
            <w:r w:rsidRPr="003D1983">
              <w:rPr>
                <w:b w:val="0"/>
                <w:bCs w:val="0"/>
                <w:sz w:val="22"/>
                <w:szCs w:val="22"/>
              </w:rPr>
              <w:t>(Miller &amp; Power, 2013)</w:t>
            </w:r>
          </w:p>
        </w:tc>
        <w:tc>
          <w:tcPr>
            <w:tcW w:w="2573" w:type="dxa"/>
            <w:hideMark/>
          </w:tcPr>
          <w:p w14:paraId="03815641" w14:textId="77777777" w:rsidR="003D1983" w:rsidRPr="003D198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2"/>
                <w:szCs w:val="22"/>
              </w:rPr>
            </w:pPr>
            <w:r w:rsidRPr="003D1983">
              <w:rPr>
                <w:sz w:val="22"/>
                <w:szCs w:val="22"/>
              </w:rPr>
              <w:t>Key theme in this review</w:t>
            </w:r>
          </w:p>
        </w:tc>
        <w:tc>
          <w:tcPr>
            <w:tcW w:w="5275" w:type="dxa"/>
            <w:hideMark/>
          </w:tcPr>
          <w:p w14:paraId="13D6AF18" w14:textId="2782F95C" w:rsidR="003D1983" w:rsidRPr="003D198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2"/>
                <w:szCs w:val="22"/>
              </w:rPr>
            </w:pPr>
            <w:r w:rsidRPr="003D1983">
              <w:rPr>
                <w:sz w:val="22"/>
                <w:szCs w:val="22"/>
              </w:rPr>
              <w:t>Rationale for the linkage</w:t>
            </w:r>
          </w:p>
        </w:tc>
      </w:tr>
      <w:tr w:rsidR="008E1276" w:rsidRPr="003D1983" w14:paraId="7514A34A"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7DD100EE" w14:textId="77777777" w:rsidR="003D1983" w:rsidRPr="003D1983" w:rsidRDefault="003D1983" w:rsidP="003D1983">
            <w:pPr>
              <w:widowControl w:val="0"/>
              <w:spacing w:after="160"/>
              <w:jc w:val="both"/>
              <w:rPr>
                <w:sz w:val="22"/>
                <w:szCs w:val="22"/>
              </w:rPr>
            </w:pPr>
            <w:r w:rsidRPr="003D1983">
              <w:rPr>
                <w:color w:val="FF0000"/>
                <w:sz w:val="22"/>
                <w:szCs w:val="22"/>
              </w:rPr>
              <w:t>Red</w:t>
            </w:r>
          </w:p>
        </w:tc>
        <w:tc>
          <w:tcPr>
            <w:tcW w:w="2627" w:type="dxa"/>
            <w:hideMark/>
          </w:tcPr>
          <w:p w14:paraId="561D9F0C" w14:textId="77777777" w:rsidR="003D1983" w:rsidRPr="003D198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2"/>
                <w:szCs w:val="22"/>
              </w:rPr>
            </w:pPr>
            <w:r w:rsidRPr="003D1983">
              <w:rPr>
                <w:i/>
                <w:iCs/>
                <w:sz w:val="22"/>
                <w:szCs w:val="22"/>
              </w:rPr>
              <w:t>profession; auditor; accountant; trust; logic; meaning; socialisation; client; user</w:t>
            </w:r>
          </w:p>
        </w:tc>
        <w:tc>
          <w:tcPr>
            <w:tcW w:w="2358" w:type="dxa"/>
            <w:hideMark/>
          </w:tcPr>
          <w:p w14:paraId="496B817A" w14:textId="77777777" w:rsidR="003D1983" w:rsidRPr="003D198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2"/>
                <w:szCs w:val="22"/>
              </w:rPr>
            </w:pPr>
            <w:r w:rsidRPr="003D1983">
              <w:rPr>
                <w:b/>
                <w:bCs/>
                <w:sz w:val="22"/>
                <w:szCs w:val="22"/>
              </w:rPr>
              <w:t>Subjectivising</w:t>
            </w:r>
          </w:p>
        </w:tc>
        <w:tc>
          <w:tcPr>
            <w:tcW w:w="2573" w:type="dxa"/>
            <w:hideMark/>
          </w:tcPr>
          <w:p w14:paraId="3C52F14C" w14:textId="77777777" w:rsidR="003D1983" w:rsidRPr="003D198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2"/>
                <w:szCs w:val="22"/>
              </w:rPr>
            </w:pPr>
            <w:r w:rsidRPr="003D1983">
              <w:rPr>
                <w:b/>
                <w:bCs/>
                <w:sz w:val="22"/>
                <w:szCs w:val="22"/>
              </w:rPr>
              <w:t>Inter-professional Dynamics and the Sociology of the Profession</w:t>
            </w:r>
          </w:p>
        </w:tc>
        <w:tc>
          <w:tcPr>
            <w:tcW w:w="5275" w:type="dxa"/>
            <w:hideMark/>
          </w:tcPr>
          <w:p w14:paraId="54FFD17E" w14:textId="4F9795C4" w:rsidR="003D1983" w:rsidRPr="003D1983" w:rsidRDefault="003D1983" w:rsidP="003D1983">
            <w:pPr>
              <w:widowControl w:val="0"/>
              <w:spacing w:after="160"/>
              <w:jc w:val="both"/>
              <w:cnfStyle w:val="000000000000" w:firstRow="0" w:lastRow="0" w:firstColumn="0" w:lastColumn="0" w:oddVBand="0" w:evenVBand="0" w:oddHBand="0" w:evenHBand="0" w:firstRowFirstColumn="0" w:firstRowLastColumn="0" w:lastRowFirstColumn="0" w:lastRowLastColumn="0"/>
              <w:rPr>
                <w:sz w:val="22"/>
                <w:szCs w:val="22"/>
              </w:rPr>
            </w:pPr>
            <w:r w:rsidRPr="003D1983">
              <w:rPr>
                <w:sz w:val="22"/>
                <w:szCs w:val="22"/>
              </w:rPr>
              <w:t>(1) Cluster centres on actors and identity terms (</w:t>
            </w:r>
            <w:r w:rsidRPr="003D1983">
              <w:rPr>
                <w:i/>
                <w:iCs/>
                <w:sz w:val="22"/>
                <w:szCs w:val="22"/>
              </w:rPr>
              <w:t>auditor, profession</w:t>
            </w:r>
            <w:r w:rsidRPr="003D1983">
              <w:rPr>
                <w:sz w:val="22"/>
                <w:szCs w:val="22"/>
              </w:rPr>
              <w:t xml:space="preserve">). </w:t>
            </w:r>
            <w:r w:rsidR="00EC0146">
              <w:rPr>
                <w:sz w:val="22"/>
                <w:szCs w:val="22"/>
              </w:rPr>
              <w:br/>
            </w:r>
            <w:r w:rsidRPr="003D1983">
              <w:rPr>
                <w:sz w:val="22"/>
                <w:szCs w:val="22"/>
              </w:rPr>
              <w:t>(2) Dense ties to legitimacy-signalling concepts (</w:t>
            </w:r>
            <w:r w:rsidRPr="003D1983">
              <w:rPr>
                <w:i/>
                <w:iCs/>
                <w:sz w:val="22"/>
                <w:szCs w:val="22"/>
              </w:rPr>
              <w:t>trust, meaning, logic</w:t>
            </w:r>
            <w:r w:rsidRPr="003D1983">
              <w:rPr>
                <w:sz w:val="22"/>
                <w:szCs w:val="22"/>
              </w:rPr>
              <w:t xml:space="preserve">). </w:t>
            </w:r>
            <w:r w:rsidR="00EC0146">
              <w:rPr>
                <w:sz w:val="22"/>
                <w:szCs w:val="22"/>
              </w:rPr>
              <w:br/>
            </w:r>
            <w:r w:rsidRPr="003D1983">
              <w:rPr>
                <w:sz w:val="22"/>
                <w:szCs w:val="22"/>
              </w:rPr>
              <w:t xml:space="preserve">(3) This vocabulary foregrounds how NFIA constitutes credible professional subjects and inter-professional boundaries. </w:t>
            </w:r>
          </w:p>
        </w:tc>
      </w:tr>
      <w:tr w:rsidR="008E1276" w:rsidRPr="003D1983" w14:paraId="7D479BFA"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33C949E4" w14:textId="162D47AC" w:rsidR="00A637ED" w:rsidRPr="003D1983" w:rsidRDefault="003D1983" w:rsidP="003D1983">
            <w:pPr>
              <w:widowControl w:val="0"/>
              <w:spacing w:after="160"/>
              <w:jc w:val="both"/>
              <w:rPr>
                <w:b w:val="0"/>
                <w:bCs w:val="0"/>
                <w:sz w:val="22"/>
                <w:szCs w:val="22"/>
              </w:rPr>
            </w:pPr>
            <w:r w:rsidRPr="003D1983">
              <w:rPr>
                <w:color w:val="00B050"/>
                <w:sz w:val="22"/>
                <w:szCs w:val="22"/>
              </w:rPr>
              <w:t>Green</w:t>
            </w:r>
            <w:r w:rsidR="00A637ED">
              <w:rPr>
                <w:sz w:val="22"/>
                <w:szCs w:val="22"/>
              </w:rPr>
              <w:br/>
            </w:r>
            <w:r w:rsidR="00A637ED" w:rsidRPr="007749E5">
              <w:rPr>
                <w:color w:val="FFFF00"/>
                <w:sz w:val="22"/>
                <w:szCs w:val="22"/>
                <w:highlight w:val="green"/>
              </w:rPr>
              <w:t>Yellow</w:t>
            </w:r>
          </w:p>
        </w:tc>
        <w:tc>
          <w:tcPr>
            <w:tcW w:w="2627" w:type="dxa"/>
            <w:hideMark/>
          </w:tcPr>
          <w:p w14:paraId="4C247AFB" w14:textId="4A3397AE" w:rsidR="003D1983" w:rsidRPr="003D198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2"/>
                <w:szCs w:val="22"/>
              </w:rPr>
            </w:pPr>
            <w:r w:rsidRPr="003D1983">
              <w:rPr>
                <w:i/>
                <w:iCs/>
                <w:sz w:val="22"/>
                <w:szCs w:val="22"/>
              </w:rPr>
              <w:t>supreme audit institution; government; accountability; implementation; jurisdiction; court; parliament; local government</w:t>
            </w:r>
          </w:p>
        </w:tc>
        <w:tc>
          <w:tcPr>
            <w:tcW w:w="2358" w:type="dxa"/>
            <w:hideMark/>
          </w:tcPr>
          <w:p w14:paraId="2E8ED024" w14:textId="77777777" w:rsidR="003D1983" w:rsidRPr="003D198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2"/>
                <w:szCs w:val="22"/>
              </w:rPr>
            </w:pPr>
            <w:r w:rsidRPr="003D1983">
              <w:rPr>
                <w:b/>
                <w:bCs/>
                <w:sz w:val="22"/>
                <w:szCs w:val="22"/>
              </w:rPr>
              <w:t>Territorialising</w:t>
            </w:r>
          </w:p>
        </w:tc>
        <w:tc>
          <w:tcPr>
            <w:tcW w:w="2573" w:type="dxa"/>
            <w:hideMark/>
          </w:tcPr>
          <w:p w14:paraId="37D3D091" w14:textId="77777777" w:rsidR="003D1983" w:rsidRPr="003D198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2"/>
                <w:szCs w:val="22"/>
              </w:rPr>
            </w:pPr>
            <w:r w:rsidRPr="003D1983">
              <w:rPr>
                <w:b/>
                <w:bCs/>
                <w:sz w:val="22"/>
                <w:szCs w:val="22"/>
              </w:rPr>
              <w:t>NFIA as a Socially Constructed and Institutional Practice</w:t>
            </w:r>
          </w:p>
        </w:tc>
        <w:tc>
          <w:tcPr>
            <w:tcW w:w="5275" w:type="dxa"/>
            <w:hideMark/>
          </w:tcPr>
          <w:p w14:paraId="53F51C32" w14:textId="506FE333" w:rsidR="003D1983" w:rsidRPr="003D1983" w:rsidRDefault="003D1983" w:rsidP="003D1983">
            <w:pPr>
              <w:widowControl w:val="0"/>
              <w:spacing w:after="160"/>
              <w:jc w:val="both"/>
              <w:cnfStyle w:val="000000000000" w:firstRow="0" w:lastRow="0" w:firstColumn="0" w:lastColumn="0" w:oddVBand="0" w:evenVBand="0" w:oddHBand="0" w:evenHBand="0" w:firstRowFirstColumn="0" w:firstRowLastColumn="0" w:lastRowFirstColumn="0" w:lastRowLastColumn="0"/>
              <w:rPr>
                <w:sz w:val="22"/>
                <w:szCs w:val="22"/>
              </w:rPr>
            </w:pPr>
            <w:r w:rsidRPr="003D1983">
              <w:rPr>
                <w:sz w:val="22"/>
                <w:szCs w:val="22"/>
              </w:rPr>
              <w:t>(1) Cluster anchors on institutional sites and objects of audit (</w:t>
            </w:r>
            <w:r w:rsidRPr="003D1983">
              <w:rPr>
                <w:i/>
                <w:iCs/>
                <w:sz w:val="22"/>
                <w:szCs w:val="22"/>
              </w:rPr>
              <w:t>SAI, government</w:t>
            </w:r>
            <w:r w:rsidRPr="003D1983">
              <w:rPr>
                <w:sz w:val="22"/>
                <w:szCs w:val="22"/>
              </w:rPr>
              <w:t xml:space="preserve">). </w:t>
            </w:r>
            <w:r w:rsidR="00EC0146">
              <w:rPr>
                <w:sz w:val="22"/>
                <w:szCs w:val="22"/>
              </w:rPr>
              <w:br/>
            </w:r>
            <w:r w:rsidRPr="003D1983">
              <w:rPr>
                <w:sz w:val="22"/>
                <w:szCs w:val="22"/>
              </w:rPr>
              <w:t>(2) Keywords imply boundary-setting and systematisation (</w:t>
            </w:r>
            <w:r w:rsidRPr="003D1983">
              <w:rPr>
                <w:i/>
                <w:iCs/>
                <w:sz w:val="22"/>
                <w:szCs w:val="22"/>
              </w:rPr>
              <w:t>jurisdiction, implementation, accountability</w:t>
            </w:r>
            <w:r w:rsidRPr="003D1983">
              <w:rPr>
                <w:sz w:val="22"/>
                <w:szCs w:val="22"/>
              </w:rPr>
              <w:t xml:space="preserve">). </w:t>
            </w:r>
            <w:r w:rsidR="00EC0146">
              <w:rPr>
                <w:sz w:val="22"/>
                <w:szCs w:val="22"/>
              </w:rPr>
              <w:br/>
            </w:r>
            <w:r w:rsidRPr="003D1983">
              <w:rPr>
                <w:sz w:val="22"/>
                <w:szCs w:val="22"/>
              </w:rPr>
              <w:t>(3) This points to the construction of auditable domains and governable spaces.</w:t>
            </w:r>
          </w:p>
        </w:tc>
      </w:tr>
      <w:tr w:rsidR="008E1276" w:rsidRPr="003D1983" w14:paraId="4AC69C82"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3F37C2A7" w14:textId="77777777" w:rsidR="003D1983" w:rsidRPr="003D1983" w:rsidRDefault="003D1983" w:rsidP="003D1983">
            <w:pPr>
              <w:widowControl w:val="0"/>
              <w:spacing w:after="160"/>
              <w:jc w:val="both"/>
              <w:rPr>
                <w:sz w:val="22"/>
                <w:szCs w:val="22"/>
              </w:rPr>
            </w:pPr>
            <w:r w:rsidRPr="003D1983">
              <w:rPr>
                <w:color w:val="0070C0"/>
                <w:sz w:val="22"/>
                <w:szCs w:val="22"/>
              </w:rPr>
              <w:t>Blue</w:t>
            </w:r>
          </w:p>
        </w:tc>
        <w:tc>
          <w:tcPr>
            <w:tcW w:w="2627" w:type="dxa"/>
            <w:hideMark/>
          </w:tcPr>
          <w:p w14:paraId="59334BD2" w14:textId="7B1EC055" w:rsidR="003D1983" w:rsidRPr="003D198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2"/>
                <w:szCs w:val="22"/>
              </w:rPr>
            </w:pPr>
            <w:r w:rsidRPr="003D1983">
              <w:rPr>
                <w:i/>
                <w:iCs/>
                <w:sz w:val="22"/>
                <w:szCs w:val="22"/>
              </w:rPr>
              <w:t>sustainability; corporate social responsibility; stakeholder; engagement; evidence; service; perception; demand</w:t>
            </w:r>
          </w:p>
        </w:tc>
        <w:tc>
          <w:tcPr>
            <w:tcW w:w="2358" w:type="dxa"/>
            <w:hideMark/>
          </w:tcPr>
          <w:p w14:paraId="1FF09840" w14:textId="77777777" w:rsidR="003D1983" w:rsidRPr="003D198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2"/>
                <w:szCs w:val="22"/>
              </w:rPr>
            </w:pPr>
            <w:r w:rsidRPr="003D1983">
              <w:rPr>
                <w:b/>
                <w:bCs/>
                <w:sz w:val="22"/>
                <w:szCs w:val="22"/>
              </w:rPr>
              <w:t>Mediating</w:t>
            </w:r>
          </w:p>
        </w:tc>
        <w:tc>
          <w:tcPr>
            <w:tcW w:w="2573" w:type="dxa"/>
            <w:hideMark/>
          </w:tcPr>
          <w:p w14:paraId="6C0D845F" w14:textId="77777777" w:rsidR="003D1983" w:rsidRPr="003D198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2"/>
                <w:szCs w:val="22"/>
              </w:rPr>
            </w:pPr>
            <w:r w:rsidRPr="003D1983">
              <w:rPr>
                <w:b/>
                <w:bCs/>
                <w:sz w:val="22"/>
                <w:szCs w:val="22"/>
              </w:rPr>
              <w:t>The Broader Political and Managerial Utility of NFIA</w:t>
            </w:r>
          </w:p>
        </w:tc>
        <w:tc>
          <w:tcPr>
            <w:tcW w:w="5275" w:type="dxa"/>
            <w:hideMark/>
          </w:tcPr>
          <w:p w14:paraId="5D9C2865" w14:textId="1F3D3FF5" w:rsidR="003D1983" w:rsidRPr="003D1983" w:rsidRDefault="003D1983" w:rsidP="003D1983">
            <w:pPr>
              <w:widowControl w:val="0"/>
              <w:spacing w:after="160"/>
              <w:jc w:val="both"/>
              <w:cnfStyle w:val="000000000000" w:firstRow="0" w:lastRow="0" w:firstColumn="0" w:lastColumn="0" w:oddVBand="0" w:evenVBand="0" w:oddHBand="0" w:evenHBand="0" w:firstRowFirstColumn="0" w:firstRowLastColumn="0" w:lastRowFirstColumn="0" w:lastRowLastColumn="0"/>
              <w:rPr>
                <w:sz w:val="22"/>
                <w:szCs w:val="22"/>
              </w:rPr>
            </w:pPr>
            <w:r w:rsidRPr="003D1983">
              <w:rPr>
                <w:sz w:val="22"/>
                <w:szCs w:val="22"/>
              </w:rPr>
              <w:t>(1) Cluster centres on assurance as an interface (</w:t>
            </w:r>
            <w:r w:rsidRPr="003D1983">
              <w:rPr>
                <w:i/>
                <w:iCs/>
                <w:sz w:val="22"/>
                <w:szCs w:val="22"/>
              </w:rPr>
              <w:t>service, engagement</w:t>
            </w:r>
            <w:r w:rsidRPr="003D1983">
              <w:rPr>
                <w:sz w:val="22"/>
                <w:szCs w:val="22"/>
              </w:rPr>
              <w:t xml:space="preserve">). </w:t>
            </w:r>
            <w:r w:rsidR="00EC0146">
              <w:rPr>
                <w:sz w:val="22"/>
                <w:szCs w:val="22"/>
              </w:rPr>
              <w:br/>
            </w:r>
            <w:r w:rsidRPr="003D1983">
              <w:rPr>
                <w:sz w:val="22"/>
                <w:szCs w:val="22"/>
              </w:rPr>
              <w:t>(2) Strong links to disclosure domains and audiences (</w:t>
            </w:r>
            <w:r w:rsidRPr="003D1983">
              <w:rPr>
                <w:i/>
                <w:iCs/>
                <w:sz w:val="22"/>
                <w:szCs w:val="22"/>
              </w:rPr>
              <w:t>CSR, sustainability, stakeholder</w:t>
            </w:r>
            <w:r w:rsidRPr="003D1983">
              <w:rPr>
                <w:sz w:val="22"/>
                <w:szCs w:val="22"/>
              </w:rPr>
              <w:t xml:space="preserve">). </w:t>
            </w:r>
            <w:r w:rsidR="00EC0146">
              <w:rPr>
                <w:sz w:val="22"/>
                <w:szCs w:val="22"/>
              </w:rPr>
              <w:br/>
            </w:r>
            <w:r w:rsidRPr="003D1983">
              <w:rPr>
                <w:sz w:val="22"/>
                <w:szCs w:val="22"/>
              </w:rPr>
              <w:t>(3) Keywords imply translation of diverse information into credible forms (</w:t>
            </w:r>
            <w:r w:rsidRPr="003D1983">
              <w:rPr>
                <w:i/>
                <w:iCs/>
                <w:sz w:val="22"/>
                <w:szCs w:val="22"/>
              </w:rPr>
              <w:t>evidence, quality</w:t>
            </w:r>
            <w:r w:rsidRPr="003D1983">
              <w:rPr>
                <w:sz w:val="22"/>
                <w:szCs w:val="22"/>
              </w:rPr>
              <w:t xml:space="preserve">). </w:t>
            </w:r>
          </w:p>
        </w:tc>
      </w:tr>
      <w:tr w:rsidR="0069781C" w:rsidRPr="003D1983" w14:paraId="597CAAF4"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406EFDB2" w14:textId="2DD50FCF" w:rsidR="003D1983" w:rsidRPr="003D1983" w:rsidRDefault="003D1983" w:rsidP="003D1983">
            <w:pPr>
              <w:widowControl w:val="0"/>
              <w:spacing w:after="160"/>
              <w:jc w:val="both"/>
              <w:rPr>
                <w:b w:val="0"/>
                <w:bCs w:val="0"/>
                <w:sz w:val="22"/>
                <w:szCs w:val="22"/>
              </w:rPr>
            </w:pPr>
            <w:r w:rsidRPr="003D1983">
              <w:rPr>
                <w:color w:val="7030A0"/>
                <w:sz w:val="22"/>
                <w:szCs w:val="22"/>
              </w:rPr>
              <w:t>Purple</w:t>
            </w:r>
            <w:r w:rsidR="00A637ED">
              <w:rPr>
                <w:sz w:val="22"/>
                <w:szCs w:val="22"/>
              </w:rPr>
              <w:br/>
            </w:r>
            <w:r w:rsidRPr="003D1983">
              <w:rPr>
                <w:color w:val="FFC000"/>
                <w:sz w:val="22"/>
                <w:szCs w:val="22"/>
              </w:rPr>
              <w:t>Orange</w:t>
            </w:r>
          </w:p>
        </w:tc>
        <w:tc>
          <w:tcPr>
            <w:tcW w:w="2627" w:type="dxa"/>
            <w:hideMark/>
          </w:tcPr>
          <w:p w14:paraId="7D0760AA" w14:textId="77777777" w:rsidR="003D1983" w:rsidRPr="003D198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2"/>
                <w:szCs w:val="22"/>
              </w:rPr>
            </w:pPr>
            <w:r w:rsidRPr="003D1983">
              <w:rPr>
                <w:i/>
                <w:iCs/>
                <w:sz w:val="22"/>
                <w:szCs w:val="22"/>
              </w:rPr>
              <w:t>firm; risk; competition; financial distress likelihood; investor; decision; information asymmetry; cost; intention; ESG</w:t>
            </w:r>
          </w:p>
        </w:tc>
        <w:tc>
          <w:tcPr>
            <w:tcW w:w="2358" w:type="dxa"/>
            <w:hideMark/>
          </w:tcPr>
          <w:p w14:paraId="1F145325" w14:textId="77777777" w:rsidR="003D1983" w:rsidRPr="003D198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2"/>
                <w:szCs w:val="22"/>
              </w:rPr>
            </w:pPr>
            <w:r w:rsidRPr="003D1983">
              <w:rPr>
                <w:b/>
                <w:bCs/>
                <w:sz w:val="22"/>
                <w:szCs w:val="22"/>
              </w:rPr>
              <w:t>Adjudicating</w:t>
            </w:r>
          </w:p>
        </w:tc>
        <w:tc>
          <w:tcPr>
            <w:tcW w:w="2573" w:type="dxa"/>
            <w:hideMark/>
          </w:tcPr>
          <w:p w14:paraId="69C66FCE" w14:textId="77777777" w:rsidR="003D1983" w:rsidRPr="003D198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2"/>
                <w:szCs w:val="22"/>
              </w:rPr>
            </w:pPr>
            <w:r w:rsidRPr="003D1983">
              <w:rPr>
                <w:b/>
                <w:bCs/>
                <w:sz w:val="22"/>
                <w:szCs w:val="22"/>
              </w:rPr>
              <w:t>Determinants and Consequences of NFIA</w:t>
            </w:r>
          </w:p>
        </w:tc>
        <w:tc>
          <w:tcPr>
            <w:tcW w:w="5275" w:type="dxa"/>
            <w:hideMark/>
          </w:tcPr>
          <w:p w14:paraId="7CBC28F8" w14:textId="11AD3641" w:rsidR="003D1983" w:rsidRPr="003D1983" w:rsidRDefault="003D1983" w:rsidP="003D1983">
            <w:pPr>
              <w:widowControl w:val="0"/>
              <w:spacing w:after="160"/>
              <w:jc w:val="both"/>
              <w:cnfStyle w:val="000000000000" w:firstRow="0" w:lastRow="0" w:firstColumn="0" w:lastColumn="0" w:oddVBand="0" w:evenVBand="0" w:oddHBand="0" w:evenHBand="0" w:firstRowFirstColumn="0" w:firstRowLastColumn="0" w:lastRowFirstColumn="0" w:lastRowLastColumn="0"/>
              <w:rPr>
                <w:sz w:val="22"/>
                <w:szCs w:val="22"/>
              </w:rPr>
            </w:pPr>
            <w:r w:rsidRPr="003D1983">
              <w:rPr>
                <w:sz w:val="22"/>
                <w:szCs w:val="22"/>
              </w:rPr>
              <w:t>(1) Cluster vocabulary is evaluative and outcome-oriented (</w:t>
            </w:r>
            <w:r w:rsidRPr="003D1983">
              <w:rPr>
                <w:i/>
                <w:iCs/>
                <w:sz w:val="22"/>
                <w:szCs w:val="22"/>
              </w:rPr>
              <w:t>risk, distress, investor, information asymmetry</w:t>
            </w:r>
            <w:r w:rsidRPr="003D1983">
              <w:rPr>
                <w:sz w:val="22"/>
                <w:szCs w:val="22"/>
              </w:rPr>
              <w:t xml:space="preserve">). </w:t>
            </w:r>
            <w:r w:rsidR="00EC0146">
              <w:rPr>
                <w:sz w:val="22"/>
                <w:szCs w:val="22"/>
              </w:rPr>
              <w:br/>
            </w:r>
            <w:r w:rsidRPr="003D1983">
              <w:rPr>
                <w:sz w:val="22"/>
                <w:szCs w:val="22"/>
              </w:rPr>
              <w:t xml:space="preserve">(2) It tracks determinants (why assurance is adopted) and consequences (market/behavioural effects). </w:t>
            </w:r>
            <w:r w:rsidR="00EC0146">
              <w:rPr>
                <w:sz w:val="22"/>
                <w:szCs w:val="22"/>
              </w:rPr>
              <w:br/>
            </w:r>
            <w:r w:rsidRPr="003D1983">
              <w:rPr>
                <w:sz w:val="22"/>
                <w:szCs w:val="22"/>
              </w:rPr>
              <w:t xml:space="preserve">(3) This mirrors adjudicating: evaluating success/failure and attributing performance effects. </w:t>
            </w:r>
          </w:p>
        </w:tc>
      </w:tr>
    </w:tbl>
    <w:p w14:paraId="140767BF" w14:textId="77777777" w:rsidR="00BD3FE5" w:rsidRDefault="00BD3FE5" w:rsidP="00BD3FE5">
      <w:pPr>
        <w:jc w:val="both"/>
        <w:rPr>
          <w:b/>
          <w:bCs/>
        </w:rPr>
      </w:pPr>
      <w:r w:rsidRPr="0097313B">
        <w:rPr>
          <w:b/>
          <w:bCs/>
          <w:lang w:val="en-US"/>
        </w:rPr>
        <w:t xml:space="preserve">Table </w:t>
      </w:r>
      <w:r>
        <w:rPr>
          <w:b/>
          <w:bCs/>
          <w:lang w:val="en-US"/>
        </w:rPr>
        <w:t>5</w:t>
      </w:r>
      <w:r w:rsidRPr="0097313B">
        <w:rPr>
          <w:b/>
          <w:bCs/>
          <w:lang w:val="en-US"/>
        </w:rPr>
        <w:t xml:space="preserve">. </w:t>
      </w:r>
      <w:r w:rsidRPr="00BD3FE5">
        <w:rPr>
          <w:b/>
          <w:bCs/>
        </w:rPr>
        <w:t xml:space="preserve">Mapping </w:t>
      </w:r>
      <w:proofErr w:type="spellStart"/>
      <w:r w:rsidRPr="00BD3FE5">
        <w:rPr>
          <w:b/>
          <w:bCs/>
        </w:rPr>
        <w:t>VOSviewer</w:t>
      </w:r>
      <w:proofErr w:type="spellEnd"/>
      <w:r w:rsidRPr="00BD3FE5">
        <w:rPr>
          <w:b/>
          <w:bCs/>
        </w:rPr>
        <w:t xml:space="preserve"> keyword clusters to the accounting complex and empirically derived themes</w:t>
      </w:r>
    </w:p>
    <w:p w14:paraId="0B2E2646" w14:textId="19A06852" w:rsidR="00E13161" w:rsidRPr="00BD3FE5" w:rsidRDefault="00BD3FE5" w:rsidP="00EC0146">
      <w:pPr>
        <w:jc w:val="both"/>
        <w:rPr>
          <w:lang w:val="en-US"/>
        </w:rPr>
      </w:pPr>
      <w:r w:rsidRPr="00C9060A">
        <w:rPr>
          <w:i/>
          <w:iCs/>
        </w:rPr>
        <w:t xml:space="preserve">Source: </w:t>
      </w:r>
      <w:r w:rsidR="00EC0146" w:rsidRPr="00EC0146">
        <w:rPr>
          <w:i/>
          <w:iCs/>
        </w:rPr>
        <w:t>Author’s analysis, informed by Miller and Power (2013)</w:t>
      </w:r>
    </w:p>
    <w:p w14:paraId="7703E530" w14:textId="77777777" w:rsidR="00AE4B3A" w:rsidRPr="00A238A2" w:rsidRDefault="00AE4B3A" w:rsidP="00A577D3">
      <w:pPr>
        <w:widowControl w:val="0"/>
        <w:spacing w:after="160"/>
        <w:jc w:val="both"/>
      </w:pPr>
    </w:p>
    <w:p w14:paraId="2A9237B7" w14:textId="77777777" w:rsidR="00165838" w:rsidRDefault="00165838" w:rsidP="000C2C3B">
      <w:pPr>
        <w:widowControl w:val="0"/>
        <w:spacing w:after="160"/>
        <w:jc w:val="both"/>
        <w:sectPr w:rsidR="00165838" w:rsidSect="00CF5A99">
          <w:pgSz w:w="16838" w:h="11906" w:orient="landscape"/>
          <w:pgMar w:top="1440" w:right="1440" w:bottom="1440" w:left="1440" w:header="851" w:footer="992" w:gutter="0"/>
          <w:cols w:space="425"/>
          <w:docGrid w:linePitch="326"/>
        </w:sectPr>
      </w:pPr>
    </w:p>
    <w:p w14:paraId="44D8C5D6" w14:textId="77777777" w:rsidR="000C2C3B" w:rsidRPr="000C2C3B" w:rsidRDefault="000C2C3B" w:rsidP="000C2C3B">
      <w:pPr>
        <w:widowControl w:val="0"/>
        <w:spacing w:after="160"/>
        <w:jc w:val="both"/>
      </w:pPr>
      <w:r w:rsidRPr="000C2C3B">
        <w:lastRenderedPageBreak/>
        <w:t>Following the stabilisation of the four overarching themes, all 124 studies were subjected to close, iterative reading. For each paper, detailed notes were recorded on research motivations, theoretical engagements, articulated research gaps, research questions or hypotheses, and reported findings. This process enabled systematic coding of studies to the four main themes, while also allowing for the inductive identification of more fine-grained analytical distinctions. Through this combined deductive–inductive procedure, thirteen sub-themes were identified across the corpus, capturing recurring empirical problematics and analytical emphases within each thematic domain. These sub-themes reflect how NFIA research engages with professional dynamics, institutional construction, governance utility, and outcome evaluation at a more granular level. The following section moves beyond mapping and classification to a narrative synthesis, examining how these themes and sub-themes are substantively developed, theorised, and empirically mobilised within the NFIA literature.</w:t>
      </w:r>
    </w:p>
    <w:p w14:paraId="66E66458" w14:textId="77777777" w:rsidR="00A238A2" w:rsidRPr="00B8658E" w:rsidRDefault="00A238A2" w:rsidP="000C2C3B">
      <w:pPr>
        <w:widowControl w:val="0"/>
        <w:spacing w:after="160"/>
        <w:jc w:val="both"/>
      </w:pPr>
    </w:p>
    <w:p w14:paraId="5176A031" w14:textId="77777777" w:rsidR="00575309" w:rsidRPr="00575309" w:rsidRDefault="00575309" w:rsidP="00575309">
      <w:pPr>
        <w:rPr>
          <w:i/>
          <w:iCs/>
        </w:rPr>
      </w:pPr>
    </w:p>
    <w:p w14:paraId="52F4412D" w14:textId="77777777" w:rsidR="00575309" w:rsidRDefault="00575309">
      <w:pPr>
        <w:spacing w:after="160" w:line="278" w:lineRule="auto"/>
        <w:rPr>
          <w:b/>
          <w:bCs/>
        </w:rPr>
      </w:pPr>
      <w:r>
        <w:rPr>
          <w:b/>
          <w:bCs/>
        </w:rPr>
        <w:br w:type="page"/>
      </w:r>
    </w:p>
    <w:p w14:paraId="78B7135C" w14:textId="77777777" w:rsidR="003D1983" w:rsidRDefault="003D1983" w:rsidP="00AF6699">
      <w:pPr>
        <w:jc w:val="center"/>
        <w:rPr>
          <w:b/>
          <w:bCs/>
        </w:rPr>
        <w:sectPr w:rsidR="003D1983" w:rsidSect="00165838">
          <w:pgSz w:w="11906" w:h="16838"/>
          <w:pgMar w:top="1440" w:right="1440" w:bottom="1440" w:left="1440" w:header="851" w:footer="992" w:gutter="0"/>
          <w:cols w:space="425"/>
          <w:docGrid w:linePitch="326"/>
        </w:sectPr>
      </w:pPr>
    </w:p>
    <w:p w14:paraId="49F1A091" w14:textId="32A73F02" w:rsidR="00AD2A85" w:rsidRPr="00165838" w:rsidRDefault="00AD2A85" w:rsidP="00165838">
      <w:pPr>
        <w:jc w:val="center"/>
        <w:rPr>
          <w:b/>
          <w:bCs/>
        </w:rPr>
      </w:pPr>
      <w:r w:rsidRPr="00165838">
        <w:rPr>
          <w:b/>
          <w:bCs/>
        </w:rPr>
        <w:lastRenderedPageBreak/>
        <w:t>Theme-based</w:t>
      </w:r>
      <w:r w:rsidR="00E21A15">
        <w:rPr>
          <w:b/>
          <w:bCs/>
        </w:rPr>
        <w:t xml:space="preserve"> </w:t>
      </w:r>
      <w:r w:rsidR="00E21A15" w:rsidRPr="00165838">
        <w:rPr>
          <w:b/>
          <w:bCs/>
        </w:rPr>
        <w:t>synthesis</w:t>
      </w:r>
      <w:r w:rsidR="00E21A15">
        <w:rPr>
          <w:b/>
          <w:bCs/>
        </w:rPr>
        <w:t xml:space="preserve"> and</w:t>
      </w:r>
      <w:r w:rsidRPr="00165838">
        <w:rPr>
          <w:b/>
          <w:bCs/>
        </w:rPr>
        <w:t xml:space="preserve"> </w:t>
      </w:r>
      <w:r w:rsidR="00333D46">
        <w:rPr>
          <w:b/>
          <w:bCs/>
        </w:rPr>
        <w:t xml:space="preserve">thematic </w:t>
      </w:r>
      <w:r w:rsidRPr="00165838">
        <w:rPr>
          <w:b/>
          <w:bCs/>
        </w:rPr>
        <w:t>analysis</w:t>
      </w:r>
    </w:p>
    <w:p w14:paraId="6669D831" w14:textId="77777777" w:rsidR="00AD2A85" w:rsidRDefault="00AD2A85" w:rsidP="00AF6699">
      <w:pPr>
        <w:jc w:val="center"/>
        <w:rPr>
          <w:b/>
          <w:bCs/>
        </w:rPr>
      </w:pPr>
    </w:p>
    <w:p w14:paraId="5A47A6D1" w14:textId="1F866DA7" w:rsidR="00165838" w:rsidRPr="00753792" w:rsidRDefault="006308F3" w:rsidP="00165838">
      <w:pPr>
        <w:rPr>
          <w:i/>
          <w:iCs/>
          <w:sz w:val="22"/>
          <w:szCs w:val="22"/>
        </w:rPr>
      </w:pPr>
      <w:r w:rsidRPr="003D1983">
        <w:rPr>
          <w:i/>
          <w:iCs/>
          <w:sz w:val="22"/>
          <w:szCs w:val="22"/>
        </w:rPr>
        <w:t>Inter-professional Dynamics and the Sociology of the Profession</w:t>
      </w:r>
    </w:p>
    <w:p w14:paraId="66DFBC26" w14:textId="77777777" w:rsidR="006308F3" w:rsidRPr="00753792" w:rsidRDefault="006308F3" w:rsidP="00165838">
      <w:pPr>
        <w:rPr>
          <w:i/>
          <w:iCs/>
          <w:sz w:val="22"/>
          <w:szCs w:val="22"/>
        </w:rPr>
      </w:pPr>
    </w:p>
    <w:p w14:paraId="6D8CA8FA" w14:textId="77777777" w:rsidR="006308F3" w:rsidRDefault="006308F3" w:rsidP="00165838">
      <w:pPr>
        <w:rPr>
          <w:i/>
          <w:iCs/>
        </w:rPr>
      </w:pPr>
    </w:p>
    <w:p w14:paraId="32BC453D" w14:textId="77777777" w:rsidR="00753792" w:rsidRPr="00753792" w:rsidRDefault="00753792" w:rsidP="00165838">
      <w:pPr>
        <w:rPr>
          <w:i/>
          <w:iCs/>
        </w:rPr>
      </w:pPr>
    </w:p>
    <w:p w14:paraId="5CF90CB2" w14:textId="77777777" w:rsidR="00F206F8" w:rsidRPr="00753792" w:rsidRDefault="00F206F8" w:rsidP="00F206F8">
      <w:pPr>
        <w:widowControl w:val="0"/>
        <w:spacing w:after="160"/>
        <w:rPr>
          <w:i/>
          <w:iCs/>
          <w:sz w:val="22"/>
          <w:szCs w:val="22"/>
        </w:rPr>
      </w:pPr>
      <w:r w:rsidRPr="003D1983">
        <w:rPr>
          <w:i/>
          <w:iCs/>
          <w:sz w:val="22"/>
          <w:szCs w:val="22"/>
        </w:rPr>
        <w:t>NFIA as a Socially Constructed and Institutional Practice</w:t>
      </w:r>
    </w:p>
    <w:p w14:paraId="29E5CBB2" w14:textId="77777777" w:rsidR="00165838" w:rsidRDefault="00165838" w:rsidP="00F206F8">
      <w:pPr>
        <w:rPr>
          <w:i/>
          <w:iCs/>
        </w:rPr>
      </w:pPr>
    </w:p>
    <w:p w14:paraId="04001601" w14:textId="77777777" w:rsidR="00753792" w:rsidRPr="00753792" w:rsidRDefault="00753792" w:rsidP="00F206F8">
      <w:pPr>
        <w:rPr>
          <w:i/>
          <w:iCs/>
        </w:rPr>
      </w:pPr>
    </w:p>
    <w:p w14:paraId="47590223" w14:textId="77777777" w:rsidR="00EA5FB0" w:rsidRPr="00753792" w:rsidRDefault="00EA5FB0" w:rsidP="00EA5FB0">
      <w:pPr>
        <w:widowControl w:val="0"/>
        <w:spacing w:after="160"/>
        <w:rPr>
          <w:i/>
          <w:iCs/>
          <w:sz w:val="22"/>
          <w:szCs w:val="22"/>
        </w:rPr>
      </w:pPr>
      <w:r w:rsidRPr="003D1983">
        <w:rPr>
          <w:i/>
          <w:iCs/>
          <w:sz w:val="22"/>
          <w:szCs w:val="22"/>
        </w:rPr>
        <w:t>The Broader Political and Managerial Utility of NFIA</w:t>
      </w:r>
    </w:p>
    <w:p w14:paraId="1AEDADB0" w14:textId="77777777" w:rsidR="00F206F8" w:rsidRDefault="00F206F8" w:rsidP="00F206F8">
      <w:pPr>
        <w:rPr>
          <w:i/>
          <w:iCs/>
        </w:rPr>
      </w:pPr>
    </w:p>
    <w:p w14:paraId="77908B6D" w14:textId="77777777" w:rsidR="00753792" w:rsidRPr="00753792" w:rsidRDefault="00753792" w:rsidP="00F206F8">
      <w:pPr>
        <w:rPr>
          <w:i/>
          <w:iCs/>
        </w:rPr>
      </w:pPr>
    </w:p>
    <w:p w14:paraId="56ED8C8B" w14:textId="77777777" w:rsidR="00753792" w:rsidRPr="00753792" w:rsidRDefault="00753792" w:rsidP="00753792">
      <w:pPr>
        <w:widowControl w:val="0"/>
        <w:spacing w:after="160"/>
        <w:rPr>
          <w:i/>
          <w:iCs/>
          <w:sz w:val="22"/>
          <w:szCs w:val="22"/>
        </w:rPr>
      </w:pPr>
      <w:r w:rsidRPr="003D1983">
        <w:rPr>
          <w:i/>
          <w:iCs/>
          <w:sz w:val="22"/>
          <w:szCs w:val="22"/>
        </w:rPr>
        <w:t>Determinants and Consequences of NFIA</w:t>
      </w:r>
    </w:p>
    <w:p w14:paraId="2A93AAB5" w14:textId="77777777" w:rsidR="00753792" w:rsidRDefault="00753792" w:rsidP="00F206F8">
      <w:pPr>
        <w:rPr>
          <w:b/>
          <w:bCs/>
        </w:rPr>
      </w:pPr>
    </w:p>
    <w:p w14:paraId="039DCB2B" w14:textId="6C928241" w:rsidR="000067EE" w:rsidRPr="00753792" w:rsidRDefault="000067EE" w:rsidP="000067EE">
      <w:pPr>
        <w:widowControl w:val="0"/>
        <w:spacing w:after="160"/>
        <w:rPr>
          <w:i/>
          <w:iCs/>
          <w:sz w:val="22"/>
          <w:szCs w:val="22"/>
        </w:rPr>
      </w:pPr>
      <w:r>
        <w:rPr>
          <w:i/>
          <w:iCs/>
          <w:sz w:val="22"/>
          <w:szCs w:val="22"/>
        </w:rPr>
        <w:t>Heatmaps Analysis</w:t>
      </w:r>
    </w:p>
    <w:p w14:paraId="23AA4E38" w14:textId="77777777" w:rsidR="000067EE" w:rsidRDefault="000067EE" w:rsidP="00F206F8">
      <w:pPr>
        <w:rPr>
          <w:b/>
          <w:bCs/>
        </w:rPr>
      </w:pPr>
    </w:p>
    <w:p w14:paraId="27FA573E" w14:textId="77777777" w:rsidR="00AD2A85" w:rsidRDefault="00AD2A85" w:rsidP="00AF6699">
      <w:pPr>
        <w:jc w:val="center"/>
        <w:rPr>
          <w:b/>
          <w:bCs/>
        </w:rPr>
      </w:pPr>
    </w:p>
    <w:p w14:paraId="63ED7124" w14:textId="77777777" w:rsidR="009A54B0" w:rsidRDefault="009A54B0" w:rsidP="00AF6699">
      <w:pPr>
        <w:pStyle w:val="ListParagraph"/>
        <w:ind w:left="360" w:firstLine="491"/>
        <w:jc w:val="both"/>
      </w:pPr>
    </w:p>
    <w:p w14:paraId="022B26EC" w14:textId="77777777" w:rsidR="008E4CC1" w:rsidRPr="001214B7" w:rsidRDefault="008E4CC1" w:rsidP="008E4CC1">
      <w:pPr>
        <w:jc w:val="center"/>
        <w:rPr>
          <w:b/>
          <w:bCs/>
        </w:rPr>
      </w:pPr>
      <w:r w:rsidRPr="001214B7">
        <w:rPr>
          <w:b/>
          <w:bCs/>
        </w:rPr>
        <w:t>Discussion and Conclusion</w:t>
      </w:r>
    </w:p>
    <w:p w14:paraId="0D547EC5" w14:textId="77777777" w:rsidR="008E4CC1" w:rsidRDefault="008E4CC1" w:rsidP="00AF6699">
      <w:pPr>
        <w:pStyle w:val="ListParagraph"/>
        <w:ind w:left="360" w:firstLine="491"/>
        <w:jc w:val="both"/>
      </w:pPr>
    </w:p>
    <w:p w14:paraId="18E772C8" w14:textId="77777777" w:rsidR="008E4CC1" w:rsidRDefault="008E4CC1" w:rsidP="00AF6699">
      <w:pPr>
        <w:pStyle w:val="ListParagraph"/>
        <w:ind w:left="360" w:firstLine="491"/>
        <w:jc w:val="both"/>
      </w:pPr>
    </w:p>
    <w:p w14:paraId="560FF0B7" w14:textId="7F06627E" w:rsidR="0081059F" w:rsidRPr="008D3D11" w:rsidRDefault="0081059F" w:rsidP="00AF6699">
      <w:pPr>
        <w:jc w:val="center"/>
        <w:rPr>
          <w:b/>
          <w:bCs/>
        </w:rPr>
      </w:pPr>
      <w:r w:rsidRPr="008D3D11">
        <w:rPr>
          <w:b/>
          <w:bCs/>
        </w:rPr>
        <w:t>Implications</w:t>
      </w:r>
    </w:p>
    <w:p w14:paraId="0E686399" w14:textId="77777777" w:rsidR="008D3D11" w:rsidRDefault="008D3D11" w:rsidP="00AF6699">
      <w:pPr>
        <w:pStyle w:val="ListParagraph"/>
        <w:ind w:left="360"/>
      </w:pPr>
    </w:p>
    <w:p w14:paraId="5BB0836A" w14:textId="77777777" w:rsidR="00F94BA9" w:rsidRDefault="00F94BA9" w:rsidP="00AF6699">
      <w:pPr>
        <w:pStyle w:val="ListParagraph"/>
        <w:ind w:left="360"/>
      </w:pPr>
    </w:p>
    <w:p w14:paraId="45D13735" w14:textId="77777777" w:rsidR="00F94BA9" w:rsidRDefault="00F94BA9" w:rsidP="00AF6699">
      <w:pPr>
        <w:pStyle w:val="ListParagraph"/>
        <w:ind w:left="360"/>
      </w:pPr>
    </w:p>
    <w:p w14:paraId="3C92806F" w14:textId="111C86B4" w:rsidR="0081059F" w:rsidRPr="008D3D11" w:rsidRDefault="0081059F" w:rsidP="00AF6699">
      <w:pPr>
        <w:jc w:val="center"/>
        <w:rPr>
          <w:b/>
          <w:bCs/>
        </w:rPr>
      </w:pPr>
      <w:r w:rsidRPr="008D3D11">
        <w:rPr>
          <w:b/>
          <w:bCs/>
        </w:rPr>
        <w:t>Limitations</w:t>
      </w:r>
    </w:p>
    <w:p w14:paraId="5BB8517F" w14:textId="7A8083B3" w:rsidR="00AC6FC1" w:rsidRPr="008F53EF" w:rsidRDefault="00B24C6A" w:rsidP="00AF6699">
      <w:pPr>
        <w:pStyle w:val="ListParagraph"/>
        <w:ind w:left="360" w:firstLine="491"/>
        <w:jc w:val="both"/>
      </w:pPr>
      <w:r w:rsidRPr="00B24C6A">
        <w:t>This review has several limitations. First, it focused exclusively on empirical studies published in top-ranked accounting journals (ABDC 2022 A* and A), ensuring high academic rigour but potentially omitting valuable insights from high-quality B journals. Second, the scope was restricted to the accounting and auditing literature, despite NFIA’s inherently interdisciplinary nature. As a result, relevant work from adjacent fields</w:t>
      </w:r>
      <w:r w:rsidR="003D3589">
        <w:t xml:space="preserve"> </w:t>
      </w:r>
      <w:r w:rsidRPr="00B24C6A">
        <w:t>—</w:t>
      </w:r>
      <w:r w:rsidR="003D3589">
        <w:t xml:space="preserve"> </w:t>
      </w:r>
      <w:r w:rsidRPr="00B24C6A">
        <w:t>such as public administration, environmental science, and engineering</w:t>
      </w:r>
      <w:r w:rsidR="003D3589">
        <w:t xml:space="preserve"> </w:t>
      </w:r>
      <w:r w:rsidRPr="00B24C6A">
        <w:t>—</w:t>
      </w:r>
      <w:r w:rsidR="003D3589">
        <w:t xml:space="preserve"> </w:t>
      </w:r>
      <w:r w:rsidRPr="00B24C6A">
        <w:t>may have been excluded, particularly in areas like GHG assurance where cross-professional dynamics are central. Future reviews could extend the scope to include reputable interdisciplinary outlets using transparent inclusion criteria to preserve quality while broadening perspective. Despite these limitations, this review provides timely and practically relevant insights. As sustainability and carbon assurance become institutionalised across jurisdictions, consolidating empirical knowledge from NFIA helps inform both scholarly debate and professional practice in an increasingly complex verification landscape.</w:t>
      </w:r>
    </w:p>
    <w:p w14:paraId="5933CAE4" w14:textId="77777777" w:rsidR="00337401" w:rsidRDefault="00337401">
      <w:r>
        <w:br w:type="page"/>
      </w:r>
    </w:p>
    <w:p w14:paraId="02844303" w14:textId="4A47C669" w:rsidR="004424DB" w:rsidRPr="006611C7" w:rsidRDefault="004424DB" w:rsidP="008E6283">
      <w:pPr>
        <w:jc w:val="center"/>
        <w:rPr>
          <w:b/>
          <w:bCs/>
        </w:rPr>
      </w:pPr>
      <w:r w:rsidRPr="006611C7">
        <w:rPr>
          <w:b/>
          <w:bCs/>
        </w:rPr>
        <w:lastRenderedPageBreak/>
        <w:t>References</w:t>
      </w:r>
    </w:p>
    <w:p w14:paraId="3EC5DFEE" w14:textId="77777777" w:rsidR="00B9430A" w:rsidRPr="00B9430A" w:rsidRDefault="005E5BC8" w:rsidP="00B9430A">
      <w:pPr>
        <w:pStyle w:val="EndNoteBibliography"/>
        <w:ind w:left="720" w:hanging="720"/>
      </w:pPr>
      <w:r w:rsidRPr="006611C7">
        <w:rPr>
          <w:rFonts w:ascii="Times New Roman" w:hAnsi="Times New Roman"/>
        </w:rPr>
        <w:fldChar w:fldCharType="begin"/>
      </w:r>
      <w:r w:rsidRPr="006611C7">
        <w:rPr>
          <w:rFonts w:ascii="Times New Roman" w:hAnsi="Times New Roman"/>
        </w:rPr>
        <w:instrText xml:space="preserve"> ADDIN EN.REFLIST </w:instrText>
      </w:r>
      <w:r w:rsidRPr="006611C7">
        <w:rPr>
          <w:rFonts w:ascii="Times New Roman" w:hAnsi="Times New Roman"/>
        </w:rPr>
        <w:fldChar w:fldCharType="separate"/>
      </w:r>
      <w:r w:rsidR="00B9430A" w:rsidRPr="00B9430A">
        <w:t xml:space="preserve">Ackers, B. &amp; Eccles, N. S. 2015. Mandatory corporate social responsibility assurance practices. </w:t>
      </w:r>
      <w:r w:rsidR="00B9430A" w:rsidRPr="00B9430A">
        <w:rPr>
          <w:i/>
        </w:rPr>
        <w:t>Accounting, Auditing &amp; Accountability Journal,</w:t>
      </w:r>
      <w:r w:rsidR="00B9430A" w:rsidRPr="00B9430A">
        <w:t xml:space="preserve"> 28</w:t>
      </w:r>
      <w:r w:rsidR="00B9430A" w:rsidRPr="00B9430A">
        <w:rPr>
          <w:b/>
        </w:rPr>
        <w:t>,</w:t>
      </w:r>
      <w:r w:rsidR="00B9430A" w:rsidRPr="00B9430A">
        <w:t xml:space="preserve"> 515-550.</w:t>
      </w:r>
    </w:p>
    <w:p w14:paraId="094E63AA" w14:textId="77777777" w:rsidR="00B9430A" w:rsidRPr="00B9430A" w:rsidRDefault="00B9430A" w:rsidP="00B9430A">
      <w:pPr>
        <w:pStyle w:val="EndNoteBibliography"/>
        <w:ind w:left="720" w:hanging="720"/>
      </w:pPr>
      <w:r w:rsidRPr="00B9430A">
        <w:t xml:space="preserve">Adams, S., Hall, M. &amp; Xiao, X. 2024. Styles of verification and the pursuit of organisational repair: The case of social impact. </w:t>
      </w:r>
      <w:r w:rsidRPr="00B9430A">
        <w:rPr>
          <w:i/>
        </w:rPr>
        <w:t>Accounting, Organizations and Society,</w:t>
      </w:r>
      <w:r w:rsidRPr="00B9430A">
        <w:t xml:space="preserve"> 113</w:t>
      </w:r>
      <w:r w:rsidRPr="00B9430A">
        <w:rPr>
          <w:b/>
        </w:rPr>
        <w:t>,</w:t>
      </w:r>
      <w:r w:rsidRPr="00B9430A">
        <w:t xml:space="preserve"> 101478.</w:t>
      </w:r>
    </w:p>
    <w:p w14:paraId="2B61F932" w14:textId="77777777" w:rsidR="00B9430A" w:rsidRPr="00B9430A" w:rsidRDefault="00B9430A" w:rsidP="00B9430A">
      <w:pPr>
        <w:pStyle w:val="EndNoteBibliography"/>
        <w:ind w:left="720" w:hanging="720"/>
      </w:pPr>
      <w:r w:rsidRPr="00B9430A">
        <w:t xml:space="preserve">Andon, P., Free, C. &amp; O'dwyer, B. 2015. Annexing new audit spaces: challenges and adaptations. </w:t>
      </w:r>
      <w:r w:rsidRPr="00B9430A">
        <w:rPr>
          <w:i/>
        </w:rPr>
        <w:t>Accounting, Auditing &amp; Accountability Journal,</w:t>
      </w:r>
      <w:r w:rsidRPr="00B9430A">
        <w:t xml:space="preserve"> 28</w:t>
      </w:r>
      <w:r w:rsidRPr="00B9430A">
        <w:rPr>
          <w:b/>
        </w:rPr>
        <w:t>,</w:t>
      </w:r>
      <w:r w:rsidRPr="00B9430A">
        <w:t xml:space="preserve"> 1400-1430.</w:t>
      </w:r>
    </w:p>
    <w:p w14:paraId="2AEAB1B1" w14:textId="77777777" w:rsidR="00B9430A" w:rsidRPr="00B9430A" w:rsidRDefault="00B9430A" w:rsidP="00B9430A">
      <w:pPr>
        <w:pStyle w:val="EndNoteBibliography"/>
        <w:ind w:left="720" w:hanging="720"/>
      </w:pPr>
      <w:r w:rsidRPr="00B9430A">
        <w:t xml:space="preserve">Baier, C., Göttsche, M., Hellmann, A. &amp; Schiemann, F. 2022. Too Good To Be True: Influencing Credibility Perceptions with Signaling Reference Explicitness and Assurance Depth: JBE. </w:t>
      </w:r>
      <w:r w:rsidRPr="00B9430A">
        <w:rPr>
          <w:i/>
        </w:rPr>
        <w:t>Journal of Business Ethics,</w:t>
      </w:r>
      <w:r w:rsidRPr="00B9430A">
        <w:t xml:space="preserve"> 178</w:t>
      </w:r>
      <w:r w:rsidRPr="00B9430A">
        <w:rPr>
          <w:b/>
        </w:rPr>
        <w:t>,</w:t>
      </w:r>
      <w:r w:rsidRPr="00B9430A">
        <w:t xml:space="preserve"> 695-714.</w:t>
      </w:r>
    </w:p>
    <w:p w14:paraId="3C922F3F" w14:textId="77777777" w:rsidR="00B9430A" w:rsidRPr="00B9430A" w:rsidRDefault="00B9430A" w:rsidP="00B9430A">
      <w:pPr>
        <w:pStyle w:val="EndNoteBibliography"/>
        <w:ind w:left="720" w:hanging="720"/>
      </w:pPr>
      <w:r w:rsidRPr="00B9430A">
        <w:t xml:space="preserve">Barrett, M. &amp; Gendron, Y. 2006. WebTrust and the "commercialistic auditor.". </w:t>
      </w:r>
      <w:r w:rsidRPr="00B9430A">
        <w:rPr>
          <w:i/>
        </w:rPr>
        <w:t>Accounting, Auditing &amp; Accountability Journal,</w:t>
      </w:r>
      <w:r w:rsidRPr="00B9430A">
        <w:t xml:space="preserve"> 19</w:t>
      </w:r>
      <w:r w:rsidRPr="00B9430A">
        <w:rPr>
          <w:b/>
        </w:rPr>
        <w:t>,</w:t>
      </w:r>
      <w:r w:rsidRPr="00B9430A">
        <w:t xml:space="preserve"> 631-662.</w:t>
      </w:r>
    </w:p>
    <w:p w14:paraId="5BA6B26A" w14:textId="77777777" w:rsidR="00B9430A" w:rsidRPr="00B9430A" w:rsidRDefault="00B9430A" w:rsidP="00B9430A">
      <w:pPr>
        <w:pStyle w:val="EndNoteBibliography"/>
        <w:ind w:left="720" w:hanging="720"/>
      </w:pPr>
      <w:r w:rsidRPr="00B9430A">
        <w:t xml:space="preserve">Bartoszewicz, A. &amp; Rutkowska-Ziarko, A. 2021. Practice of non-financial reports assurance services in the polish audit market—the range, limits and prospects for the future. </w:t>
      </w:r>
      <w:r w:rsidRPr="00B9430A">
        <w:rPr>
          <w:i/>
        </w:rPr>
        <w:t>Risks,</w:t>
      </w:r>
      <w:r w:rsidRPr="00B9430A">
        <w:t xml:space="preserve"> 9</w:t>
      </w:r>
      <w:r w:rsidRPr="00B9430A">
        <w:rPr>
          <w:b/>
        </w:rPr>
        <w:t>,</w:t>
      </w:r>
      <w:r w:rsidRPr="00B9430A">
        <w:t xml:space="preserve"> 176.</w:t>
      </w:r>
    </w:p>
    <w:p w14:paraId="0DCC955C" w14:textId="77777777" w:rsidR="00B9430A" w:rsidRPr="00B9430A" w:rsidRDefault="00B9430A" w:rsidP="00B9430A">
      <w:pPr>
        <w:pStyle w:val="EndNoteBibliography"/>
        <w:ind w:left="720" w:hanging="720"/>
      </w:pPr>
      <w:r w:rsidRPr="00B9430A">
        <w:t xml:space="preserve">Batra, G. S. &amp; Kaur, N. 1993. Emerging dimensions of audit accountability: A case study of public enterprise management and efficiency audit in India. </w:t>
      </w:r>
      <w:r w:rsidRPr="00B9430A">
        <w:rPr>
          <w:i/>
        </w:rPr>
        <w:t>Managerial auditing journal,</w:t>
      </w:r>
      <w:r w:rsidRPr="00B9430A">
        <w:t xml:space="preserve"> 8</w:t>
      </w:r>
      <w:r w:rsidRPr="00B9430A">
        <w:rPr>
          <w:b/>
        </w:rPr>
        <w:t>,</w:t>
      </w:r>
      <w:r w:rsidRPr="00B9430A">
        <w:t xml:space="preserve"> 30.</w:t>
      </w:r>
    </w:p>
    <w:p w14:paraId="4360E147" w14:textId="77777777" w:rsidR="00B9430A" w:rsidRPr="00B9430A" w:rsidRDefault="00B9430A" w:rsidP="00B9430A">
      <w:pPr>
        <w:pStyle w:val="EndNoteBibliography"/>
        <w:ind w:left="720" w:hanging="720"/>
      </w:pPr>
      <w:r w:rsidRPr="00B9430A">
        <w:t xml:space="preserve">Batra, G. S. &amp; Kaur, N. 1996. New vistas in reducing the conflicts between tourism and the environment: an environmental audit approach. </w:t>
      </w:r>
      <w:r w:rsidRPr="00B9430A">
        <w:rPr>
          <w:i/>
        </w:rPr>
        <w:t>Managerial auditing journal,</w:t>
      </w:r>
      <w:r w:rsidRPr="00B9430A">
        <w:t xml:space="preserve"> 11</w:t>
      </w:r>
      <w:r w:rsidRPr="00B9430A">
        <w:rPr>
          <w:b/>
        </w:rPr>
        <w:t>,</w:t>
      </w:r>
      <w:r w:rsidRPr="00B9430A">
        <w:t xml:space="preserve"> 3-10.</w:t>
      </w:r>
    </w:p>
    <w:p w14:paraId="73D2246A" w14:textId="77777777" w:rsidR="00B9430A" w:rsidRPr="00B9430A" w:rsidRDefault="00B9430A" w:rsidP="00B9430A">
      <w:pPr>
        <w:pStyle w:val="EndNoteBibliography"/>
        <w:ind w:left="720" w:hanging="720"/>
      </w:pPr>
      <w:r w:rsidRPr="00B9430A">
        <w:rPr>
          <w:rFonts w:hint="eastAsia"/>
        </w:rPr>
        <w:t>Bentley‐Goode, K. A., Simnett, R., Thompson, A. &amp; Trotman, A. J. 2024. Choice of assurance provider and impact on quality of</w:t>
      </w:r>
      <w:r w:rsidRPr="00B9430A">
        <w:t xml:space="preserve"> sustainability reporting: Evidence from sustainability reporting restatements. </w:t>
      </w:r>
      <w:r w:rsidRPr="00B9430A">
        <w:rPr>
          <w:i/>
        </w:rPr>
        <w:t>Accounting &amp; Finance</w:t>
      </w:r>
      <w:r w:rsidRPr="00B9430A">
        <w:rPr>
          <w:b/>
        </w:rPr>
        <w:t>,</w:t>
      </w:r>
      <w:r w:rsidRPr="00B9430A">
        <w:t xml:space="preserve"> 1.</w:t>
      </w:r>
    </w:p>
    <w:p w14:paraId="34BC402D" w14:textId="77777777" w:rsidR="00B9430A" w:rsidRPr="00B9430A" w:rsidRDefault="00B9430A" w:rsidP="00B9430A">
      <w:pPr>
        <w:pStyle w:val="EndNoteBibliography"/>
        <w:ind w:left="720" w:hanging="720"/>
      </w:pPr>
      <w:r w:rsidRPr="00B9430A">
        <w:t xml:space="preserve">Boiral, O., Heras-Saizarbitoria, I. &amp; Brotherton, M.-C. 2020. Professionalizing the assurance of sustainability reports: the auditors' perspective. </w:t>
      </w:r>
      <w:r w:rsidRPr="00B9430A">
        <w:rPr>
          <w:i/>
        </w:rPr>
        <w:t>Accounting, Auditing &amp; Accountability Journal,</w:t>
      </w:r>
      <w:r w:rsidRPr="00B9430A">
        <w:t xml:space="preserve"> 33</w:t>
      </w:r>
      <w:r w:rsidRPr="00B9430A">
        <w:rPr>
          <w:b/>
        </w:rPr>
        <w:t>,</w:t>
      </w:r>
      <w:r w:rsidRPr="00B9430A">
        <w:t xml:space="preserve"> 309-334.</w:t>
      </w:r>
    </w:p>
    <w:p w14:paraId="22B1D8E5" w14:textId="77777777" w:rsidR="00B9430A" w:rsidRPr="00B9430A" w:rsidRDefault="00B9430A" w:rsidP="00B9430A">
      <w:pPr>
        <w:pStyle w:val="EndNoteBibliography"/>
        <w:ind w:left="720" w:hanging="720"/>
      </w:pPr>
      <w:r w:rsidRPr="00B9430A">
        <w:t xml:space="preserve">Boiral, O., Heras-Saizarbitoria, I., Brotherton, M.-C. &amp; Bernard, J. 2019. Ethical Issues in the Assurance of Sustainability Reports: Perspectives from Assurance Providers: JBE. </w:t>
      </w:r>
      <w:r w:rsidRPr="00B9430A">
        <w:rPr>
          <w:i/>
        </w:rPr>
        <w:t>Journal of Business Ethics,</w:t>
      </w:r>
      <w:r w:rsidRPr="00B9430A">
        <w:t xml:space="preserve"> 159</w:t>
      </w:r>
      <w:r w:rsidRPr="00B9430A">
        <w:rPr>
          <w:b/>
        </w:rPr>
        <w:t>,</w:t>
      </w:r>
      <w:r w:rsidRPr="00B9430A">
        <w:t xml:space="preserve"> 1111-1125.</w:t>
      </w:r>
    </w:p>
    <w:p w14:paraId="2B90D3E5" w14:textId="77777777" w:rsidR="00B9430A" w:rsidRPr="00B9430A" w:rsidRDefault="00B9430A" w:rsidP="00B9430A">
      <w:pPr>
        <w:pStyle w:val="EndNoteBibliography"/>
        <w:ind w:left="720" w:hanging="720"/>
      </w:pPr>
      <w:r w:rsidRPr="00B9430A">
        <w:t xml:space="preserve">Bouten, L. &amp; Hoozée, S. 2025. How sustainability assurance work gets done: assurors' sensemaking, socialization and interactions with clients. </w:t>
      </w:r>
      <w:r w:rsidRPr="00B9430A">
        <w:rPr>
          <w:i/>
        </w:rPr>
        <w:t>Accounting, Auditing &amp; Accountability Journal,</w:t>
      </w:r>
      <w:r w:rsidRPr="00B9430A">
        <w:t xml:space="preserve"> 38</w:t>
      </w:r>
      <w:r w:rsidRPr="00B9430A">
        <w:rPr>
          <w:b/>
        </w:rPr>
        <w:t>,</w:t>
      </w:r>
      <w:r w:rsidRPr="00B9430A">
        <w:t xml:space="preserve"> 143-173.</w:t>
      </w:r>
    </w:p>
    <w:p w14:paraId="1C4D76DC" w14:textId="77777777" w:rsidR="00B9430A" w:rsidRPr="00B9430A" w:rsidRDefault="00B9430A" w:rsidP="00B9430A">
      <w:pPr>
        <w:pStyle w:val="EndNoteBibliography"/>
        <w:ind w:left="720" w:hanging="720"/>
      </w:pPr>
      <w:r w:rsidRPr="00B9430A">
        <w:t xml:space="preserve">Bowerman, M., Humphrey, C. &amp; Owen, D. 2003. STRUGGLING FOR SUPREMACY: THE CASE OF UK PUBLIC AUDIT INSTITUTIONS. </w:t>
      </w:r>
      <w:r w:rsidRPr="00B9430A">
        <w:rPr>
          <w:i/>
        </w:rPr>
        <w:t>Critical Perspectives on Accounting,</w:t>
      </w:r>
      <w:r w:rsidRPr="00B9430A">
        <w:t xml:space="preserve"> 14</w:t>
      </w:r>
      <w:r w:rsidRPr="00B9430A">
        <w:rPr>
          <w:b/>
        </w:rPr>
        <w:t>,</w:t>
      </w:r>
      <w:r w:rsidRPr="00B9430A">
        <w:t xml:space="preserve"> 1-22.</w:t>
      </w:r>
    </w:p>
    <w:p w14:paraId="47AC0785" w14:textId="77777777" w:rsidR="00B9430A" w:rsidRPr="00B9430A" w:rsidRDefault="00B9430A" w:rsidP="00B9430A">
      <w:pPr>
        <w:pStyle w:val="EndNoteBibliography"/>
        <w:ind w:left="720" w:hanging="720"/>
      </w:pPr>
      <w:r w:rsidRPr="00B9430A">
        <w:t xml:space="preserve">Breslin, D. &amp; Gatrell, C. 2023. Theorizing through literature reviews: The miner-prospector continuum. </w:t>
      </w:r>
      <w:r w:rsidRPr="00B9430A">
        <w:rPr>
          <w:i/>
        </w:rPr>
        <w:t>Organizational Research Methods,</w:t>
      </w:r>
      <w:r w:rsidRPr="00B9430A">
        <w:t xml:space="preserve"> 26</w:t>
      </w:r>
      <w:r w:rsidRPr="00B9430A">
        <w:rPr>
          <w:b/>
        </w:rPr>
        <w:t>,</w:t>
      </w:r>
      <w:r w:rsidRPr="00B9430A">
        <w:t xml:space="preserve"> 139-167.</w:t>
      </w:r>
    </w:p>
    <w:p w14:paraId="529A8634" w14:textId="77777777" w:rsidR="00B9430A" w:rsidRPr="00B9430A" w:rsidRDefault="00B9430A" w:rsidP="00B9430A">
      <w:pPr>
        <w:pStyle w:val="EndNoteBibliography"/>
        <w:ind w:left="720" w:hanging="720"/>
      </w:pPr>
      <w:r w:rsidRPr="00B9430A">
        <w:t xml:space="preserve">Bromley, P. &amp; Powell, W. W. 2012. From smoke and mirrors to walking the talk: Decoupling in the contemporary world. </w:t>
      </w:r>
      <w:r w:rsidRPr="00B9430A">
        <w:rPr>
          <w:i/>
        </w:rPr>
        <w:t>Academy of Management annals,</w:t>
      </w:r>
      <w:r w:rsidRPr="00B9430A">
        <w:t xml:space="preserve"> 6</w:t>
      </w:r>
      <w:r w:rsidRPr="00B9430A">
        <w:rPr>
          <w:b/>
        </w:rPr>
        <w:t>,</w:t>
      </w:r>
      <w:r w:rsidRPr="00B9430A">
        <w:t xml:space="preserve"> 483-530.</w:t>
      </w:r>
    </w:p>
    <w:p w14:paraId="4024B38D" w14:textId="77777777" w:rsidR="00B9430A" w:rsidRPr="00B9430A" w:rsidRDefault="00B9430A" w:rsidP="00B9430A">
      <w:pPr>
        <w:pStyle w:val="EndNoteBibliography"/>
        <w:ind w:left="720" w:hanging="720"/>
      </w:pPr>
      <w:r w:rsidRPr="00B9430A">
        <w:lastRenderedPageBreak/>
        <w:t xml:space="preserve">Brown-Liburd, H., Cohen, J. &amp; Zamora, V. L. 2018. CSR Disclosure Items Used as Fairness Heuristics in the Investment Decision: JBE. </w:t>
      </w:r>
      <w:r w:rsidRPr="00B9430A">
        <w:rPr>
          <w:i/>
        </w:rPr>
        <w:t>Journal of Business Ethics,</w:t>
      </w:r>
      <w:r w:rsidRPr="00B9430A">
        <w:t xml:space="preserve"> 152</w:t>
      </w:r>
      <w:r w:rsidRPr="00B9430A">
        <w:rPr>
          <w:b/>
        </w:rPr>
        <w:t>,</w:t>
      </w:r>
      <w:r w:rsidRPr="00B9430A">
        <w:t xml:space="preserve"> 275-289.</w:t>
      </w:r>
    </w:p>
    <w:p w14:paraId="40A9667F" w14:textId="77777777" w:rsidR="00B9430A" w:rsidRPr="00B9430A" w:rsidRDefault="00B9430A" w:rsidP="00B9430A">
      <w:pPr>
        <w:pStyle w:val="EndNoteBibliography"/>
        <w:ind w:left="720" w:hanging="720"/>
      </w:pPr>
      <w:r w:rsidRPr="00B9430A">
        <w:t xml:space="preserve">Brown-Liburd, H. &amp; Zamora, V. L. 2015. The Role of Corporate Social Responsibility (CSR) Assurance in Investors' Judgments When Managerial Pay is Explicitly Tied to CSR Performance. </w:t>
      </w:r>
      <w:r w:rsidRPr="00B9430A">
        <w:rPr>
          <w:i/>
        </w:rPr>
        <w:t>Auditing: A Journal of Practice &amp; Theory,</w:t>
      </w:r>
      <w:r w:rsidRPr="00B9430A">
        <w:t xml:space="preserve"> 34</w:t>
      </w:r>
      <w:r w:rsidRPr="00B9430A">
        <w:rPr>
          <w:b/>
        </w:rPr>
        <w:t>,</w:t>
      </w:r>
      <w:r w:rsidRPr="00B9430A">
        <w:t xml:space="preserve"> 75-96.</w:t>
      </w:r>
    </w:p>
    <w:p w14:paraId="5159C4BC" w14:textId="77777777" w:rsidR="00B9430A" w:rsidRPr="00B9430A" w:rsidRDefault="00B9430A" w:rsidP="00B9430A">
      <w:pPr>
        <w:pStyle w:val="EndNoteBibliography"/>
        <w:ind w:left="720" w:hanging="720"/>
      </w:pPr>
      <w:r w:rsidRPr="00B9430A">
        <w:t xml:space="preserve">Canning, M., O'dwyer, B. &amp; Georgakopoulos, G. 2019. Processes of auditability in sustainability assurance - the case of materiality construction. </w:t>
      </w:r>
      <w:r w:rsidRPr="00B9430A">
        <w:rPr>
          <w:i/>
        </w:rPr>
        <w:t>Accounting &amp; Business Research,</w:t>
      </w:r>
      <w:r w:rsidRPr="00B9430A">
        <w:t xml:space="preserve"> 49</w:t>
      </w:r>
      <w:r w:rsidRPr="00B9430A">
        <w:rPr>
          <w:b/>
        </w:rPr>
        <w:t>,</w:t>
      </w:r>
      <w:r w:rsidRPr="00B9430A">
        <w:t xml:space="preserve"> 1-27.</w:t>
      </w:r>
    </w:p>
    <w:p w14:paraId="701D8D1E" w14:textId="77777777" w:rsidR="00B9430A" w:rsidRPr="00B9430A" w:rsidRDefault="00B9430A" w:rsidP="00B9430A">
      <w:pPr>
        <w:pStyle w:val="EndNoteBibliography"/>
        <w:ind w:left="720" w:hanging="720"/>
      </w:pPr>
      <w:r w:rsidRPr="00B9430A">
        <w:t xml:space="preserve">Carey, P., Khan, A., Mihret, D. G. &amp; Muttakin, M. B. 2021. Voluntary sustainability assurance, capital constraint and cost of debt: International evidence. </w:t>
      </w:r>
      <w:r w:rsidRPr="00B9430A">
        <w:rPr>
          <w:i/>
        </w:rPr>
        <w:t>International Journal of Auditing,</w:t>
      </w:r>
      <w:r w:rsidRPr="00B9430A">
        <w:t xml:space="preserve"> 25</w:t>
      </w:r>
      <w:r w:rsidRPr="00B9430A">
        <w:rPr>
          <w:b/>
        </w:rPr>
        <w:t>,</w:t>
      </w:r>
      <w:r w:rsidRPr="00B9430A">
        <w:t xml:space="preserve"> 351-372.</w:t>
      </w:r>
    </w:p>
    <w:p w14:paraId="28585069" w14:textId="77777777" w:rsidR="00B9430A" w:rsidRPr="00B9430A" w:rsidRDefault="00B9430A" w:rsidP="00B9430A">
      <w:pPr>
        <w:pStyle w:val="EndNoteBibliography"/>
        <w:ind w:left="720" w:hanging="720"/>
      </w:pPr>
      <w:r w:rsidRPr="00B9430A">
        <w:t xml:space="preserve">Channuntapipat, C., Samsonova-Taddei, A. &amp; Turley, S. 2019. Exploring diversity in sustainability assurance practice: Evidence from assurance providers in the UK. </w:t>
      </w:r>
      <w:r w:rsidRPr="00B9430A">
        <w:rPr>
          <w:i/>
        </w:rPr>
        <w:t>Accounting, Auditing &amp; Accountability Journal,</w:t>
      </w:r>
      <w:r w:rsidRPr="00B9430A">
        <w:t xml:space="preserve"> 32</w:t>
      </w:r>
      <w:r w:rsidRPr="00B9430A">
        <w:rPr>
          <w:b/>
        </w:rPr>
        <w:t>,</w:t>
      </w:r>
      <w:r w:rsidRPr="00B9430A">
        <w:t xml:space="preserve"> 556-580.</w:t>
      </w:r>
    </w:p>
    <w:p w14:paraId="6D78C8EF" w14:textId="77777777" w:rsidR="00B9430A" w:rsidRPr="00B9430A" w:rsidRDefault="00B9430A" w:rsidP="00B9430A">
      <w:pPr>
        <w:pStyle w:val="EndNoteBibliography"/>
        <w:ind w:left="720" w:hanging="720"/>
      </w:pPr>
      <w:r w:rsidRPr="00B9430A">
        <w:t xml:space="preserve">Clarkson, P., Li, Y., Richardson, G. &amp; Tsang, A. 2019. Causes and consequences of voluntary assurance of CSR reports: International evidence involving Dow Jones Sustainability Index Inclusion and Firm Valuation. </w:t>
      </w:r>
      <w:r w:rsidRPr="00B9430A">
        <w:rPr>
          <w:i/>
        </w:rPr>
        <w:t>Accounting, Auditing &amp; Accountability Journal,</w:t>
      </w:r>
      <w:r w:rsidRPr="00B9430A">
        <w:t xml:space="preserve"> 32</w:t>
      </w:r>
      <w:r w:rsidRPr="00B9430A">
        <w:rPr>
          <w:b/>
        </w:rPr>
        <w:t>,</w:t>
      </w:r>
      <w:r w:rsidRPr="00B9430A">
        <w:t xml:space="preserve"> 2451-2474.</w:t>
      </w:r>
    </w:p>
    <w:p w14:paraId="6023D325" w14:textId="77777777" w:rsidR="00B9430A" w:rsidRPr="00B9430A" w:rsidRDefault="00B9430A" w:rsidP="00B9430A">
      <w:pPr>
        <w:pStyle w:val="EndNoteBibliography"/>
        <w:ind w:left="720" w:hanging="720"/>
      </w:pPr>
      <w:r w:rsidRPr="00B9430A">
        <w:t>Cordery, C., Arora, B. &amp; Manochin, M. 2023. Publ</w:t>
      </w:r>
      <w:r w:rsidRPr="00B9430A">
        <w:rPr>
          <w:rFonts w:hint="eastAsia"/>
        </w:rPr>
        <w:t xml:space="preserve">ic sector audit and the state's responsibility to "leave no‐one behind": The role of integrated democratic accountability. </w:t>
      </w:r>
      <w:r w:rsidRPr="00B9430A">
        <w:rPr>
          <w:rFonts w:hint="eastAsia"/>
          <w:i/>
        </w:rPr>
        <w:t>Financial Accountability &amp; Management,</w:t>
      </w:r>
      <w:r w:rsidRPr="00B9430A">
        <w:rPr>
          <w:rFonts w:hint="eastAsia"/>
        </w:rPr>
        <w:t xml:space="preserve"> 39</w:t>
      </w:r>
      <w:r w:rsidRPr="00B9430A">
        <w:rPr>
          <w:rFonts w:hint="eastAsia"/>
          <w:b/>
        </w:rPr>
        <w:t>,</w:t>
      </w:r>
      <w:r w:rsidRPr="00B9430A">
        <w:rPr>
          <w:rFonts w:hint="eastAsia"/>
        </w:rPr>
        <w:t xml:space="preserve"> 304-326.</w:t>
      </w:r>
    </w:p>
    <w:p w14:paraId="0EC285A1" w14:textId="77777777" w:rsidR="00B9430A" w:rsidRPr="00B9430A" w:rsidRDefault="00B9430A" w:rsidP="00B9430A">
      <w:pPr>
        <w:pStyle w:val="EndNoteBibliography"/>
        <w:ind w:left="720" w:hanging="720"/>
      </w:pPr>
      <w:r w:rsidRPr="00B9430A">
        <w:t xml:space="preserve">Cordery, C. J. &amp; Hay, D. C. 2022. Public sector audit in uncertain times. </w:t>
      </w:r>
      <w:r w:rsidRPr="00B9430A">
        <w:rPr>
          <w:i/>
        </w:rPr>
        <w:t>Financial Accountability &amp; Management,</w:t>
      </w:r>
      <w:r w:rsidRPr="00B9430A">
        <w:t xml:space="preserve"> 38</w:t>
      </w:r>
      <w:r w:rsidRPr="00B9430A">
        <w:rPr>
          <w:b/>
        </w:rPr>
        <w:t>,</w:t>
      </w:r>
      <w:r w:rsidRPr="00B9430A">
        <w:t xml:space="preserve"> 426-446.</w:t>
      </w:r>
    </w:p>
    <w:p w14:paraId="5AF59EBD" w14:textId="77777777" w:rsidR="00B9430A" w:rsidRPr="00B9430A" w:rsidRDefault="00B9430A" w:rsidP="00B9430A">
      <w:pPr>
        <w:pStyle w:val="EndNoteBibliography"/>
        <w:ind w:left="720" w:hanging="720"/>
      </w:pPr>
      <w:r w:rsidRPr="00B9430A">
        <w:t xml:space="preserve">Datt, R., Luo, L., Tang, Q. &amp; Mallik, G. 2018. An International Study of Determinants of Voluntary Carbon Assurance. </w:t>
      </w:r>
      <w:r w:rsidRPr="00B9430A">
        <w:rPr>
          <w:i/>
        </w:rPr>
        <w:t>Journal of International Accounting Research,</w:t>
      </w:r>
      <w:r w:rsidRPr="00B9430A">
        <w:t xml:space="preserve"> 17</w:t>
      </w:r>
      <w:r w:rsidRPr="00B9430A">
        <w:rPr>
          <w:b/>
        </w:rPr>
        <w:t>,</w:t>
      </w:r>
      <w:r w:rsidRPr="00B9430A">
        <w:t xml:space="preserve"> 1-20.</w:t>
      </w:r>
    </w:p>
    <w:p w14:paraId="61240D77" w14:textId="77777777" w:rsidR="00B9430A" w:rsidRPr="00B9430A" w:rsidRDefault="00B9430A" w:rsidP="00B9430A">
      <w:pPr>
        <w:pStyle w:val="EndNoteBibliography"/>
        <w:ind w:left="720" w:hanging="720"/>
      </w:pPr>
      <w:r w:rsidRPr="00B9430A">
        <w:t xml:space="preserve">Dogui, K., Boiral, O. &amp; Gendron, Y. 2013. ISO auditing and the construction of trust in auditor independence. </w:t>
      </w:r>
      <w:r w:rsidRPr="00B9430A">
        <w:rPr>
          <w:i/>
        </w:rPr>
        <w:t>Accounting, Auditing &amp; Accountability Journal,</w:t>
      </w:r>
      <w:r w:rsidRPr="00B9430A">
        <w:t xml:space="preserve"> 26</w:t>
      </w:r>
      <w:r w:rsidRPr="00B9430A">
        <w:rPr>
          <w:b/>
        </w:rPr>
        <w:t>,</w:t>
      </w:r>
      <w:r w:rsidRPr="00B9430A">
        <w:t xml:space="preserve"> 1279-1305.</w:t>
      </w:r>
    </w:p>
    <w:p w14:paraId="4051FA5B" w14:textId="77777777" w:rsidR="00B9430A" w:rsidRPr="00B9430A" w:rsidRDefault="00B9430A" w:rsidP="00B9430A">
      <w:pPr>
        <w:pStyle w:val="EndNoteBibliography"/>
        <w:ind w:left="720" w:hanging="720"/>
      </w:pPr>
      <w:r w:rsidRPr="00B9430A">
        <w:t xml:space="preserve">Donthu, N., Kumar, S., Mukherjee, D., Pandey, N. &amp; Lim, W. M. 2021. How to conduct a bibliometric analysis: An overview and guidelines. </w:t>
      </w:r>
      <w:r w:rsidRPr="00B9430A">
        <w:rPr>
          <w:i/>
        </w:rPr>
        <w:t>Journal of business research,</w:t>
      </w:r>
      <w:r w:rsidRPr="00B9430A">
        <w:t xml:space="preserve"> 133</w:t>
      </w:r>
      <w:r w:rsidRPr="00B9430A">
        <w:rPr>
          <w:b/>
        </w:rPr>
        <w:t>,</w:t>
      </w:r>
      <w:r w:rsidRPr="00B9430A">
        <w:t xml:space="preserve"> 285-296.</w:t>
      </w:r>
    </w:p>
    <w:p w14:paraId="7F2D8B21" w14:textId="77777777" w:rsidR="00B9430A" w:rsidRPr="00B9430A" w:rsidRDefault="00B9430A" w:rsidP="00B9430A">
      <w:pPr>
        <w:pStyle w:val="EndNoteBibliography"/>
        <w:ind w:left="720" w:hanging="720"/>
      </w:pPr>
      <w:r w:rsidRPr="00B9430A">
        <w:t xml:space="preserve">Ekasingh, E., Simnett, R. &amp; Green, W. J. 2019. The Effect of Diversity and the Mediating Role of Elaboration on Multidisciplinary Greenhouse Gas Assurance Team Effectiveness. </w:t>
      </w:r>
      <w:r w:rsidRPr="00B9430A">
        <w:rPr>
          <w:i/>
        </w:rPr>
        <w:t>Behavioral Research in Accounting,</w:t>
      </w:r>
      <w:r w:rsidRPr="00B9430A">
        <w:t xml:space="preserve"> 31</w:t>
      </w:r>
      <w:r w:rsidRPr="00B9430A">
        <w:rPr>
          <w:b/>
        </w:rPr>
        <w:t>,</w:t>
      </w:r>
      <w:r w:rsidRPr="00B9430A">
        <w:t xml:space="preserve"> 81-96.</w:t>
      </w:r>
    </w:p>
    <w:p w14:paraId="4853C8A7" w14:textId="77777777" w:rsidR="00B9430A" w:rsidRPr="00B9430A" w:rsidRDefault="00B9430A" w:rsidP="00B9430A">
      <w:pPr>
        <w:pStyle w:val="EndNoteBibliography"/>
        <w:ind w:left="720" w:hanging="720"/>
      </w:pPr>
      <w:r w:rsidRPr="00B9430A">
        <w:t xml:space="preserve">Emery, A. R. T. &amp; Watson, M. 2003. Eco-auditing and environmental liability: An international perspective. </w:t>
      </w:r>
      <w:r w:rsidRPr="00B9430A">
        <w:rPr>
          <w:i/>
        </w:rPr>
        <w:t>Managerial auditing journal,</w:t>
      </w:r>
      <w:r w:rsidRPr="00B9430A">
        <w:t xml:space="preserve"> 18</w:t>
      </w:r>
      <w:r w:rsidRPr="00B9430A">
        <w:rPr>
          <w:b/>
        </w:rPr>
        <w:t>,</w:t>
      </w:r>
      <w:r w:rsidRPr="00B9430A">
        <w:t xml:space="preserve"> 631-636.</w:t>
      </w:r>
    </w:p>
    <w:p w14:paraId="75A0F73E" w14:textId="77777777" w:rsidR="00B9430A" w:rsidRPr="00B9430A" w:rsidRDefault="00B9430A" w:rsidP="00B9430A">
      <w:pPr>
        <w:pStyle w:val="EndNoteBibliography"/>
        <w:ind w:left="720" w:hanging="720"/>
      </w:pPr>
      <w:r w:rsidRPr="00B9430A">
        <w:t xml:space="preserve">English, L. 2003. EMASCULATING PUBLIC ACCOUNTABILITY IN THE NAME OF COMPETITION: TRANSFORMATION OF STATE AUDIT IN VICTORIA. </w:t>
      </w:r>
      <w:r w:rsidRPr="00B9430A">
        <w:rPr>
          <w:i/>
        </w:rPr>
        <w:t>Critical Perspectives on Accounting,</w:t>
      </w:r>
      <w:r w:rsidRPr="00B9430A">
        <w:t xml:space="preserve"> 14</w:t>
      </w:r>
      <w:r w:rsidRPr="00B9430A">
        <w:rPr>
          <w:b/>
        </w:rPr>
        <w:t>,</w:t>
      </w:r>
      <w:r w:rsidRPr="00B9430A">
        <w:t xml:space="preserve"> 51-76.</w:t>
      </w:r>
    </w:p>
    <w:p w14:paraId="3A7F1364" w14:textId="77777777" w:rsidR="00B9430A" w:rsidRPr="00B9430A" w:rsidRDefault="00B9430A" w:rsidP="00B9430A">
      <w:pPr>
        <w:pStyle w:val="EndNoteBibliography"/>
        <w:ind w:left="720" w:hanging="720"/>
      </w:pPr>
      <w:r w:rsidRPr="00B9430A">
        <w:lastRenderedPageBreak/>
        <w:t xml:space="preserve">Everett, J. 2003. THE POLITICS OF COMPREHENSIVE AUDITING IN FIELDS OF HIGH OUTCOME AND CAUSE UNCERTAINTY. </w:t>
      </w:r>
      <w:r w:rsidRPr="00B9430A">
        <w:rPr>
          <w:i/>
        </w:rPr>
        <w:t>Critical Perspectives on Accounting,</w:t>
      </w:r>
      <w:r w:rsidRPr="00B9430A">
        <w:t xml:space="preserve"> 14</w:t>
      </w:r>
      <w:r w:rsidRPr="00B9430A">
        <w:rPr>
          <w:b/>
        </w:rPr>
        <w:t>,</w:t>
      </w:r>
      <w:r w:rsidRPr="00B9430A">
        <w:t xml:space="preserve"> 77-104.</w:t>
      </w:r>
    </w:p>
    <w:p w14:paraId="6F9E150B" w14:textId="77777777" w:rsidR="00B9430A" w:rsidRPr="00B9430A" w:rsidRDefault="00B9430A" w:rsidP="00B9430A">
      <w:pPr>
        <w:pStyle w:val="EndNoteBibliography"/>
        <w:ind w:left="720" w:hanging="720"/>
      </w:pPr>
      <w:r w:rsidRPr="00B9430A">
        <w:t>Fan, D.</w:t>
      </w:r>
      <w:r w:rsidRPr="00B9430A">
        <w:rPr>
          <w:rFonts w:hint="eastAsia"/>
        </w:rPr>
        <w:t xml:space="preserve">, Breslin, D., Callahan, J. L. &amp; Iszatt‐White, M. 2022. Advancing literature review methodology through rigour, generativity, scope and transparency. </w:t>
      </w:r>
      <w:r w:rsidRPr="00B9430A">
        <w:rPr>
          <w:rFonts w:hint="eastAsia"/>
          <w:i/>
        </w:rPr>
        <w:t>International journal of management reviews,</w:t>
      </w:r>
      <w:r w:rsidRPr="00B9430A">
        <w:rPr>
          <w:rFonts w:hint="eastAsia"/>
        </w:rPr>
        <w:t xml:space="preserve"> 24</w:t>
      </w:r>
      <w:r w:rsidRPr="00B9430A">
        <w:rPr>
          <w:rFonts w:hint="eastAsia"/>
          <w:b/>
        </w:rPr>
        <w:t>,</w:t>
      </w:r>
      <w:r w:rsidRPr="00B9430A">
        <w:rPr>
          <w:rFonts w:hint="eastAsia"/>
        </w:rPr>
        <w:t xml:space="preserve"> 171-180.</w:t>
      </w:r>
    </w:p>
    <w:p w14:paraId="0B7981D8" w14:textId="77777777" w:rsidR="00B9430A" w:rsidRPr="00B9430A" w:rsidRDefault="00B9430A" w:rsidP="00B9430A">
      <w:pPr>
        <w:pStyle w:val="EndNoteBibliography"/>
        <w:ind w:left="720" w:hanging="720"/>
      </w:pPr>
      <w:r w:rsidRPr="00B9430A">
        <w:t xml:space="preserve">Farooq, M. B., Azantouti, A. S. A. &amp; Zaman, R. 2023. Non-financial information assurance: a review of the literature and directions for future research. </w:t>
      </w:r>
      <w:r w:rsidRPr="00B9430A">
        <w:rPr>
          <w:i/>
        </w:rPr>
        <w:t>Sustainability Accounting, Management and Policy Journal,</w:t>
      </w:r>
      <w:r w:rsidRPr="00B9430A">
        <w:t xml:space="preserve"> 15</w:t>
      </w:r>
      <w:r w:rsidRPr="00B9430A">
        <w:rPr>
          <w:b/>
        </w:rPr>
        <w:t>,</w:t>
      </w:r>
      <w:r w:rsidRPr="00B9430A">
        <w:t xml:space="preserve"> 48-84.</w:t>
      </w:r>
    </w:p>
    <w:p w14:paraId="0B51F12A" w14:textId="77777777" w:rsidR="00B9430A" w:rsidRPr="00B9430A" w:rsidRDefault="00B9430A" w:rsidP="00B9430A">
      <w:pPr>
        <w:pStyle w:val="EndNoteBibliography"/>
        <w:ind w:left="720" w:hanging="720"/>
      </w:pPr>
      <w:r w:rsidRPr="00B9430A">
        <w:t xml:space="preserve">Farooq, M. B. &amp; De Villiers, C. 2019. The shaping of sustainability assurance through the competition between accounting and non-accounting providers. </w:t>
      </w:r>
      <w:r w:rsidRPr="00B9430A">
        <w:rPr>
          <w:i/>
        </w:rPr>
        <w:t>Accounting, Auditing &amp; Accountability Journal,</w:t>
      </w:r>
      <w:r w:rsidRPr="00B9430A">
        <w:t xml:space="preserve"> 32</w:t>
      </w:r>
      <w:r w:rsidRPr="00B9430A">
        <w:rPr>
          <w:b/>
        </w:rPr>
        <w:t>,</w:t>
      </w:r>
      <w:r w:rsidRPr="00B9430A">
        <w:t xml:space="preserve"> 307-336.</w:t>
      </w:r>
    </w:p>
    <w:p w14:paraId="0AE051D8" w14:textId="77777777" w:rsidR="00B9430A" w:rsidRPr="00B9430A" w:rsidRDefault="00B9430A" w:rsidP="00B9430A">
      <w:pPr>
        <w:pStyle w:val="EndNoteBibliography"/>
        <w:ind w:left="720" w:hanging="720"/>
      </w:pPr>
      <w:r w:rsidRPr="00B9430A">
        <w:t xml:space="preserve">Farooq, M. B. &amp; De Villiers, C. 2020. How sustainability assurance engagement scopes are determined, and its impact on capture and credibility enhancement. </w:t>
      </w:r>
      <w:r w:rsidRPr="00B9430A">
        <w:rPr>
          <w:i/>
        </w:rPr>
        <w:t>Accounting, Auditing &amp; Accountability Journal,</w:t>
      </w:r>
      <w:r w:rsidRPr="00B9430A">
        <w:t xml:space="preserve"> 33</w:t>
      </w:r>
      <w:r w:rsidRPr="00B9430A">
        <w:rPr>
          <w:b/>
        </w:rPr>
        <w:t>,</w:t>
      </w:r>
      <w:r w:rsidRPr="00B9430A">
        <w:t xml:space="preserve"> 417-445.</w:t>
      </w:r>
    </w:p>
    <w:p w14:paraId="2F78D9A0" w14:textId="77777777" w:rsidR="00B9430A" w:rsidRPr="00B9430A" w:rsidRDefault="00B9430A" w:rsidP="00B9430A">
      <w:pPr>
        <w:pStyle w:val="EndNoteBibliography"/>
        <w:ind w:left="720" w:hanging="720"/>
      </w:pPr>
      <w:r w:rsidRPr="00B9430A">
        <w:t xml:space="preserve">Ferguson, A. &amp; Pündrich, G. 2015. Does industry specialist assurance of non-financial information matter to investors? </w:t>
      </w:r>
      <w:r w:rsidRPr="00B9430A">
        <w:rPr>
          <w:i/>
        </w:rPr>
        <w:t>Auditing: A Journal of Practice &amp; Theory,</w:t>
      </w:r>
      <w:r w:rsidRPr="00B9430A">
        <w:t xml:space="preserve"> 34</w:t>
      </w:r>
      <w:r w:rsidRPr="00B9430A">
        <w:rPr>
          <w:b/>
        </w:rPr>
        <w:t>,</w:t>
      </w:r>
      <w:r w:rsidRPr="00B9430A">
        <w:t xml:space="preserve"> 121-146.</w:t>
      </w:r>
    </w:p>
    <w:p w14:paraId="52105384" w14:textId="77777777" w:rsidR="00B9430A" w:rsidRPr="00B9430A" w:rsidRDefault="00B9430A" w:rsidP="00B9430A">
      <w:pPr>
        <w:pStyle w:val="EndNoteBibliography"/>
        <w:ind w:left="720" w:hanging="720"/>
      </w:pPr>
      <w:r w:rsidRPr="00B9430A">
        <w:t xml:space="preserve">Free, C., Jones, S. &amp; Tremblay, M. S. 2024. Greenwashing and sustainability assurance: a review and call for future research. </w:t>
      </w:r>
      <w:r w:rsidRPr="00B9430A">
        <w:rPr>
          <w:i/>
        </w:rPr>
        <w:t>Journal of Accounting Literature</w:t>
      </w:r>
      <w:r w:rsidRPr="00B9430A">
        <w:t>.</w:t>
      </w:r>
    </w:p>
    <w:p w14:paraId="7FDAC540" w14:textId="77777777" w:rsidR="00B9430A" w:rsidRPr="00B9430A" w:rsidRDefault="00B9430A" w:rsidP="00B9430A">
      <w:pPr>
        <w:pStyle w:val="EndNoteBibliography"/>
        <w:ind w:left="720" w:hanging="720"/>
      </w:pPr>
      <w:r w:rsidRPr="00B9430A">
        <w:t xml:space="preserve">Funnell, W. 2015. Performance Auditing and Adjudicating Political Disputes. </w:t>
      </w:r>
      <w:r w:rsidRPr="00B9430A">
        <w:rPr>
          <w:i/>
        </w:rPr>
        <w:t>Financial Accountability &amp; Management,</w:t>
      </w:r>
      <w:r w:rsidRPr="00B9430A">
        <w:t xml:space="preserve"> 31</w:t>
      </w:r>
      <w:r w:rsidRPr="00B9430A">
        <w:rPr>
          <w:b/>
        </w:rPr>
        <w:t>,</w:t>
      </w:r>
      <w:r w:rsidRPr="00B9430A">
        <w:t xml:space="preserve"> 92-111.</w:t>
      </w:r>
    </w:p>
    <w:p w14:paraId="2AFBDE08" w14:textId="77777777" w:rsidR="00B9430A" w:rsidRPr="00B9430A" w:rsidRDefault="00B9430A" w:rsidP="00B9430A">
      <w:pPr>
        <w:pStyle w:val="EndNoteBibliography"/>
        <w:ind w:left="720" w:hanging="720"/>
      </w:pPr>
      <w:r w:rsidRPr="00B9430A">
        <w:t xml:space="preserve">Funnell, W. &amp; Wade, M. 2012. Negotiating the credibility of performance auditing. </w:t>
      </w:r>
      <w:r w:rsidRPr="00B9430A">
        <w:rPr>
          <w:i/>
        </w:rPr>
        <w:t>Critical Perspectives on Accounting,</w:t>
      </w:r>
      <w:r w:rsidRPr="00B9430A">
        <w:t xml:space="preserve"> 23</w:t>
      </w:r>
      <w:r w:rsidRPr="00B9430A">
        <w:rPr>
          <w:b/>
        </w:rPr>
        <w:t>,</w:t>
      </w:r>
      <w:r w:rsidRPr="00B9430A">
        <w:t xml:space="preserve"> 434-450.</w:t>
      </w:r>
    </w:p>
    <w:p w14:paraId="76D83830" w14:textId="77777777" w:rsidR="00B9430A" w:rsidRPr="00B9430A" w:rsidRDefault="00B9430A" w:rsidP="00B9430A">
      <w:pPr>
        <w:pStyle w:val="EndNoteBibliography"/>
        <w:ind w:left="720" w:hanging="720"/>
      </w:pPr>
      <w:r w:rsidRPr="00B9430A">
        <w:t xml:space="preserve">Gendron, Y. &amp; Barrett, M. 2004. Professionalization in Action: Accountants' Attempt at Building a Network of Support for the WebTrust Seal of Assurance. </w:t>
      </w:r>
      <w:r w:rsidRPr="00B9430A">
        <w:rPr>
          <w:i/>
        </w:rPr>
        <w:t>Contemporary Accounting Research/Recherche Comptable Contemporaine,</w:t>
      </w:r>
      <w:r w:rsidRPr="00B9430A">
        <w:t xml:space="preserve"> 21</w:t>
      </w:r>
      <w:r w:rsidRPr="00B9430A">
        <w:rPr>
          <w:b/>
        </w:rPr>
        <w:t>,</w:t>
      </w:r>
      <w:r w:rsidRPr="00B9430A">
        <w:t xml:space="preserve"> 563-602.</w:t>
      </w:r>
    </w:p>
    <w:p w14:paraId="6842973F" w14:textId="77777777" w:rsidR="00B9430A" w:rsidRPr="00B9430A" w:rsidRDefault="00B9430A" w:rsidP="00B9430A">
      <w:pPr>
        <w:pStyle w:val="EndNoteBibliography"/>
        <w:ind w:left="720" w:hanging="720"/>
      </w:pPr>
      <w:r w:rsidRPr="00B9430A">
        <w:t xml:space="preserve">Gendron, Y., Cooper, D. J. &amp; Townley, B. 2007. The construction of auditing expertise in measuring government performance. </w:t>
      </w:r>
      <w:r w:rsidRPr="00B9430A">
        <w:rPr>
          <w:i/>
        </w:rPr>
        <w:t>Accounting, Organizations &amp; Society,</w:t>
      </w:r>
      <w:r w:rsidRPr="00B9430A">
        <w:t xml:space="preserve"> 32</w:t>
      </w:r>
      <w:r w:rsidRPr="00B9430A">
        <w:rPr>
          <w:b/>
        </w:rPr>
        <w:t>,</w:t>
      </w:r>
      <w:r w:rsidRPr="00B9430A">
        <w:t xml:space="preserve"> 101-129.</w:t>
      </w:r>
    </w:p>
    <w:p w14:paraId="71C74DCE" w14:textId="77777777" w:rsidR="00B9430A" w:rsidRPr="00B9430A" w:rsidRDefault="00B9430A" w:rsidP="00B9430A">
      <w:pPr>
        <w:pStyle w:val="EndNoteBibliography"/>
        <w:ind w:left="720" w:hanging="720"/>
      </w:pPr>
      <w:r w:rsidRPr="00B9430A">
        <w:t xml:space="preserve">Green, W. &amp; Taylor, S. 2013. Factors that Influence Perceptions of Greenhouse Gas Assurance Provider Quality. </w:t>
      </w:r>
      <w:r w:rsidRPr="00B9430A">
        <w:rPr>
          <w:i/>
        </w:rPr>
        <w:t>International Journal of Auditing,</w:t>
      </w:r>
      <w:r w:rsidRPr="00B9430A">
        <w:t xml:space="preserve"> 17</w:t>
      </w:r>
      <w:r w:rsidRPr="00B9430A">
        <w:rPr>
          <w:b/>
        </w:rPr>
        <w:t>,</w:t>
      </w:r>
      <w:r w:rsidRPr="00B9430A">
        <w:t xml:space="preserve"> 288-307.</w:t>
      </w:r>
    </w:p>
    <w:p w14:paraId="7FA9BDB8" w14:textId="77777777" w:rsidR="00B9430A" w:rsidRPr="00B9430A" w:rsidRDefault="00B9430A" w:rsidP="00B9430A">
      <w:pPr>
        <w:pStyle w:val="EndNoteBibliography"/>
        <w:ind w:left="720" w:hanging="720"/>
      </w:pPr>
      <w:r w:rsidRPr="00B9430A">
        <w:t xml:space="preserve">Guthrie, J. E. &amp; Parker, L. D. 1999. A Quarter of a Century of Performance Auditing in the Australian Federal Public Sector: A Malleable Masque. </w:t>
      </w:r>
      <w:r w:rsidRPr="00B9430A">
        <w:rPr>
          <w:i/>
        </w:rPr>
        <w:t>Abacus,</w:t>
      </w:r>
      <w:r w:rsidRPr="00B9430A">
        <w:t xml:space="preserve"> 35</w:t>
      </w:r>
      <w:r w:rsidRPr="00B9430A">
        <w:rPr>
          <w:b/>
        </w:rPr>
        <w:t>,</w:t>
      </w:r>
      <w:r w:rsidRPr="00B9430A">
        <w:t xml:space="preserve"> 302-332.</w:t>
      </w:r>
    </w:p>
    <w:p w14:paraId="356D1CC1" w14:textId="77777777" w:rsidR="00B9430A" w:rsidRPr="00B9430A" w:rsidRDefault="00B9430A" w:rsidP="00B9430A">
      <w:pPr>
        <w:pStyle w:val="EndNoteBibliography"/>
        <w:ind w:left="720" w:hanging="720"/>
      </w:pPr>
      <w:r w:rsidRPr="00B9430A">
        <w:t xml:space="preserve">Haji, A. A., Coram, P. &amp; Troshani, I. 2022. Consequences of CSR reporting regulations worldwide: a review and research agenda. </w:t>
      </w:r>
      <w:r w:rsidRPr="00B9430A">
        <w:rPr>
          <w:i/>
        </w:rPr>
        <w:t>Accounting, Auditing &amp; Accountability Journal,</w:t>
      </w:r>
      <w:r w:rsidRPr="00B9430A">
        <w:t xml:space="preserve"> 36</w:t>
      </w:r>
      <w:r w:rsidRPr="00B9430A">
        <w:rPr>
          <w:b/>
        </w:rPr>
        <w:t>,</w:t>
      </w:r>
      <w:r w:rsidRPr="00B9430A">
        <w:t xml:space="preserve"> 177-208.</w:t>
      </w:r>
    </w:p>
    <w:p w14:paraId="50ECC563" w14:textId="77777777" w:rsidR="00B9430A" w:rsidRPr="00B9430A" w:rsidRDefault="00B9430A" w:rsidP="00B9430A">
      <w:pPr>
        <w:pStyle w:val="EndNoteBibliography"/>
        <w:ind w:left="720" w:hanging="720"/>
      </w:pPr>
      <w:r w:rsidRPr="00B9430A">
        <w:t xml:space="preserve">Hasan, M., Maijoor, S., Mock, T. J., Roebuck, P., Simnett, R. &amp; Vanstraelen, A. 2005. The different types of assurance services and levels of assurance provided. </w:t>
      </w:r>
      <w:r w:rsidRPr="00B9430A">
        <w:rPr>
          <w:i/>
        </w:rPr>
        <w:t>International Journal of Auditing,</w:t>
      </w:r>
      <w:r w:rsidRPr="00B9430A">
        <w:t xml:space="preserve"> 9</w:t>
      </w:r>
      <w:r w:rsidRPr="00B9430A">
        <w:rPr>
          <w:b/>
        </w:rPr>
        <w:t>,</w:t>
      </w:r>
      <w:r w:rsidRPr="00B9430A">
        <w:t xml:space="preserve"> 91-102.</w:t>
      </w:r>
    </w:p>
    <w:p w14:paraId="6488B99D" w14:textId="77777777" w:rsidR="00B9430A" w:rsidRPr="00B9430A" w:rsidRDefault="00B9430A" w:rsidP="00B9430A">
      <w:pPr>
        <w:pStyle w:val="EndNoteBibliography"/>
        <w:ind w:left="720" w:hanging="720"/>
      </w:pPr>
      <w:r w:rsidRPr="00B9430A">
        <w:lastRenderedPageBreak/>
        <w:t xml:space="preserve">Hillary, R. 1998. Environmental Auditing: Concepts, Methods and Developments. </w:t>
      </w:r>
      <w:r w:rsidRPr="00B9430A">
        <w:rPr>
          <w:i/>
        </w:rPr>
        <w:t>International Journal of Auditing,</w:t>
      </w:r>
      <w:r w:rsidRPr="00B9430A">
        <w:t xml:space="preserve"> 2</w:t>
      </w:r>
      <w:r w:rsidRPr="00B9430A">
        <w:rPr>
          <w:b/>
        </w:rPr>
        <w:t>,</w:t>
      </w:r>
      <w:r w:rsidRPr="00B9430A">
        <w:t xml:space="preserve"> 71-85.</w:t>
      </w:r>
    </w:p>
    <w:p w14:paraId="5D7E0143" w14:textId="77777777" w:rsidR="00B9430A" w:rsidRPr="00B9430A" w:rsidRDefault="00B9430A" w:rsidP="00B9430A">
      <w:pPr>
        <w:pStyle w:val="EndNoteBibliography"/>
        <w:ind w:left="720" w:hanging="720"/>
      </w:pPr>
      <w:r w:rsidRPr="00B9430A">
        <w:t xml:space="preserve">Hoang, H. &amp; Trotman, K. T. 2021. The Effect of CSR Assurance and Explicit Assessment on Investor Valuation Judgments. </w:t>
      </w:r>
      <w:r w:rsidRPr="00B9430A">
        <w:rPr>
          <w:i/>
        </w:rPr>
        <w:t>Auditing: A Journal of Practice &amp; Theory,</w:t>
      </w:r>
      <w:r w:rsidRPr="00B9430A">
        <w:t xml:space="preserve"> 40</w:t>
      </w:r>
      <w:r w:rsidRPr="00B9430A">
        <w:rPr>
          <w:b/>
        </w:rPr>
        <w:t>,</w:t>
      </w:r>
      <w:r w:rsidRPr="00B9430A">
        <w:t xml:space="preserve"> 19-33.</w:t>
      </w:r>
    </w:p>
    <w:p w14:paraId="14B8EFE6" w14:textId="77777777" w:rsidR="00B9430A" w:rsidRPr="00B9430A" w:rsidRDefault="00B9430A" w:rsidP="00B9430A">
      <w:pPr>
        <w:pStyle w:val="EndNoteBibliography"/>
        <w:ind w:left="720" w:hanging="720"/>
      </w:pPr>
      <w:r w:rsidRPr="00B9430A">
        <w:t xml:space="preserve">Hummel, K., Schlick, C. &amp; Fifka, M. 2019. The Role of Sustainability Performance and Accounting Assurors in Sustainability Assurance Engagements: JBE. </w:t>
      </w:r>
      <w:r w:rsidRPr="00B9430A">
        <w:rPr>
          <w:i/>
        </w:rPr>
        <w:t>Journal of Business Ethics,</w:t>
      </w:r>
      <w:r w:rsidRPr="00B9430A">
        <w:t xml:space="preserve"> 154</w:t>
      </w:r>
      <w:r w:rsidRPr="00B9430A">
        <w:rPr>
          <w:b/>
        </w:rPr>
        <w:t>,</w:t>
      </w:r>
      <w:r w:rsidRPr="00B9430A">
        <w:t xml:space="preserve"> 733-757.</w:t>
      </w:r>
    </w:p>
    <w:p w14:paraId="1CD9EC51" w14:textId="77777777" w:rsidR="00B9430A" w:rsidRPr="00B9430A" w:rsidRDefault="00B9430A" w:rsidP="00B9430A">
      <w:pPr>
        <w:pStyle w:val="EndNoteBibliography"/>
        <w:ind w:left="720" w:hanging="720"/>
      </w:pPr>
      <w:r w:rsidRPr="00B9430A">
        <w:rPr>
          <w:rFonts w:hint="eastAsia"/>
        </w:rPr>
        <w:t xml:space="preserve">Humphreys, K. A. &amp; Trotman, K. T. 2022. Judgment and decision making research on CSR reporting in the COVID‐19 pandemic environment. </w:t>
      </w:r>
      <w:r w:rsidRPr="00B9430A">
        <w:rPr>
          <w:rFonts w:hint="eastAsia"/>
          <w:i/>
        </w:rPr>
        <w:t>Accounting &amp; Finance,</w:t>
      </w:r>
      <w:r w:rsidRPr="00B9430A">
        <w:rPr>
          <w:rFonts w:hint="eastAsia"/>
        </w:rPr>
        <w:t xml:space="preserve"> 62</w:t>
      </w:r>
      <w:r w:rsidRPr="00B9430A">
        <w:rPr>
          <w:rFonts w:hint="eastAsia"/>
          <w:b/>
        </w:rPr>
        <w:t>,</w:t>
      </w:r>
      <w:r w:rsidRPr="00B9430A">
        <w:rPr>
          <w:rFonts w:hint="eastAsia"/>
        </w:rPr>
        <w:t xml:space="preserve"> 739-765.</w:t>
      </w:r>
    </w:p>
    <w:p w14:paraId="70E4C7B9" w14:textId="77777777" w:rsidR="00B9430A" w:rsidRPr="00B9430A" w:rsidRDefault="00B9430A" w:rsidP="00B9430A">
      <w:pPr>
        <w:pStyle w:val="EndNoteBibliography"/>
        <w:ind w:left="720" w:hanging="720"/>
      </w:pPr>
      <w:r w:rsidRPr="00B9430A">
        <w:t xml:space="preserve">Justesen, L. &amp; Skærbæk, P. 2010. PERFORMANCE AUDITING AND THE NARRATING OF A NEW AUDITEE IDENTITY. </w:t>
      </w:r>
      <w:r w:rsidRPr="00B9430A">
        <w:rPr>
          <w:i/>
        </w:rPr>
        <w:t>Financial Accountability &amp; Management,</w:t>
      </w:r>
      <w:r w:rsidRPr="00B9430A">
        <w:t xml:space="preserve"> 26</w:t>
      </w:r>
      <w:r w:rsidRPr="00B9430A">
        <w:rPr>
          <w:b/>
        </w:rPr>
        <w:t>,</w:t>
      </w:r>
      <w:r w:rsidRPr="00B9430A">
        <w:t xml:space="preserve"> 325-343.</w:t>
      </w:r>
    </w:p>
    <w:p w14:paraId="03FDCF1B" w14:textId="77777777" w:rsidR="00B9430A" w:rsidRPr="00B9430A" w:rsidRDefault="00B9430A" w:rsidP="00B9430A">
      <w:pPr>
        <w:pStyle w:val="EndNoteBibliography"/>
        <w:ind w:left="720" w:hanging="720"/>
      </w:pPr>
      <w:r w:rsidRPr="00B9430A">
        <w:t xml:space="preserve">Kim, S., Green, W. J. &amp; Johnstone, K. M. 2016. Biased Evidence Processing by Multidisciplinary Greenhouse Gas Assurance Teams. </w:t>
      </w:r>
      <w:r w:rsidRPr="00B9430A">
        <w:rPr>
          <w:i/>
        </w:rPr>
        <w:t>Auditing: A Journal of Practice &amp; Theory,</w:t>
      </w:r>
      <w:r w:rsidRPr="00B9430A">
        <w:t xml:space="preserve"> 35</w:t>
      </w:r>
      <w:r w:rsidRPr="00B9430A">
        <w:rPr>
          <w:b/>
        </w:rPr>
        <w:t>,</w:t>
      </w:r>
      <w:r w:rsidRPr="00B9430A">
        <w:t xml:space="preserve"> 119-139.</w:t>
      </w:r>
    </w:p>
    <w:p w14:paraId="2E102C0C" w14:textId="77777777" w:rsidR="00B9430A" w:rsidRPr="00B9430A" w:rsidRDefault="00B9430A" w:rsidP="00B9430A">
      <w:pPr>
        <w:pStyle w:val="EndNoteBibliography"/>
        <w:ind w:left="720" w:hanging="720"/>
      </w:pPr>
      <w:r w:rsidRPr="00B9430A">
        <w:t xml:space="preserve">Krasodomska, J., Simnett, R. &amp; Street, D. L. 2021. Extended external reporting assurance: Current practices and challenges. </w:t>
      </w:r>
      <w:r w:rsidRPr="00B9430A">
        <w:rPr>
          <w:i/>
        </w:rPr>
        <w:t>Journal of international financial management &amp; accounting,</w:t>
      </w:r>
      <w:r w:rsidRPr="00B9430A">
        <w:t xml:space="preserve"> 32</w:t>
      </w:r>
      <w:r w:rsidRPr="00B9430A">
        <w:rPr>
          <w:b/>
        </w:rPr>
        <w:t>,</w:t>
      </w:r>
      <w:r w:rsidRPr="00B9430A">
        <w:t xml:space="preserve"> 104-142.</w:t>
      </w:r>
    </w:p>
    <w:p w14:paraId="0392B32B" w14:textId="77777777" w:rsidR="00B9430A" w:rsidRPr="00B9430A" w:rsidRDefault="00B9430A" w:rsidP="00B9430A">
      <w:pPr>
        <w:pStyle w:val="EndNoteBibliography"/>
        <w:ind w:left="720" w:hanging="720"/>
      </w:pPr>
      <w:r w:rsidRPr="00B9430A">
        <w:t xml:space="preserve">Liao, L., Teng, L. &amp; Zhang, Y. 2018. Corporate Board and Corporate Social Responsibility Assurance: Evidence from China: JBE. </w:t>
      </w:r>
      <w:r w:rsidRPr="00B9430A">
        <w:rPr>
          <w:i/>
        </w:rPr>
        <w:t>Journal of Business Ethics,</w:t>
      </w:r>
      <w:r w:rsidRPr="00B9430A">
        <w:t xml:space="preserve"> 150</w:t>
      </w:r>
      <w:r w:rsidRPr="00B9430A">
        <w:rPr>
          <w:b/>
        </w:rPr>
        <w:t>,</w:t>
      </w:r>
      <w:r w:rsidRPr="00B9430A">
        <w:t xml:space="preserve"> 211-225.</w:t>
      </w:r>
    </w:p>
    <w:p w14:paraId="01CB06B7" w14:textId="77777777" w:rsidR="00B9430A" w:rsidRPr="00B9430A" w:rsidRDefault="00B9430A" w:rsidP="00B9430A">
      <w:pPr>
        <w:pStyle w:val="EndNoteBibliography"/>
        <w:ind w:left="720" w:hanging="720"/>
      </w:pPr>
      <w:r w:rsidRPr="00B9430A">
        <w:t xml:space="preserve">Linnenluecke, M. K., Marrone, M. &amp; Singh, A. K. 2020. Conducting systematic literature reviews and bibliometric analyses. </w:t>
      </w:r>
      <w:r w:rsidRPr="00B9430A">
        <w:rPr>
          <w:i/>
        </w:rPr>
        <w:t>Australian journal of management,</w:t>
      </w:r>
      <w:r w:rsidRPr="00B9430A">
        <w:t xml:space="preserve"> 45</w:t>
      </w:r>
      <w:r w:rsidRPr="00B9430A">
        <w:rPr>
          <w:b/>
        </w:rPr>
        <w:t>,</w:t>
      </w:r>
      <w:r w:rsidRPr="00B9430A">
        <w:t xml:space="preserve"> 175-194.</w:t>
      </w:r>
    </w:p>
    <w:p w14:paraId="324E8C06" w14:textId="77777777" w:rsidR="00B9430A" w:rsidRPr="00B9430A" w:rsidRDefault="00B9430A" w:rsidP="00B9430A">
      <w:pPr>
        <w:pStyle w:val="EndNoteBibliography"/>
        <w:ind w:left="720" w:hanging="720"/>
      </w:pPr>
      <w:r w:rsidRPr="00B9430A">
        <w:t xml:space="preserve">Maltby, J. 1995. Environmental audit: Theory and practices. </w:t>
      </w:r>
      <w:r w:rsidRPr="00B9430A">
        <w:rPr>
          <w:i/>
        </w:rPr>
        <w:t>Managerial auditing journal,</w:t>
      </w:r>
      <w:r w:rsidRPr="00B9430A">
        <w:t xml:space="preserve"> 10</w:t>
      </w:r>
      <w:r w:rsidRPr="00B9430A">
        <w:rPr>
          <w:b/>
        </w:rPr>
        <w:t>,</w:t>
      </w:r>
      <w:r w:rsidRPr="00B9430A">
        <w:t xml:space="preserve"> 15.</w:t>
      </w:r>
    </w:p>
    <w:p w14:paraId="639C35A1" w14:textId="77777777" w:rsidR="00B9430A" w:rsidRPr="00B9430A" w:rsidRDefault="00B9430A" w:rsidP="00B9430A">
      <w:pPr>
        <w:pStyle w:val="EndNoteBibliography"/>
        <w:ind w:left="720" w:hanging="720"/>
      </w:pPr>
      <w:r w:rsidRPr="00B9430A">
        <w:t xml:space="preserve">Martínez-Ferrero, J. &amp; García-Sánchez, I.-M. 2018. The Level of Sustainability Assurance: The Effects of Brand Reputation and Industry Specialisation of Assurance Providers: JBE. </w:t>
      </w:r>
      <w:r w:rsidRPr="00B9430A">
        <w:rPr>
          <w:i/>
        </w:rPr>
        <w:t>Journal of Business Ethics,</w:t>
      </w:r>
      <w:r w:rsidRPr="00B9430A">
        <w:t xml:space="preserve"> 150</w:t>
      </w:r>
      <w:r w:rsidRPr="00B9430A">
        <w:rPr>
          <w:b/>
        </w:rPr>
        <w:t>,</w:t>
      </w:r>
      <w:r w:rsidRPr="00B9430A">
        <w:t xml:space="preserve"> 971-990.</w:t>
      </w:r>
    </w:p>
    <w:p w14:paraId="6B9F33DD" w14:textId="77777777" w:rsidR="00B9430A" w:rsidRPr="00B9430A" w:rsidRDefault="00B9430A" w:rsidP="00B9430A">
      <w:pPr>
        <w:pStyle w:val="EndNoteBibliography"/>
        <w:ind w:left="720" w:hanging="720"/>
      </w:pPr>
      <w:r w:rsidRPr="00B9430A">
        <w:t xml:space="preserve">Massaro, M., Dumay, J. &amp; Guthrie, J. 2016. On the shoulders of giants: undertaking a structured literature review in accounting. </w:t>
      </w:r>
      <w:r w:rsidRPr="00B9430A">
        <w:rPr>
          <w:i/>
        </w:rPr>
        <w:t>Accounting, Auditing &amp; Accountability Journal,</w:t>
      </w:r>
      <w:r w:rsidRPr="00B9430A">
        <w:t xml:space="preserve"> 29</w:t>
      </w:r>
      <w:r w:rsidRPr="00B9430A">
        <w:rPr>
          <w:b/>
        </w:rPr>
        <w:t>,</w:t>
      </w:r>
      <w:r w:rsidRPr="00B9430A">
        <w:t xml:space="preserve"> 767-801.</w:t>
      </w:r>
    </w:p>
    <w:p w14:paraId="63D8D955" w14:textId="77777777" w:rsidR="00B9430A" w:rsidRPr="00B9430A" w:rsidRDefault="00B9430A" w:rsidP="00B9430A">
      <w:pPr>
        <w:pStyle w:val="EndNoteBibliography"/>
        <w:ind w:left="720" w:hanging="720"/>
      </w:pPr>
      <w:r w:rsidRPr="00B9430A">
        <w:t xml:space="preserve">Miller, P. &amp; Power, M. 2013. Accounting, organizing, and economizing: Connecting accounting research and organization theory. </w:t>
      </w:r>
      <w:r w:rsidRPr="00B9430A">
        <w:rPr>
          <w:i/>
        </w:rPr>
        <w:t>Academy of Management annals,</w:t>
      </w:r>
      <w:r w:rsidRPr="00B9430A">
        <w:t xml:space="preserve"> 7</w:t>
      </w:r>
      <w:r w:rsidRPr="00B9430A">
        <w:rPr>
          <w:b/>
        </w:rPr>
        <w:t>,</w:t>
      </w:r>
      <w:r w:rsidRPr="00B9430A">
        <w:t xml:space="preserve"> 557-605.</w:t>
      </w:r>
    </w:p>
    <w:p w14:paraId="0CADDD87" w14:textId="77777777" w:rsidR="00B9430A" w:rsidRPr="00B9430A" w:rsidRDefault="00B9430A" w:rsidP="00B9430A">
      <w:pPr>
        <w:pStyle w:val="EndNoteBibliography"/>
        <w:ind w:left="720" w:hanging="720"/>
      </w:pPr>
      <w:r w:rsidRPr="00B9430A">
        <w:t xml:space="preserve">Morimoto, R., Ash, J. &amp; Hope, C. 2005. Corporate Social Responsibility Audit: From Theory to Practice. </w:t>
      </w:r>
      <w:r w:rsidRPr="00B9430A">
        <w:rPr>
          <w:i/>
        </w:rPr>
        <w:t>Journal of Business Ethics,</w:t>
      </w:r>
      <w:r w:rsidRPr="00B9430A">
        <w:t xml:space="preserve"> 62</w:t>
      </w:r>
      <w:r w:rsidRPr="00B9430A">
        <w:rPr>
          <w:b/>
        </w:rPr>
        <w:t>,</w:t>
      </w:r>
      <w:r w:rsidRPr="00B9430A">
        <w:t xml:space="preserve"> 315-325.</w:t>
      </w:r>
    </w:p>
    <w:p w14:paraId="0C9840AF" w14:textId="77777777" w:rsidR="00B9430A" w:rsidRPr="00B9430A" w:rsidRDefault="00B9430A" w:rsidP="00B9430A">
      <w:pPr>
        <w:pStyle w:val="EndNoteBibliography"/>
        <w:ind w:left="720" w:hanging="720"/>
      </w:pPr>
      <w:r w:rsidRPr="00B9430A">
        <w:t xml:space="preserve">Moroney, R., Campbell, F., Hamilton, J. &amp; Warren, V. 2020. </w:t>
      </w:r>
      <w:r w:rsidRPr="00B9430A">
        <w:rPr>
          <w:i/>
        </w:rPr>
        <w:t>Auditing: a practical approach</w:t>
      </w:r>
      <w:r w:rsidRPr="00B9430A">
        <w:t>, Wiley Global Education.</w:t>
      </w:r>
    </w:p>
    <w:p w14:paraId="0EEB210C" w14:textId="77777777" w:rsidR="00B9430A" w:rsidRPr="00B9430A" w:rsidRDefault="00B9430A" w:rsidP="00B9430A">
      <w:pPr>
        <w:pStyle w:val="EndNoteBibliography"/>
        <w:ind w:left="720" w:hanging="720"/>
      </w:pPr>
      <w:r w:rsidRPr="00B9430A">
        <w:lastRenderedPageBreak/>
        <w:t xml:space="preserve">Moroney, R., Windsor, C. &amp; Aw, Y. T. 2012. Evidence of assurance enhancing the quality of voluntary environmental disclosures: an empirical analysis. </w:t>
      </w:r>
      <w:r w:rsidRPr="00B9430A">
        <w:rPr>
          <w:i/>
        </w:rPr>
        <w:t>Accounting &amp; Finance,</w:t>
      </w:r>
      <w:r w:rsidRPr="00B9430A">
        <w:t xml:space="preserve"> 52</w:t>
      </w:r>
      <w:r w:rsidRPr="00B9430A">
        <w:rPr>
          <w:b/>
        </w:rPr>
        <w:t>,</w:t>
      </w:r>
      <w:r w:rsidRPr="00B9430A">
        <w:t xml:space="preserve"> 903-939.</w:t>
      </w:r>
    </w:p>
    <w:p w14:paraId="66DD0DC6" w14:textId="77777777" w:rsidR="00B9430A" w:rsidRPr="00B9430A" w:rsidRDefault="00B9430A" w:rsidP="00B9430A">
      <w:pPr>
        <w:pStyle w:val="EndNoteBibliography"/>
        <w:ind w:left="720" w:hanging="720"/>
      </w:pPr>
      <w:r w:rsidRPr="00B9430A">
        <w:t xml:space="preserve">Muhammad Bilal, F. &amp; De Villiers, C. 2020. How sustainability assurance engagement scopes are determined, and its impact on capture and credibility enhancement. </w:t>
      </w:r>
      <w:r w:rsidRPr="00B9430A">
        <w:rPr>
          <w:i/>
        </w:rPr>
        <w:t>Accounting, Auditing &amp; Accountability Journal,</w:t>
      </w:r>
      <w:r w:rsidRPr="00B9430A">
        <w:t xml:space="preserve"> 33</w:t>
      </w:r>
      <w:r w:rsidRPr="00B9430A">
        <w:rPr>
          <w:b/>
        </w:rPr>
        <w:t>,</w:t>
      </w:r>
      <w:r w:rsidRPr="00B9430A">
        <w:t xml:space="preserve"> 417-445.</w:t>
      </w:r>
    </w:p>
    <w:p w14:paraId="73DEAD96" w14:textId="77777777" w:rsidR="00B9430A" w:rsidRPr="00B9430A" w:rsidRDefault="00B9430A" w:rsidP="00B9430A">
      <w:pPr>
        <w:pStyle w:val="EndNoteBibliography"/>
        <w:ind w:left="720" w:hanging="720"/>
      </w:pPr>
      <w:r w:rsidRPr="00B9430A">
        <w:t xml:space="preserve">O'dwyer, B. 2011. The Case of Sustainability Assurance: Constructing a New Assurance Service. </w:t>
      </w:r>
      <w:r w:rsidRPr="00B9430A">
        <w:rPr>
          <w:i/>
        </w:rPr>
        <w:t>Contemporary Accounting Research,</w:t>
      </w:r>
      <w:r w:rsidRPr="00B9430A">
        <w:t xml:space="preserve"> 28</w:t>
      </w:r>
      <w:r w:rsidRPr="00B9430A">
        <w:rPr>
          <w:b/>
        </w:rPr>
        <w:t>,</w:t>
      </w:r>
      <w:r w:rsidRPr="00B9430A">
        <w:t xml:space="preserve"> 1230-1266.</w:t>
      </w:r>
    </w:p>
    <w:p w14:paraId="053A5BEC" w14:textId="77777777" w:rsidR="00B9430A" w:rsidRPr="00B9430A" w:rsidRDefault="00B9430A" w:rsidP="00B9430A">
      <w:pPr>
        <w:pStyle w:val="EndNoteBibliography"/>
        <w:ind w:left="720" w:hanging="720"/>
      </w:pPr>
      <w:r w:rsidRPr="00B9430A">
        <w:t xml:space="preserve">O'dwyer, B. &amp; Owen, D. L. 2005. Assurance statement practice in environmental, social and sustainability reporting: a critical evaluation. </w:t>
      </w:r>
      <w:r w:rsidRPr="00B9430A">
        <w:rPr>
          <w:i/>
        </w:rPr>
        <w:t>British Accounting Review,</w:t>
      </w:r>
      <w:r w:rsidRPr="00B9430A">
        <w:t xml:space="preserve"> 37</w:t>
      </w:r>
      <w:r w:rsidRPr="00B9430A">
        <w:rPr>
          <w:b/>
        </w:rPr>
        <w:t>,</w:t>
      </w:r>
      <w:r w:rsidRPr="00B9430A">
        <w:t xml:space="preserve"> 205-229.</w:t>
      </w:r>
    </w:p>
    <w:p w14:paraId="63DC88FF" w14:textId="77777777" w:rsidR="00B9430A" w:rsidRPr="00B9430A" w:rsidRDefault="00B9430A" w:rsidP="00B9430A">
      <w:pPr>
        <w:pStyle w:val="EndNoteBibliography"/>
        <w:ind w:left="720" w:hanging="720"/>
      </w:pPr>
      <w:r w:rsidRPr="00B9430A">
        <w:t xml:space="preserve">Okoli, C. 2015. A guide to conducting a standalone systematic literature review. </w:t>
      </w:r>
      <w:r w:rsidRPr="00B9430A">
        <w:rPr>
          <w:i/>
        </w:rPr>
        <w:t>Communications of the association for information systems,</w:t>
      </w:r>
      <w:r w:rsidRPr="00B9430A">
        <w:t xml:space="preserve"> 37.</w:t>
      </w:r>
    </w:p>
    <w:p w14:paraId="469418B3" w14:textId="77777777" w:rsidR="00B9430A" w:rsidRPr="00B9430A" w:rsidRDefault="00B9430A" w:rsidP="00B9430A">
      <w:pPr>
        <w:pStyle w:val="EndNoteBibliography"/>
        <w:ind w:left="720" w:hanging="720"/>
      </w:pPr>
      <w:r w:rsidRPr="00B9430A">
        <w:t xml:space="preserve">Oware, K. M. &amp; Appiah, K. 2022. CSR assurance practice and financial distress likelihood. Evidence from India. </w:t>
      </w:r>
      <w:r w:rsidRPr="00B9430A">
        <w:rPr>
          <w:i/>
        </w:rPr>
        <w:t>Meditari Accountancy Research,</w:t>
      </w:r>
      <w:r w:rsidRPr="00B9430A">
        <w:t xml:space="preserve"> 30</w:t>
      </w:r>
      <w:r w:rsidRPr="00B9430A">
        <w:rPr>
          <w:b/>
        </w:rPr>
        <w:t>,</w:t>
      </w:r>
      <w:r w:rsidRPr="00B9430A">
        <w:t xml:space="preserve"> 1470-1492.</w:t>
      </w:r>
    </w:p>
    <w:p w14:paraId="6C4470C3" w14:textId="77777777" w:rsidR="00B9430A" w:rsidRPr="00B9430A" w:rsidRDefault="00B9430A" w:rsidP="00B9430A">
      <w:pPr>
        <w:pStyle w:val="EndNoteBibliography"/>
        <w:ind w:left="720" w:hanging="720"/>
      </w:pPr>
      <w:r w:rsidRPr="00B9430A">
        <w:t xml:space="preserve">Owen, D. L., Swift, T. A., Humphrey, C. &amp; Bowerman, M. 2000. The new social audits: accountability, managerial capture or the agenda of social champions? </w:t>
      </w:r>
      <w:r w:rsidRPr="00B9430A">
        <w:rPr>
          <w:i/>
        </w:rPr>
        <w:t>European Accounting Review,</w:t>
      </w:r>
      <w:r w:rsidRPr="00B9430A">
        <w:t xml:space="preserve"> 9</w:t>
      </w:r>
      <w:r w:rsidRPr="00B9430A">
        <w:rPr>
          <w:b/>
        </w:rPr>
        <w:t>,</w:t>
      </w:r>
      <w:r w:rsidRPr="00B9430A">
        <w:t xml:space="preserve"> 81-98.</w:t>
      </w:r>
    </w:p>
    <w:p w14:paraId="2ACAD239" w14:textId="77777777" w:rsidR="00B9430A" w:rsidRPr="00B9430A" w:rsidRDefault="00B9430A" w:rsidP="00B9430A">
      <w:pPr>
        <w:pStyle w:val="EndNoteBibliography"/>
        <w:ind w:left="720" w:hanging="720"/>
      </w:pPr>
      <w:r w:rsidRPr="00B9430A">
        <w:t xml:space="preserve">Parker, L. D. &amp; Guthrie, J. 1991. PERFORMANCE AUDITING: THE JURISDICTION OF THE AUSTRALIAN AUDITOR GENERAL - DE JURE OR DE FACTO? </w:t>
      </w:r>
      <w:r w:rsidRPr="00B9430A">
        <w:rPr>
          <w:i/>
        </w:rPr>
        <w:t>Financial Accountability &amp; Management,</w:t>
      </w:r>
      <w:r w:rsidRPr="00B9430A">
        <w:t xml:space="preserve"> 7</w:t>
      </w:r>
      <w:r w:rsidRPr="00B9430A">
        <w:rPr>
          <w:b/>
        </w:rPr>
        <w:t>,</w:t>
      </w:r>
      <w:r w:rsidRPr="00B9430A">
        <w:t xml:space="preserve"> 107.</w:t>
      </w:r>
    </w:p>
    <w:p w14:paraId="6C9C5FF7" w14:textId="77777777" w:rsidR="00B9430A" w:rsidRPr="00B9430A" w:rsidRDefault="00B9430A" w:rsidP="00B9430A">
      <w:pPr>
        <w:pStyle w:val="EndNoteBibliography"/>
        <w:ind w:left="720" w:hanging="720"/>
      </w:pPr>
      <w:r w:rsidRPr="00B9430A">
        <w:t xml:space="preserve">Parker, L. D., Schmitz, J. &amp; Jacobs, K. 2021. Auditor and auditee engagement with public sector performance audit: An institutional logics perspective. </w:t>
      </w:r>
      <w:r w:rsidRPr="00B9430A">
        <w:rPr>
          <w:i/>
        </w:rPr>
        <w:t>Financial Accountability &amp; Management,</w:t>
      </w:r>
      <w:r w:rsidRPr="00B9430A">
        <w:t xml:space="preserve"> 37</w:t>
      </w:r>
      <w:r w:rsidRPr="00B9430A">
        <w:rPr>
          <w:b/>
        </w:rPr>
        <w:t>,</w:t>
      </w:r>
      <w:r w:rsidRPr="00B9430A">
        <w:t xml:space="preserve"> 142-162.</w:t>
      </w:r>
    </w:p>
    <w:p w14:paraId="7DB26A4D" w14:textId="77777777" w:rsidR="00B9430A" w:rsidRPr="00B9430A" w:rsidRDefault="00B9430A" w:rsidP="00B9430A">
      <w:pPr>
        <w:pStyle w:val="EndNoteBibliography"/>
        <w:ind w:left="720" w:hanging="720"/>
      </w:pPr>
      <w:r w:rsidRPr="00B9430A">
        <w:t xml:space="preserve">Pollitt, C. 2003. PERFORMANCE AUDIT IN WESTERN EUROPE: TRENDS AND CHOICES. </w:t>
      </w:r>
      <w:r w:rsidRPr="00B9430A">
        <w:rPr>
          <w:i/>
        </w:rPr>
        <w:t>Critical Perspectives on Accounting,</w:t>
      </w:r>
      <w:r w:rsidRPr="00B9430A">
        <w:t xml:space="preserve"> 14</w:t>
      </w:r>
      <w:r w:rsidRPr="00B9430A">
        <w:rPr>
          <w:b/>
        </w:rPr>
        <w:t>,</w:t>
      </w:r>
      <w:r w:rsidRPr="00B9430A">
        <w:t xml:space="preserve"> 157-170.</w:t>
      </w:r>
    </w:p>
    <w:p w14:paraId="16D98BC9" w14:textId="77777777" w:rsidR="00B9430A" w:rsidRPr="00B9430A" w:rsidRDefault="00B9430A" w:rsidP="00B9430A">
      <w:pPr>
        <w:pStyle w:val="EndNoteBibliography"/>
        <w:ind w:left="720" w:hanging="720"/>
      </w:pPr>
      <w:r w:rsidRPr="00B9430A">
        <w:t xml:space="preserve">Power, M. 1994. </w:t>
      </w:r>
      <w:r w:rsidRPr="00B9430A">
        <w:rPr>
          <w:i/>
        </w:rPr>
        <w:t>The audit explosion</w:t>
      </w:r>
      <w:r w:rsidRPr="00B9430A">
        <w:t>, Demos.</w:t>
      </w:r>
    </w:p>
    <w:p w14:paraId="3D9480F3" w14:textId="77777777" w:rsidR="00B9430A" w:rsidRPr="00B9430A" w:rsidRDefault="00B9430A" w:rsidP="00B9430A">
      <w:pPr>
        <w:pStyle w:val="EndNoteBibliography"/>
        <w:ind w:left="720" w:hanging="720"/>
      </w:pPr>
      <w:r w:rsidRPr="00B9430A">
        <w:t xml:space="preserve">Power, M. 1996. MAKING THINGS AUDITABLE. </w:t>
      </w:r>
      <w:r w:rsidRPr="00B9430A">
        <w:rPr>
          <w:i/>
        </w:rPr>
        <w:t>Accounting, Organizations &amp; Society,</w:t>
      </w:r>
      <w:r w:rsidRPr="00B9430A">
        <w:t xml:space="preserve"> 21</w:t>
      </w:r>
      <w:r w:rsidRPr="00B9430A">
        <w:rPr>
          <w:b/>
        </w:rPr>
        <w:t>,</w:t>
      </w:r>
      <w:r w:rsidRPr="00B9430A">
        <w:t xml:space="preserve"> 289-315.</w:t>
      </w:r>
    </w:p>
    <w:p w14:paraId="47418EEB" w14:textId="77777777" w:rsidR="00B9430A" w:rsidRPr="00B9430A" w:rsidRDefault="00B9430A" w:rsidP="00B9430A">
      <w:pPr>
        <w:pStyle w:val="EndNoteBibliography"/>
        <w:ind w:left="720" w:hanging="720"/>
      </w:pPr>
      <w:r w:rsidRPr="00B9430A">
        <w:t xml:space="preserve">Power, M. 1997a. </w:t>
      </w:r>
      <w:r w:rsidRPr="00B9430A">
        <w:rPr>
          <w:i/>
        </w:rPr>
        <w:t>The audit society: Rituals of verification</w:t>
      </w:r>
      <w:r w:rsidRPr="00B9430A">
        <w:t>, OUP Oxford.</w:t>
      </w:r>
    </w:p>
    <w:p w14:paraId="65F86FF6" w14:textId="77777777" w:rsidR="00B9430A" w:rsidRPr="00B9430A" w:rsidRDefault="00B9430A" w:rsidP="00B9430A">
      <w:pPr>
        <w:pStyle w:val="EndNoteBibliography"/>
        <w:ind w:left="720" w:hanging="720"/>
      </w:pPr>
      <w:r w:rsidRPr="00B9430A">
        <w:t xml:space="preserve">Power, M. 1997b. EXPERTISE AND THE CONSTRUCTION OF RELEVANCE: ACCOUNTANTS AND ENVIRONMENTAL AUDIT. </w:t>
      </w:r>
      <w:r w:rsidRPr="00B9430A">
        <w:rPr>
          <w:i/>
        </w:rPr>
        <w:t>Accounting, Organizations &amp; Society,</w:t>
      </w:r>
      <w:r w:rsidRPr="00B9430A">
        <w:t xml:space="preserve"> 22</w:t>
      </w:r>
      <w:r w:rsidRPr="00B9430A">
        <w:rPr>
          <w:b/>
        </w:rPr>
        <w:t>,</w:t>
      </w:r>
      <w:r w:rsidRPr="00B9430A">
        <w:t xml:space="preserve"> 123-146.</w:t>
      </w:r>
    </w:p>
    <w:p w14:paraId="10C382D2" w14:textId="77777777" w:rsidR="00B9430A" w:rsidRPr="00B9430A" w:rsidRDefault="00B9430A" w:rsidP="00B9430A">
      <w:pPr>
        <w:pStyle w:val="EndNoteBibliography"/>
        <w:ind w:left="720" w:hanging="720"/>
      </w:pPr>
      <w:r w:rsidRPr="00B9430A">
        <w:t xml:space="preserve">Power, M. 2003a. Evaluating the Audit Explosion. </w:t>
      </w:r>
      <w:r w:rsidRPr="00B9430A">
        <w:rPr>
          <w:i/>
        </w:rPr>
        <w:t>Law &amp; Policy,</w:t>
      </w:r>
      <w:r w:rsidRPr="00B9430A">
        <w:t xml:space="preserve"> 25</w:t>
      </w:r>
      <w:r w:rsidRPr="00B9430A">
        <w:rPr>
          <w:b/>
        </w:rPr>
        <w:t>,</w:t>
      </w:r>
      <w:r w:rsidRPr="00B9430A">
        <w:t xml:space="preserve"> 185-202.</w:t>
      </w:r>
    </w:p>
    <w:p w14:paraId="0A689B78" w14:textId="77777777" w:rsidR="00B9430A" w:rsidRPr="00B9430A" w:rsidRDefault="00B9430A" w:rsidP="00B9430A">
      <w:pPr>
        <w:pStyle w:val="EndNoteBibliography"/>
        <w:ind w:left="720" w:hanging="720"/>
      </w:pPr>
      <w:r w:rsidRPr="00B9430A">
        <w:t xml:space="preserve">Power, M. 2004. Counting, control and calculation: Reflections on measuring and management. </w:t>
      </w:r>
      <w:r w:rsidRPr="00B9430A">
        <w:rPr>
          <w:i/>
        </w:rPr>
        <w:t>Human Relations,</w:t>
      </w:r>
      <w:r w:rsidRPr="00B9430A">
        <w:t xml:space="preserve"> 57</w:t>
      </w:r>
      <w:r w:rsidRPr="00B9430A">
        <w:rPr>
          <w:b/>
        </w:rPr>
        <w:t>,</w:t>
      </w:r>
      <w:r w:rsidRPr="00B9430A">
        <w:t xml:space="preserve"> 765-783.</w:t>
      </w:r>
    </w:p>
    <w:p w14:paraId="74911C4D" w14:textId="77777777" w:rsidR="00B9430A" w:rsidRPr="00B9430A" w:rsidRDefault="00B9430A" w:rsidP="00B9430A">
      <w:pPr>
        <w:pStyle w:val="EndNoteBibliography"/>
        <w:ind w:left="720" w:hanging="720"/>
      </w:pPr>
      <w:r w:rsidRPr="00B9430A">
        <w:t xml:space="preserve">Power, M. 2005. The invention of operational risk. </w:t>
      </w:r>
      <w:r w:rsidRPr="00B9430A">
        <w:rPr>
          <w:i/>
        </w:rPr>
        <w:t>Review of International Political Economy,</w:t>
      </w:r>
      <w:r w:rsidRPr="00B9430A">
        <w:t xml:space="preserve"> 12</w:t>
      </w:r>
      <w:r w:rsidRPr="00B9430A">
        <w:rPr>
          <w:b/>
        </w:rPr>
        <w:t>,</w:t>
      </w:r>
      <w:r w:rsidRPr="00B9430A">
        <w:t xml:space="preserve"> 577-599.</w:t>
      </w:r>
    </w:p>
    <w:p w14:paraId="23C12656" w14:textId="77777777" w:rsidR="00B9430A" w:rsidRPr="00B9430A" w:rsidRDefault="00B9430A" w:rsidP="00B9430A">
      <w:pPr>
        <w:pStyle w:val="EndNoteBibliography"/>
        <w:ind w:left="720" w:hanging="720"/>
      </w:pPr>
      <w:r w:rsidRPr="00B9430A">
        <w:t xml:space="preserve">Power, M. 2021. Modelling the Micro-Foundations of the Audit Society: Organizations and the Logic of the Audit Trail. </w:t>
      </w:r>
      <w:r w:rsidRPr="00B9430A">
        <w:rPr>
          <w:i/>
        </w:rPr>
        <w:t>Academy of Management Review,</w:t>
      </w:r>
      <w:r w:rsidRPr="00B9430A">
        <w:t xml:space="preserve"> 46</w:t>
      </w:r>
      <w:r w:rsidRPr="00B9430A">
        <w:rPr>
          <w:b/>
        </w:rPr>
        <w:t>,</w:t>
      </w:r>
      <w:r w:rsidRPr="00B9430A">
        <w:t xml:space="preserve"> 6-32.</w:t>
      </w:r>
    </w:p>
    <w:p w14:paraId="354158AC" w14:textId="77777777" w:rsidR="00B9430A" w:rsidRPr="00B9430A" w:rsidRDefault="00B9430A" w:rsidP="00B9430A">
      <w:pPr>
        <w:pStyle w:val="EndNoteBibliography"/>
        <w:ind w:left="720" w:hanging="720"/>
      </w:pPr>
      <w:r w:rsidRPr="00B9430A">
        <w:t xml:space="preserve">Power, M. K. 2003b. Auditing and the production of legitimacy. </w:t>
      </w:r>
      <w:r w:rsidRPr="00B9430A">
        <w:rPr>
          <w:i/>
        </w:rPr>
        <w:t>Accounting, Organizations &amp; Society,</w:t>
      </w:r>
      <w:r w:rsidRPr="00B9430A">
        <w:t xml:space="preserve"> 28</w:t>
      </w:r>
      <w:r w:rsidRPr="00B9430A">
        <w:rPr>
          <w:b/>
        </w:rPr>
        <w:t>,</w:t>
      </w:r>
      <w:r w:rsidRPr="00B9430A">
        <w:t xml:space="preserve"> 379-394.</w:t>
      </w:r>
    </w:p>
    <w:p w14:paraId="664D862E" w14:textId="77777777" w:rsidR="00B9430A" w:rsidRPr="00B9430A" w:rsidRDefault="00B9430A" w:rsidP="00B9430A">
      <w:pPr>
        <w:pStyle w:val="EndNoteBibliography"/>
        <w:ind w:left="720" w:hanging="720"/>
      </w:pPr>
      <w:r w:rsidRPr="00B9430A">
        <w:lastRenderedPageBreak/>
        <w:t xml:space="preserve">Quick, R. &amp; Inwinkl, P. 2020. Assurance on CSR reports: impact on the credibility perceptions of non-financial information by bank directors. </w:t>
      </w:r>
      <w:r w:rsidRPr="00B9430A">
        <w:rPr>
          <w:i/>
        </w:rPr>
        <w:t>Meditari Accountancy Research,</w:t>
      </w:r>
      <w:r w:rsidRPr="00B9430A">
        <w:t xml:space="preserve"> 28</w:t>
      </w:r>
      <w:r w:rsidRPr="00B9430A">
        <w:rPr>
          <w:b/>
        </w:rPr>
        <w:t>,</w:t>
      </w:r>
      <w:r w:rsidRPr="00B9430A">
        <w:t xml:space="preserve"> 833-862.</w:t>
      </w:r>
    </w:p>
    <w:p w14:paraId="09DC7FE6" w14:textId="77777777" w:rsidR="00B9430A" w:rsidRPr="00B9430A" w:rsidRDefault="00B9430A" w:rsidP="00B9430A">
      <w:pPr>
        <w:pStyle w:val="EndNoteBibliography"/>
        <w:ind w:left="720" w:hanging="720"/>
      </w:pPr>
      <w:r w:rsidRPr="00B9430A">
        <w:t xml:space="preserve">Radcliffe, V. S. 2008. Public secrecy in auditing: What government auditors cannot know. </w:t>
      </w:r>
      <w:r w:rsidRPr="00B9430A">
        <w:rPr>
          <w:i/>
        </w:rPr>
        <w:t>Critical Perspectives on Accounting,</w:t>
      </w:r>
      <w:r w:rsidRPr="00B9430A">
        <w:t xml:space="preserve"> 19</w:t>
      </w:r>
      <w:r w:rsidRPr="00B9430A">
        <w:rPr>
          <w:b/>
        </w:rPr>
        <w:t>,</w:t>
      </w:r>
      <w:r w:rsidRPr="00B9430A">
        <w:t xml:space="preserve"> 99-126.</w:t>
      </w:r>
    </w:p>
    <w:p w14:paraId="1A6C98BE" w14:textId="77777777" w:rsidR="00B9430A" w:rsidRPr="00B9430A" w:rsidRDefault="00B9430A" w:rsidP="00B9430A">
      <w:pPr>
        <w:pStyle w:val="EndNoteBibliography"/>
        <w:ind w:left="720" w:hanging="720"/>
      </w:pPr>
      <w:r w:rsidRPr="00B9430A">
        <w:t xml:space="preserve">Rika, N. &amp; Jacobs, K. 2019. Reputational risk and environmental performance auditing: A study in the Australian commonwealth public sector. </w:t>
      </w:r>
      <w:r w:rsidRPr="00B9430A">
        <w:rPr>
          <w:i/>
        </w:rPr>
        <w:t>Financial Accountability &amp; Management,</w:t>
      </w:r>
      <w:r w:rsidRPr="00B9430A">
        <w:t xml:space="preserve"> 35</w:t>
      </w:r>
      <w:r w:rsidRPr="00B9430A">
        <w:rPr>
          <w:b/>
        </w:rPr>
        <w:t>,</w:t>
      </w:r>
      <w:r w:rsidRPr="00B9430A">
        <w:t xml:space="preserve"> 182-198.</w:t>
      </w:r>
    </w:p>
    <w:p w14:paraId="5737ED2D" w14:textId="77777777" w:rsidR="00B9430A" w:rsidRPr="00B9430A" w:rsidRDefault="00B9430A" w:rsidP="00B9430A">
      <w:pPr>
        <w:pStyle w:val="EndNoteBibliography"/>
        <w:ind w:left="720" w:hanging="720"/>
      </w:pPr>
      <w:r w:rsidRPr="00B9430A">
        <w:t xml:space="preserve">Shan, Z., Simnett, R. &amp; Green, W. J. 2016. Assuring a New Market: The Interplay between Country-Level and Company-Level Factors on the Demand for Greenhouse Gas (GHG) Information Assurance and the Choice of Assurance Provider. </w:t>
      </w:r>
      <w:r w:rsidRPr="00B9430A">
        <w:rPr>
          <w:i/>
        </w:rPr>
        <w:t>Auditing: A Journal of Practice &amp; Theory,</w:t>
      </w:r>
      <w:r w:rsidRPr="00B9430A">
        <w:t xml:space="preserve"> 35</w:t>
      </w:r>
      <w:r w:rsidRPr="00B9430A">
        <w:rPr>
          <w:b/>
        </w:rPr>
        <w:t>,</w:t>
      </w:r>
      <w:r w:rsidRPr="00B9430A">
        <w:t xml:space="preserve"> 141-168.</w:t>
      </w:r>
    </w:p>
    <w:p w14:paraId="758CA31A" w14:textId="77777777" w:rsidR="00B9430A" w:rsidRPr="00B9430A" w:rsidRDefault="00B9430A" w:rsidP="00B9430A">
      <w:pPr>
        <w:pStyle w:val="EndNoteBibliography"/>
        <w:ind w:left="720" w:hanging="720"/>
      </w:pPr>
      <w:r w:rsidRPr="00B9430A">
        <w:t xml:space="preserve">Shen, H., Wu, H. &amp; Chand, P. 2017. The impact of corporate social responsibility assurance on investor decisions: Chinese evidence. </w:t>
      </w:r>
      <w:r w:rsidRPr="00B9430A">
        <w:rPr>
          <w:i/>
        </w:rPr>
        <w:t>International Journal of Auditing,</w:t>
      </w:r>
      <w:r w:rsidRPr="00B9430A">
        <w:t xml:space="preserve"> 21</w:t>
      </w:r>
      <w:r w:rsidRPr="00B9430A">
        <w:rPr>
          <w:b/>
        </w:rPr>
        <w:t>,</w:t>
      </w:r>
      <w:r w:rsidRPr="00B9430A">
        <w:t xml:space="preserve"> 271-287.</w:t>
      </w:r>
    </w:p>
    <w:p w14:paraId="2CC5382D" w14:textId="77777777" w:rsidR="00B9430A" w:rsidRPr="00B9430A" w:rsidRDefault="00B9430A" w:rsidP="00B9430A">
      <w:pPr>
        <w:pStyle w:val="EndNoteBibliography"/>
        <w:ind w:left="720" w:hanging="720"/>
      </w:pPr>
      <w:r w:rsidRPr="00B9430A">
        <w:t xml:space="preserve">Silvola, H. &amp; Vinnari, E. 2021. The limits of institutional work: a field study on auditors' efforts to promote sustainability assurance in a trust society. </w:t>
      </w:r>
      <w:r w:rsidRPr="00B9430A">
        <w:rPr>
          <w:i/>
        </w:rPr>
        <w:t>Accounting, Auditing &amp; Accountability Journal,</w:t>
      </w:r>
      <w:r w:rsidRPr="00B9430A">
        <w:t xml:space="preserve"> 34</w:t>
      </w:r>
      <w:r w:rsidRPr="00B9430A">
        <w:rPr>
          <w:b/>
        </w:rPr>
        <w:t>,</w:t>
      </w:r>
      <w:r w:rsidRPr="00B9430A">
        <w:t xml:space="preserve"> 1-30.</w:t>
      </w:r>
    </w:p>
    <w:p w14:paraId="4A8EDBE3" w14:textId="77777777" w:rsidR="00B9430A" w:rsidRPr="00B9430A" w:rsidRDefault="00B9430A" w:rsidP="00B9430A">
      <w:pPr>
        <w:pStyle w:val="EndNoteBibliography"/>
        <w:ind w:left="720" w:hanging="720"/>
      </w:pPr>
      <w:r w:rsidRPr="00B9430A">
        <w:t xml:space="preserve">Simnett, R., Nugent, M. &amp; Huggins, A. L. 2009. Developing an International Assurance Standard on Greenhouse Gas Statements. </w:t>
      </w:r>
      <w:r w:rsidRPr="00B9430A">
        <w:rPr>
          <w:i/>
        </w:rPr>
        <w:t>Accounting Horizons,</w:t>
      </w:r>
      <w:r w:rsidRPr="00B9430A">
        <w:t xml:space="preserve"> 23</w:t>
      </w:r>
      <w:r w:rsidRPr="00B9430A">
        <w:rPr>
          <w:b/>
        </w:rPr>
        <w:t>,</w:t>
      </w:r>
      <w:r w:rsidRPr="00B9430A">
        <w:t xml:space="preserve"> 347-363.</w:t>
      </w:r>
    </w:p>
    <w:p w14:paraId="34E20EB6" w14:textId="77777777" w:rsidR="00B9430A" w:rsidRPr="00B9430A" w:rsidRDefault="00B9430A" w:rsidP="00B9430A">
      <w:pPr>
        <w:pStyle w:val="EndNoteBibliography"/>
        <w:ind w:left="720" w:hanging="720"/>
      </w:pPr>
      <w:r w:rsidRPr="00B9430A">
        <w:t xml:space="preserve">Simnett, R., Vanstraelen, A. &amp; Chua, W. F. 2009. Assurance on general purpose non-financial reports: An international comparison. </w:t>
      </w:r>
      <w:r w:rsidRPr="00B9430A">
        <w:rPr>
          <w:i/>
        </w:rPr>
        <w:t>Accounting Review,</w:t>
      </w:r>
      <w:r w:rsidRPr="00B9430A">
        <w:t xml:space="preserve"> 84</w:t>
      </w:r>
      <w:r w:rsidRPr="00B9430A">
        <w:rPr>
          <w:b/>
        </w:rPr>
        <w:t>,</w:t>
      </w:r>
      <w:r w:rsidRPr="00B9430A">
        <w:t xml:space="preserve"> 937-967.</w:t>
      </w:r>
    </w:p>
    <w:p w14:paraId="48B06F7F" w14:textId="77777777" w:rsidR="00B9430A" w:rsidRPr="00B9430A" w:rsidRDefault="00B9430A" w:rsidP="00B9430A">
      <w:pPr>
        <w:pStyle w:val="EndNoteBibliography"/>
        <w:ind w:left="720" w:hanging="720"/>
      </w:pPr>
      <w:r w:rsidRPr="00B9430A">
        <w:t xml:space="preserve">Skaerbaek, P. 2009. Public sector auditor identities in making efficiency auditable: The National Audit Office of Denmark as independent auditor and modernizer. </w:t>
      </w:r>
      <w:r w:rsidRPr="00B9430A">
        <w:rPr>
          <w:i/>
        </w:rPr>
        <w:t>Accounting, Organizations and Society,</w:t>
      </w:r>
      <w:r w:rsidRPr="00B9430A">
        <w:t xml:space="preserve"> 34</w:t>
      </w:r>
      <w:r w:rsidRPr="00B9430A">
        <w:rPr>
          <w:b/>
        </w:rPr>
        <w:t>,</w:t>
      </w:r>
      <w:r w:rsidRPr="00B9430A">
        <w:t xml:space="preserve"> 971.</w:t>
      </w:r>
    </w:p>
    <w:p w14:paraId="335B131D" w14:textId="77777777" w:rsidR="00B9430A" w:rsidRPr="00B9430A" w:rsidRDefault="00B9430A" w:rsidP="00B9430A">
      <w:pPr>
        <w:pStyle w:val="EndNoteBibliography"/>
        <w:ind w:left="720" w:hanging="720"/>
      </w:pPr>
      <w:r w:rsidRPr="00B9430A">
        <w:t xml:space="preserve">Skaerbaek, P. &amp; Christensen, M. 2015. Auditing and the Purification of Blame. </w:t>
      </w:r>
      <w:r w:rsidRPr="00B9430A">
        <w:rPr>
          <w:i/>
        </w:rPr>
        <w:t>Contemporary Accounting Research,</w:t>
      </w:r>
      <w:r w:rsidRPr="00B9430A">
        <w:t xml:space="preserve"> 32</w:t>
      </w:r>
      <w:r w:rsidRPr="00B9430A">
        <w:rPr>
          <w:b/>
        </w:rPr>
        <w:t>,</w:t>
      </w:r>
      <w:r w:rsidRPr="00B9430A">
        <w:t xml:space="preserve"> 1263-1284.</w:t>
      </w:r>
    </w:p>
    <w:p w14:paraId="39359639" w14:textId="77777777" w:rsidR="00B9430A" w:rsidRPr="00B9430A" w:rsidRDefault="00B9430A" w:rsidP="00B9430A">
      <w:pPr>
        <w:pStyle w:val="EndNoteBibliography"/>
        <w:ind w:left="720" w:hanging="720"/>
      </w:pPr>
      <w:r w:rsidRPr="00B9430A">
        <w:t xml:space="preserve">Snyder, H. 2019. Literature review as a research methodology: An overview and guidelines. </w:t>
      </w:r>
      <w:r w:rsidRPr="00B9430A">
        <w:rPr>
          <w:i/>
        </w:rPr>
        <w:t>Journal of business research,</w:t>
      </w:r>
      <w:r w:rsidRPr="00B9430A">
        <w:t xml:space="preserve"> 104</w:t>
      </w:r>
      <w:r w:rsidRPr="00B9430A">
        <w:rPr>
          <w:b/>
        </w:rPr>
        <w:t>,</w:t>
      </w:r>
      <w:r w:rsidRPr="00B9430A">
        <w:t xml:space="preserve"> 333-339.</w:t>
      </w:r>
    </w:p>
    <w:p w14:paraId="6E5533E9" w14:textId="77777777" w:rsidR="00B9430A" w:rsidRPr="00B9430A" w:rsidRDefault="00B9430A" w:rsidP="00B9430A">
      <w:pPr>
        <w:pStyle w:val="EndNoteBibliography"/>
        <w:ind w:left="720" w:hanging="720"/>
      </w:pPr>
      <w:r w:rsidRPr="00B9430A">
        <w:t xml:space="preserve">Songini, L., Pistoni, A., Comerio, N. &amp; Tettamanzi, P. 2023. A decade of integrated reporting studies: state of the art and future research implications. </w:t>
      </w:r>
      <w:r w:rsidRPr="00B9430A">
        <w:rPr>
          <w:i/>
        </w:rPr>
        <w:t>Accounting, Auditing &amp; Accountability Journal,</w:t>
      </w:r>
      <w:r w:rsidRPr="00B9430A">
        <w:t xml:space="preserve"> 36</w:t>
      </w:r>
      <w:r w:rsidRPr="00B9430A">
        <w:rPr>
          <w:b/>
        </w:rPr>
        <w:t>,</w:t>
      </w:r>
      <w:r w:rsidRPr="00B9430A">
        <w:t xml:space="preserve"> 226-252.</w:t>
      </w:r>
    </w:p>
    <w:p w14:paraId="75EE5BE6" w14:textId="77777777" w:rsidR="00B9430A" w:rsidRPr="00B9430A" w:rsidRDefault="00B9430A" w:rsidP="00B9430A">
      <w:pPr>
        <w:pStyle w:val="EndNoteBibliography"/>
        <w:ind w:left="720" w:hanging="720"/>
      </w:pPr>
      <w:r w:rsidRPr="00B9430A">
        <w:t xml:space="preserve">Sonnerfeldt, A. L. L. &amp; Pontoppidan, C. A. 2020. The challenges of assurance on non-financial reporting. </w:t>
      </w:r>
      <w:r w:rsidRPr="00B9430A">
        <w:rPr>
          <w:i/>
        </w:rPr>
        <w:t>Accounting, Economics, and Law: A Convivium,</w:t>
      </w:r>
      <w:r w:rsidRPr="00B9430A">
        <w:t xml:space="preserve"> 10.</w:t>
      </w:r>
    </w:p>
    <w:p w14:paraId="7AB4B142" w14:textId="77777777" w:rsidR="00B9430A" w:rsidRPr="00B9430A" w:rsidRDefault="00B9430A" w:rsidP="00B9430A">
      <w:pPr>
        <w:pStyle w:val="EndNoteBibliography"/>
        <w:ind w:left="720" w:hanging="720"/>
      </w:pPr>
      <w:r w:rsidRPr="00B9430A">
        <w:t xml:space="preserve">Steinmeier, M. &amp; Stich, M. 2019. Does Sustainability Assurance Improve Managerial Investment Decisions? </w:t>
      </w:r>
      <w:r w:rsidRPr="00B9430A">
        <w:rPr>
          <w:i/>
        </w:rPr>
        <w:t>European Accounting Review,</w:t>
      </w:r>
      <w:r w:rsidRPr="00B9430A">
        <w:t xml:space="preserve"> 28</w:t>
      </w:r>
      <w:r w:rsidRPr="00B9430A">
        <w:rPr>
          <w:b/>
        </w:rPr>
        <w:t>,</w:t>
      </w:r>
      <w:r w:rsidRPr="00B9430A">
        <w:t xml:space="preserve"> 177-209.</w:t>
      </w:r>
    </w:p>
    <w:p w14:paraId="538A8877" w14:textId="77777777" w:rsidR="00B9430A" w:rsidRPr="00B9430A" w:rsidRDefault="00B9430A" w:rsidP="00B9430A">
      <w:pPr>
        <w:pStyle w:val="EndNoteBibliography"/>
        <w:ind w:left="720" w:hanging="720"/>
      </w:pPr>
      <w:r w:rsidRPr="00B9430A">
        <w:t xml:space="preserve">Taylor, D. W., Sulaiman, M. &amp; Sheahan, M. 2001. Auditing of environmental management systems: A legitimacy theory perspective. </w:t>
      </w:r>
      <w:r w:rsidRPr="00B9430A">
        <w:rPr>
          <w:i/>
        </w:rPr>
        <w:t>Managerial auditing journal,</w:t>
      </w:r>
      <w:r w:rsidRPr="00B9430A">
        <w:t xml:space="preserve"> 16</w:t>
      </w:r>
      <w:r w:rsidRPr="00B9430A">
        <w:rPr>
          <w:b/>
        </w:rPr>
        <w:t>,</w:t>
      </w:r>
      <w:r w:rsidRPr="00B9430A">
        <w:t xml:space="preserve"> 411-422.</w:t>
      </w:r>
    </w:p>
    <w:p w14:paraId="615758D1" w14:textId="77777777" w:rsidR="00B9430A" w:rsidRPr="00B9430A" w:rsidRDefault="00B9430A" w:rsidP="00B9430A">
      <w:pPr>
        <w:pStyle w:val="EndNoteBibliography"/>
        <w:ind w:left="720" w:hanging="720"/>
      </w:pPr>
      <w:r w:rsidRPr="00B9430A">
        <w:t xml:space="preserve">Tillema, S. &amp; Ter Bogt, H. J. 2010. Performance auditing: Improving the quality of political and democratic processes? </w:t>
      </w:r>
      <w:r w:rsidRPr="00B9430A">
        <w:rPr>
          <w:i/>
        </w:rPr>
        <w:t>Critical Perspectives on Accounting,</w:t>
      </w:r>
      <w:r w:rsidRPr="00B9430A">
        <w:t xml:space="preserve"> 21</w:t>
      </w:r>
      <w:r w:rsidRPr="00B9430A">
        <w:rPr>
          <w:b/>
        </w:rPr>
        <w:t>,</w:t>
      </w:r>
      <w:r w:rsidRPr="00B9430A">
        <w:t xml:space="preserve"> 754-769.</w:t>
      </w:r>
    </w:p>
    <w:p w14:paraId="5DF5F527" w14:textId="77777777" w:rsidR="00B9430A" w:rsidRPr="00B9430A" w:rsidRDefault="00B9430A" w:rsidP="00B9430A">
      <w:pPr>
        <w:pStyle w:val="EndNoteBibliography"/>
        <w:ind w:left="720" w:hanging="720"/>
      </w:pPr>
      <w:r w:rsidRPr="00B9430A">
        <w:rPr>
          <w:rFonts w:hint="eastAsia"/>
        </w:rPr>
        <w:lastRenderedPageBreak/>
        <w:t xml:space="preserve">Tranfield, D., Denyer, D. &amp; Smart, P. 2003. Towards a methodology for developing evidence‐informed management knowledge by means of systematic review. </w:t>
      </w:r>
      <w:r w:rsidRPr="00B9430A">
        <w:rPr>
          <w:rFonts w:hint="eastAsia"/>
          <w:i/>
        </w:rPr>
        <w:t>British Journal of Management,</w:t>
      </w:r>
      <w:r w:rsidRPr="00B9430A">
        <w:rPr>
          <w:rFonts w:hint="eastAsia"/>
        </w:rPr>
        <w:t xml:space="preserve"> 14</w:t>
      </w:r>
      <w:r w:rsidRPr="00B9430A">
        <w:rPr>
          <w:rFonts w:hint="eastAsia"/>
          <w:b/>
        </w:rPr>
        <w:t>,</w:t>
      </w:r>
      <w:r w:rsidRPr="00B9430A">
        <w:t xml:space="preserve"> 207-222.</w:t>
      </w:r>
    </w:p>
    <w:p w14:paraId="5E8A022A" w14:textId="77777777" w:rsidR="00B9430A" w:rsidRPr="00B9430A" w:rsidRDefault="00B9430A" w:rsidP="00B9430A">
      <w:pPr>
        <w:pStyle w:val="EndNoteBibliography"/>
        <w:ind w:left="720" w:hanging="720"/>
      </w:pPr>
      <w:r w:rsidRPr="00B9430A">
        <w:t xml:space="preserve">Vera-Muñoz, S. C., Gaynor, L. M. &amp; Kinney, W. R. 2020. Communicating Assurance Using Practitioner-Customized Procedures: An Experiment and Emerging Research Opportunities. </w:t>
      </w:r>
      <w:r w:rsidRPr="00B9430A">
        <w:rPr>
          <w:i/>
        </w:rPr>
        <w:t>Auditing: A Journal of Practice &amp; Theory,</w:t>
      </w:r>
      <w:r w:rsidRPr="00B9430A">
        <w:t xml:space="preserve"> 39</w:t>
      </w:r>
      <w:r w:rsidRPr="00B9430A">
        <w:rPr>
          <w:b/>
        </w:rPr>
        <w:t>,</w:t>
      </w:r>
      <w:r w:rsidRPr="00B9430A">
        <w:t xml:space="preserve"> 201-222.</w:t>
      </w:r>
    </w:p>
    <w:p w14:paraId="79CB49A1" w14:textId="77777777" w:rsidR="00B9430A" w:rsidRPr="00B9430A" w:rsidRDefault="00B9430A" w:rsidP="00B9430A">
      <w:pPr>
        <w:pStyle w:val="EndNoteBibliography"/>
        <w:ind w:left="720" w:hanging="720"/>
      </w:pPr>
      <w:r w:rsidRPr="00B9430A">
        <w:t>Wang, S., Scells, H., Koopman, B. &amp; Zuccon, G. Can ChatGPT write a good boolean query for systematic review literature search?  Proceedings of the 46th international ACM SIGIR conference on research and development in information retrieval, 2023. 1426-1436.</w:t>
      </w:r>
    </w:p>
    <w:p w14:paraId="4DA2ADDA" w14:textId="77777777" w:rsidR="00B9430A" w:rsidRPr="00B9430A" w:rsidRDefault="00B9430A" w:rsidP="00B9430A">
      <w:pPr>
        <w:pStyle w:val="EndNoteBibliography"/>
        <w:ind w:left="720" w:hanging="720"/>
      </w:pPr>
      <w:r w:rsidRPr="00B9430A">
        <w:t xml:space="preserve">Xu, S. G. &amp; Andrew, B. 2021. Competing for the leading role: Trials in categorizing greenhouse and energy auditors. </w:t>
      </w:r>
      <w:r w:rsidRPr="00B9430A">
        <w:rPr>
          <w:i/>
        </w:rPr>
        <w:t>Critical Perspectives on Accounting,</w:t>
      </w:r>
      <w:r w:rsidRPr="00B9430A">
        <w:t xml:space="preserve"> 77</w:t>
      </w:r>
      <w:r w:rsidRPr="00B9430A">
        <w:rPr>
          <w:b/>
        </w:rPr>
        <w:t>,</w:t>
      </w:r>
      <w:r w:rsidRPr="00B9430A">
        <w:t xml:space="preserve"> N.PAG-N.PAG.</w:t>
      </w:r>
    </w:p>
    <w:p w14:paraId="1D960A7C" w14:textId="23675132" w:rsidR="00AE163D" w:rsidRPr="006611C7" w:rsidRDefault="005E5BC8" w:rsidP="00C27F5A">
      <w:r w:rsidRPr="006611C7">
        <w:fldChar w:fldCharType="end"/>
      </w:r>
    </w:p>
    <w:sectPr w:rsidR="00AE163D" w:rsidRPr="006611C7" w:rsidSect="00165838">
      <w:pgSz w:w="11906" w:h="16838"/>
      <w:pgMar w:top="1440" w:right="1440" w:bottom="1440" w:left="1440"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BE6D0" w14:textId="77777777" w:rsidR="00502B92" w:rsidRDefault="00502B92" w:rsidP="00494C65">
      <w:r>
        <w:separator/>
      </w:r>
    </w:p>
  </w:endnote>
  <w:endnote w:type="continuationSeparator" w:id="0">
    <w:p w14:paraId="24613A41" w14:textId="77777777" w:rsidR="00502B92" w:rsidRDefault="00502B92" w:rsidP="00494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02EDB" w14:textId="77777777" w:rsidR="00502B92" w:rsidRDefault="00502B92" w:rsidP="00494C65">
      <w:r>
        <w:separator/>
      </w:r>
    </w:p>
  </w:footnote>
  <w:footnote w:type="continuationSeparator" w:id="0">
    <w:p w14:paraId="50858972" w14:textId="77777777" w:rsidR="00502B92" w:rsidRDefault="00502B92" w:rsidP="00494C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12D1"/>
    <w:multiLevelType w:val="hybridMultilevel"/>
    <w:tmpl w:val="612AED0E"/>
    <w:lvl w:ilvl="0" w:tplc="A8821A04">
      <w:start w:val="1"/>
      <w:numFmt w:val="decimal"/>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1"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2" w15:restartNumberingAfterBreak="0">
    <w:nsid w:val="21742832"/>
    <w:multiLevelType w:val="hybridMultilevel"/>
    <w:tmpl w:val="78EA0C66"/>
    <w:lvl w:ilvl="0" w:tplc="0C09000F">
      <w:start w:val="1"/>
      <w:numFmt w:val="decimal"/>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3" w15:restartNumberingAfterBreak="0">
    <w:nsid w:val="5B825756"/>
    <w:multiLevelType w:val="multilevel"/>
    <w:tmpl w:val="0F74182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num w:numId="1" w16cid:durableId="204870375">
    <w:abstractNumId w:val="3"/>
  </w:num>
  <w:num w:numId="2" w16cid:durableId="289359669">
    <w:abstractNumId w:val="1"/>
  </w:num>
  <w:num w:numId="3" w16cid:durableId="1687559043">
    <w:abstractNumId w:val="2"/>
  </w:num>
  <w:num w:numId="4" w16cid:durableId="2055693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 Paper 1 2025&lt;/Style&gt;&lt;LeftDelim&gt;{&lt;/LeftDelim&gt;&lt;RightDelim&gt;}&lt;/RightDelim&gt;&lt;FontName&gt;DengXi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setw9xmdwrwtetwx4vzv52zfavzzr20wsr&quot;&gt;2025 Paper 1 (Lit Rev)&lt;record-ids&gt;&lt;item&gt;45&lt;/item&gt;&lt;item&gt;56&lt;/item&gt;&lt;item&gt;99&lt;/item&gt;&lt;item&gt;110&lt;/item&gt;&lt;item&gt;116&lt;/item&gt;&lt;item&gt;137&lt;/item&gt;&lt;item&gt;180&lt;/item&gt;&lt;item&gt;196&lt;/item&gt;&lt;item&gt;259&lt;/item&gt;&lt;item&gt;290&lt;/item&gt;&lt;item&gt;303&lt;/item&gt;&lt;item&gt;307&lt;/item&gt;&lt;item&gt;308&lt;/item&gt;&lt;item&gt;309&lt;/item&gt;&lt;item&gt;311&lt;/item&gt;&lt;item&gt;312&lt;/item&gt;&lt;item&gt;324&lt;/item&gt;&lt;item&gt;335&lt;/item&gt;&lt;item&gt;336&lt;/item&gt;&lt;item&gt;337&lt;/item&gt;&lt;item&gt;340&lt;/item&gt;&lt;item&gt;343&lt;/item&gt;&lt;item&gt;344&lt;/item&gt;&lt;item&gt;348&lt;/item&gt;&lt;item&gt;349&lt;/item&gt;&lt;item&gt;352&lt;/item&gt;&lt;item&gt;380&lt;/item&gt;&lt;item&gt;390&lt;/item&gt;&lt;item&gt;391&lt;/item&gt;&lt;item&gt;1067&lt;/item&gt;&lt;item&gt;1071&lt;/item&gt;&lt;item&gt;1074&lt;/item&gt;&lt;item&gt;1077&lt;/item&gt;&lt;item&gt;1078&lt;/item&gt;&lt;item&gt;1079&lt;/item&gt;&lt;item&gt;1081&lt;/item&gt;&lt;item&gt;1085&lt;/item&gt;&lt;item&gt;1088&lt;/item&gt;&lt;item&gt;1093&lt;/item&gt;&lt;item&gt;1095&lt;/item&gt;&lt;item&gt;1097&lt;/item&gt;&lt;item&gt;1098&lt;/item&gt;&lt;item&gt;1102&lt;/item&gt;&lt;item&gt;1106&lt;/item&gt;&lt;item&gt;1109&lt;/item&gt;&lt;item&gt;1111&lt;/item&gt;&lt;item&gt;1114&lt;/item&gt;&lt;item&gt;1116&lt;/item&gt;&lt;item&gt;1117&lt;/item&gt;&lt;item&gt;1121&lt;/item&gt;&lt;item&gt;1123&lt;/item&gt;&lt;item&gt;1125&lt;/item&gt;&lt;item&gt;1145&lt;/item&gt;&lt;item&gt;1187&lt;/item&gt;&lt;item&gt;1199&lt;/item&gt;&lt;item&gt;1200&lt;/item&gt;&lt;item&gt;1203&lt;/item&gt;&lt;item&gt;1208&lt;/item&gt;&lt;item&gt;1210&lt;/item&gt;&lt;item&gt;1216&lt;/item&gt;&lt;item&gt;1225&lt;/item&gt;&lt;item&gt;1229&lt;/item&gt;&lt;item&gt;1230&lt;/item&gt;&lt;item&gt;1231&lt;/item&gt;&lt;item&gt;1233&lt;/item&gt;&lt;item&gt;1236&lt;/item&gt;&lt;item&gt;1237&lt;/item&gt;&lt;item&gt;1242&lt;/item&gt;&lt;item&gt;1243&lt;/item&gt;&lt;item&gt;1248&lt;/item&gt;&lt;item&gt;1251&lt;/item&gt;&lt;item&gt;1253&lt;/item&gt;&lt;item&gt;1259&lt;/item&gt;&lt;item&gt;1260&lt;/item&gt;&lt;item&gt;1262&lt;/item&gt;&lt;item&gt;1263&lt;/item&gt;&lt;item&gt;1264&lt;/item&gt;&lt;item&gt;1266&lt;/item&gt;&lt;item&gt;1267&lt;/item&gt;&lt;item&gt;1268&lt;/item&gt;&lt;item&gt;1269&lt;/item&gt;&lt;item&gt;1270&lt;/item&gt;&lt;item&gt;1271&lt;/item&gt;&lt;item&gt;1272&lt;/item&gt;&lt;item&gt;1273&lt;/item&gt;&lt;item&gt;1274&lt;/item&gt;&lt;item&gt;1275&lt;/item&gt;&lt;item&gt;1276&lt;/item&gt;&lt;item&gt;1277&lt;/item&gt;&lt;item&gt;1278&lt;/item&gt;&lt;item&gt;1279&lt;/item&gt;&lt;item&gt;1280&lt;/item&gt;&lt;item&gt;1281&lt;/item&gt;&lt;item&gt;1282&lt;/item&gt;&lt;item&gt;1283&lt;/item&gt;&lt;item&gt;1284&lt;/item&gt;&lt;item&gt;1285&lt;/item&gt;&lt;/record-ids&gt;&lt;/item&gt;&lt;/Libraries&gt;"/>
  </w:docVars>
  <w:rsids>
    <w:rsidRoot w:val="0078308C"/>
    <w:rsid w:val="0000280D"/>
    <w:rsid w:val="00003FEC"/>
    <w:rsid w:val="000067EE"/>
    <w:rsid w:val="00011367"/>
    <w:rsid w:val="00011745"/>
    <w:rsid w:val="000133F7"/>
    <w:rsid w:val="00013EAA"/>
    <w:rsid w:val="000159B7"/>
    <w:rsid w:val="00021A5E"/>
    <w:rsid w:val="00021E44"/>
    <w:rsid w:val="00023674"/>
    <w:rsid w:val="0002398E"/>
    <w:rsid w:val="00023E23"/>
    <w:rsid w:val="00025A24"/>
    <w:rsid w:val="000310CC"/>
    <w:rsid w:val="000378CE"/>
    <w:rsid w:val="00042312"/>
    <w:rsid w:val="0004259C"/>
    <w:rsid w:val="000432DD"/>
    <w:rsid w:val="000451AB"/>
    <w:rsid w:val="0004571E"/>
    <w:rsid w:val="00045BF1"/>
    <w:rsid w:val="000462D9"/>
    <w:rsid w:val="0005025F"/>
    <w:rsid w:val="0005139E"/>
    <w:rsid w:val="00051758"/>
    <w:rsid w:val="00052389"/>
    <w:rsid w:val="00052CAA"/>
    <w:rsid w:val="00053A31"/>
    <w:rsid w:val="00054B0C"/>
    <w:rsid w:val="000555A4"/>
    <w:rsid w:val="000564D2"/>
    <w:rsid w:val="00057CC5"/>
    <w:rsid w:val="000622C6"/>
    <w:rsid w:val="00063B72"/>
    <w:rsid w:val="00063C88"/>
    <w:rsid w:val="00064D54"/>
    <w:rsid w:val="00066639"/>
    <w:rsid w:val="000668EE"/>
    <w:rsid w:val="00066BB2"/>
    <w:rsid w:val="00066BBE"/>
    <w:rsid w:val="00067655"/>
    <w:rsid w:val="00067AB7"/>
    <w:rsid w:val="00070C4F"/>
    <w:rsid w:val="00070F79"/>
    <w:rsid w:val="00071D5C"/>
    <w:rsid w:val="0007379D"/>
    <w:rsid w:val="00073AD4"/>
    <w:rsid w:val="00073B80"/>
    <w:rsid w:val="00075202"/>
    <w:rsid w:val="000773E4"/>
    <w:rsid w:val="00080059"/>
    <w:rsid w:val="00082075"/>
    <w:rsid w:val="00085DF6"/>
    <w:rsid w:val="0008659A"/>
    <w:rsid w:val="000869FB"/>
    <w:rsid w:val="00091585"/>
    <w:rsid w:val="00092210"/>
    <w:rsid w:val="00096B87"/>
    <w:rsid w:val="00097B32"/>
    <w:rsid w:val="000A00B2"/>
    <w:rsid w:val="000A13C7"/>
    <w:rsid w:val="000A68BD"/>
    <w:rsid w:val="000B118F"/>
    <w:rsid w:val="000B11E2"/>
    <w:rsid w:val="000B3692"/>
    <w:rsid w:val="000B560F"/>
    <w:rsid w:val="000B68A6"/>
    <w:rsid w:val="000C09A9"/>
    <w:rsid w:val="000C13A9"/>
    <w:rsid w:val="000C1750"/>
    <w:rsid w:val="000C292E"/>
    <w:rsid w:val="000C2C3B"/>
    <w:rsid w:val="000C4B8A"/>
    <w:rsid w:val="000D07AC"/>
    <w:rsid w:val="000D1F81"/>
    <w:rsid w:val="000D241D"/>
    <w:rsid w:val="000E1A81"/>
    <w:rsid w:val="000E33A1"/>
    <w:rsid w:val="000E5375"/>
    <w:rsid w:val="000E6986"/>
    <w:rsid w:val="000F1085"/>
    <w:rsid w:val="000F1174"/>
    <w:rsid w:val="000F2F4C"/>
    <w:rsid w:val="0010388E"/>
    <w:rsid w:val="00104660"/>
    <w:rsid w:val="001049A2"/>
    <w:rsid w:val="00104A90"/>
    <w:rsid w:val="001057D6"/>
    <w:rsid w:val="00111122"/>
    <w:rsid w:val="00111CBD"/>
    <w:rsid w:val="001129BA"/>
    <w:rsid w:val="00114451"/>
    <w:rsid w:val="001178D1"/>
    <w:rsid w:val="001214B7"/>
    <w:rsid w:val="001228E2"/>
    <w:rsid w:val="001260FC"/>
    <w:rsid w:val="00126E44"/>
    <w:rsid w:val="00127554"/>
    <w:rsid w:val="001330FA"/>
    <w:rsid w:val="0013374D"/>
    <w:rsid w:val="00135878"/>
    <w:rsid w:val="00135AF2"/>
    <w:rsid w:val="0013640E"/>
    <w:rsid w:val="00137FFE"/>
    <w:rsid w:val="00141400"/>
    <w:rsid w:val="00141EF3"/>
    <w:rsid w:val="00141F11"/>
    <w:rsid w:val="0014257B"/>
    <w:rsid w:val="0014578A"/>
    <w:rsid w:val="0014587F"/>
    <w:rsid w:val="001470C4"/>
    <w:rsid w:val="00147297"/>
    <w:rsid w:val="00147D36"/>
    <w:rsid w:val="00150E1D"/>
    <w:rsid w:val="00150F46"/>
    <w:rsid w:val="001553F6"/>
    <w:rsid w:val="00155FA6"/>
    <w:rsid w:val="00157649"/>
    <w:rsid w:val="00157BD2"/>
    <w:rsid w:val="00162097"/>
    <w:rsid w:val="001623B5"/>
    <w:rsid w:val="00162C86"/>
    <w:rsid w:val="00162F2C"/>
    <w:rsid w:val="00162F36"/>
    <w:rsid w:val="0016314C"/>
    <w:rsid w:val="00165838"/>
    <w:rsid w:val="00166F8E"/>
    <w:rsid w:val="001678B2"/>
    <w:rsid w:val="0017266F"/>
    <w:rsid w:val="001740A9"/>
    <w:rsid w:val="00175F35"/>
    <w:rsid w:val="001777F0"/>
    <w:rsid w:val="001804C4"/>
    <w:rsid w:val="001822E6"/>
    <w:rsid w:val="00182C70"/>
    <w:rsid w:val="001838E1"/>
    <w:rsid w:val="00183AEC"/>
    <w:rsid w:val="00183D7F"/>
    <w:rsid w:val="00190353"/>
    <w:rsid w:val="00190981"/>
    <w:rsid w:val="00192691"/>
    <w:rsid w:val="00193373"/>
    <w:rsid w:val="00193FC1"/>
    <w:rsid w:val="0019506F"/>
    <w:rsid w:val="00195DA9"/>
    <w:rsid w:val="001960C0"/>
    <w:rsid w:val="001A0F79"/>
    <w:rsid w:val="001A1870"/>
    <w:rsid w:val="001A1B1D"/>
    <w:rsid w:val="001A299B"/>
    <w:rsid w:val="001A35FB"/>
    <w:rsid w:val="001A4B04"/>
    <w:rsid w:val="001A4D25"/>
    <w:rsid w:val="001A602B"/>
    <w:rsid w:val="001B0D8A"/>
    <w:rsid w:val="001B1441"/>
    <w:rsid w:val="001B172E"/>
    <w:rsid w:val="001B1EDE"/>
    <w:rsid w:val="001B27D1"/>
    <w:rsid w:val="001B39C5"/>
    <w:rsid w:val="001B495B"/>
    <w:rsid w:val="001B5207"/>
    <w:rsid w:val="001B5781"/>
    <w:rsid w:val="001B7B6A"/>
    <w:rsid w:val="001C1C13"/>
    <w:rsid w:val="001C2A05"/>
    <w:rsid w:val="001C358A"/>
    <w:rsid w:val="001C3F4F"/>
    <w:rsid w:val="001C4ED8"/>
    <w:rsid w:val="001C4EF7"/>
    <w:rsid w:val="001C6A2C"/>
    <w:rsid w:val="001D10E0"/>
    <w:rsid w:val="001D5D4D"/>
    <w:rsid w:val="001E2136"/>
    <w:rsid w:val="001E5DE9"/>
    <w:rsid w:val="001E65B1"/>
    <w:rsid w:val="001F1D52"/>
    <w:rsid w:val="001F2434"/>
    <w:rsid w:val="001F2654"/>
    <w:rsid w:val="001F358F"/>
    <w:rsid w:val="001F3E1E"/>
    <w:rsid w:val="001F6C94"/>
    <w:rsid w:val="001F7977"/>
    <w:rsid w:val="002004D0"/>
    <w:rsid w:val="00203B3C"/>
    <w:rsid w:val="002051AD"/>
    <w:rsid w:val="00206FD2"/>
    <w:rsid w:val="0021089A"/>
    <w:rsid w:val="00212508"/>
    <w:rsid w:val="00212526"/>
    <w:rsid w:val="0021362B"/>
    <w:rsid w:val="002147ED"/>
    <w:rsid w:val="00215D92"/>
    <w:rsid w:val="002205DC"/>
    <w:rsid w:val="00221A7E"/>
    <w:rsid w:val="0022417C"/>
    <w:rsid w:val="00224788"/>
    <w:rsid w:val="002249DA"/>
    <w:rsid w:val="002263F2"/>
    <w:rsid w:val="00227889"/>
    <w:rsid w:val="00231333"/>
    <w:rsid w:val="002325C2"/>
    <w:rsid w:val="00232709"/>
    <w:rsid w:val="002344FD"/>
    <w:rsid w:val="0023563A"/>
    <w:rsid w:val="00235B84"/>
    <w:rsid w:val="00236BE8"/>
    <w:rsid w:val="0024405A"/>
    <w:rsid w:val="00245E36"/>
    <w:rsid w:val="002468BD"/>
    <w:rsid w:val="00252E14"/>
    <w:rsid w:val="002538B5"/>
    <w:rsid w:val="00253A63"/>
    <w:rsid w:val="0025732F"/>
    <w:rsid w:val="00257CE0"/>
    <w:rsid w:val="002607A2"/>
    <w:rsid w:val="00260A40"/>
    <w:rsid w:val="00262D5C"/>
    <w:rsid w:val="00264BE7"/>
    <w:rsid w:val="00267D07"/>
    <w:rsid w:val="002700F6"/>
    <w:rsid w:val="00274747"/>
    <w:rsid w:val="00275EFC"/>
    <w:rsid w:val="00282D05"/>
    <w:rsid w:val="00283A33"/>
    <w:rsid w:val="002852D0"/>
    <w:rsid w:val="0029005D"/>
    <w:rsid w:val="00294EE8"/>
    <w:rsid w:val="00295347"/>
    <w:rsid w:val="00295FC2"/>
    <w:rsid w:val="002962C8"/>
    <w:rsid w:val="00296AAB"/>
    <w:rsid w:val="00297A7E"/>
    <w:rsid w:val="002A02BF"/>
    <w:rsid w:val="002A0AAE"/>
    <w:rsid w:val="002A2BF7"/>
    <w:rsid w:val="002A4764"/>
    <w:rsid w:val="002A4C08"/>
    <w:rsid w:val="002A5664"/>
    <w:rsid w:val="002A5BEE"/>
    <w:rsid w:val="002A61A4"/>
    <w:rsid w:val="002A6FD6"/>
    <w:rsid w:val="002B097B"/>
    <w:rsid w:val="002B1B36"/>
    <w:rsid w:val="002B1E54"/>
    <w:rsid w:val="002B41F8"/>
    <w:rsid w:val="002B7541"/>
    <w:rsid w:val="002B757A"/>
    <w:rsid w:val="002C650F"/>
    <w:rsid w:val="002D166B"/>
    <w:rsid w:val="002D29E8"/>
    <w:rsid w:val="002D5A28"/>
    <w:rsid w:val="002D5F8D"/>
    <w:rsid w:val="002D62B3"/>
    <w:rsid w:val="002D6E24"/>
    <w:rsid w:val="002E103D"/>
    <w:rsid w:val="002E210D"/>
    <w:rsid w:val="002E2B93"/>
    <w:rsid w:val="002E371E"/>
    <w:rsid w:val="002E3B53"/>
    <w:rsid w:val="002E3E34"/>
    <w:rsid w:val="002E6D0C"/>
    <w:rsid w:val="002F06B0"/>
    <w:rsid w:val="002F1C26"/>
    <w:rsid w:val="002F2751"/>
    <w:rsid w:val="002F2A35"/>
    <w:rsid w:val="002F2E3C"/>
    <w:rsid w:val="002F4116"/>
    <w:rsid w:val="002F459B"/>
    <w:rsid w:val="002F52D8"/>
    <w:rsid w:val="002F576A"/>
    <w:rsid w:val="002F5943"/>
    <w:rsid w:val="002F78DF"/>
    <w:rsid w:val="0030159E"/>
    <w:rsid w:val="00301BA6"/>
    <w:rsid w:val="003021A4"/>
    <w:rsid w:val="0030549D"/>
    <w:rsid w:val="0030559D"/>
    <w:rsid w:val="003074FE"/>
    <w:rsid w:val="00310455"/>
    <w:rsid w:val="003127E7"/>
    <w:rsid w:val="003139E6"/>
    <w:rsid w:val="003154EC"/>
    <w:rsid w:val="00316344"/>
    <w:rsid w:val="003178A2"/>
    <w:rsid w:val="00324BC0"/>
    <w:rsid w:val="00327149"/>
    <w:rsid w:val="0033208B"/>
    <w:rsid w:val="0033232C"/>
    <w:rsid w:val="00332BD7"/>
    <w:rsid w:val="00333D46"/>
    <w:rsid w:val="0033557D"/>
    <w:rsid w:val="003363BF"/>
    <w:rsid w:val="00336893"/>
    <w:rsid w:val="00337401"/>
    <w:rsid w:val="003402F1"/>
    <w:rsid w:val="003417E7"/>
    <w:rsid w:val="003424BB"/>
    <w:rsid w:val="00343378"/>
    <w:rsid w:val="003440F1"/>
    <w:rsid w:val="00344364"/>
    <w:rsid w:val="0034477F"/>
    <w:rsid w:val="003451EE"/>
    <w:rsid w:val="003457A4"/>
    <w:rsid w:val="00347F43"/>
    <w:rsid w:val="00352A35"/>
    <w:rsid w:val="00354421"/>
    <w:rsid w:val="00355288"/>
    <w:rsid w:val="00357BD1"/>
    <w:rsid w:val="003607FE"/>
    <w:rsid w:val="00361400"/>
    <w:rsid w:val="0036162A"/>
    <w:rsid w:val="0036168A"/>
    <w:rsid w:val="0036192C"/>
    <w:rsid w:val="00361C00"/>
    <w:rsid w:val="00362CF8"/>
    <w:rsid w:val="00364E5E"/>
    <w:rsid w:val="00366ECA"/>
    <w:rsid w:val="003712C9"/>
    <w:rsid w:val="00372A60"/>
    <w:rsid w:val="00372E1C"/>
    <w:rsid w:val="00374079"/>
    <w:rsid w:val="00375AD2"/>
    <w:rsid w:val="0037756F"/>
    <w:rsid w:val="00383F37"/>
    <w:rsid w:val="00385429"/>
    <w:rsid w:val="00386D0D"/>
    <w:rsid w:val="0038732C"/>
    <w:rsid w:val="003905AA"/>
    <w:rsid w:val="00391D92"/>
    <w:rsid w:val="0039466B"/>
    <w:rsid w:val="0039566F"/>
    <w:rsid w:val="0039582D"/>
    <w:rsid w:val="0039599D"/>
    <w:rsid w:val="003966A8"/>
    <w:rsid w:val="003A2527"/>
    <w:rsid w:val="003A5315"/>
    <w:rsid w:val="003A60F0"/>
    <w:rsid w:val="003B299F"/>
    <w:rsid w:val="003B5B81"/>
    <w:rsid w:val="003C02DD"/>
    <w:rsid w:val="003C1875"/>
    <w:rsid w:val="003C1A9C"/>
    <w:rsid w:val="003C1B7E"/>
    <w:rsid w:val="003C226F"/>
    <w:rsid w:val="003C5C77"/>
    <w:rsid w:val="003C6816"/>
    <w:rsid w:val="003D1983"/>
    <w:rsid w:val="003D1E19"/>
    <w:rsid w:val="003D3487"/>
    <w:rsid w:val="003D3589"/>
    <w:rsid w:val="003D56D6"/>
    <w:rsid w:val="003D5AC2"/>
    <w:rsid w:val="003D5E43"/>
    <w:rsid w:val="003D6017"/>
    <w:rsid w:val="003D6F0A"/>
    <w:rsid w:val="003D727F"/>
    <w:rsid w:val="003E0C79"/>
    <w:rsid w:val="003E1887"/>
    <w:rsid w:val="003E2EB6"/>
    <w:rsid w:val="003E2EE9"/>
    <w:rsid w:val="003E4A33"/>
    <w:rsid w:val="003E4D46"/>
    <w:rsid w:val="003E575B"/>
    <w:rsid w:val="003F1920"/>
    <w:rsid w:val="003F1AAE"/>
    <w:rsid w:val="003F2AFA"/>
    <w:rsid w:val="003F2F08"/>
    <w:rsid w:val="003F3702"/>
    <w:rsid w:val="003F3FFC"/>
    <w:rsid w:val="003F691B"/>
    <w:rsid w:val="003F75B9"/>
    <w:rsid w:val="003F7CFC"/>
    <w:rsid w:val="004003CE"/>
    <w:rsid w:val="004007AC"/>
    <w:rsid w:val="004022F1"/>
    <w:rsid w:val="00404D8D"/>
    <w:rsid w:val="0041279B"/>
    <w:rsid w:val="004127A0"/>
    <w:rsid w:val="00413AA8"/>
    <w:rsid w:val="00413BA8"/>
    <w:rsid w:val="0041546E"/>
    <w:rsid w:val="00416B75"/>
    <w:rsid w:val="00416CC1"/>
    <w:rsid w:val="004172CD"/>
    <w:rsid w:val="00420286"/>
    <w:rsid w:val="00423BAA"/>
    <w:rsid w:val="004244C6"/>
    <w:rsid w:val="00424D94"/>
    <w:rsid w:val="0042577C"/>
    <w:rsid w:val="00426177"/>
    <w:rsid w:val="00427575"/>
    <w:rsid w:val="00427662"/>
    <w:rsid w:val="00437FD6"/>
    <w:rsid w:val="004424DB"/>
    <w:rsid w:val="00443161"/>
    <w:rsid w:val="00447231"/>
    <w:rsid w:val="004472DE"/>
    <w:rsid w:val="00450BCA"/>
    <w:rsid w:val="00450CB5"/>
    <w:rsid w:val="0045318D"/>
    <w:rsid w:val="00453414"/>
    <w:rsid w:val="004555D5"/>
    <w:rsid w:val="00455A4E"/>
    <w:rsid w:val="00460702"/>
    <w:rsid w:val="00463EE6"/>
    <w:rsid w:val="00464BBB"/>
    <w:rsid w:val="004664A2"/>
    <w:rsid w:val="00466B57"/>
    <w:rsid w:val="00467000"/>
    <w:rsid w:val="00467138"/>
    <w:rsid w:val="004709D4"/>
    <w:rsid w:val="00472217"/>
    <w:rsid w:val="00473917"/>
    <w:rsid w:val="00473EB8"/>
    <w:rsid w:val="00477E91"/>
    <w:rsid w:val="004802E1"/>
    <w:rsid w:val="00484B90"/>
    <w:rsid w:val="00490A5C"/>
    <w:rsid w:val="00491D1B"/>
    <w:rsid w:val="00494C65"/>
    <w:rsid w:val="00495114"/>
    <w:rsid w:val="004A02A3"/>
    <w:rsid w:val="004A602B"/>
    <w:rsid w:val="004A7A5D"/>
    <w:rsid w:val="004B1B1F"/>
    <w:rsid w:val="004B2038"/>
    <w:rsid w:val="004B2921"/>
    <w:rsid w:val="004B54AC"/>
    <w:rsid w:val="004C4080"/>
    <w:rsid w:val="004C4185"/>
    <w:rsid w:val="004C4C68"/>
    <w:rsid w:val="004C506C"/>
    <w:rsid w:val="004D0E9E"/>
    <w:rsid w:val="004E4EBE"/>
    <w:rsid w:val="004E645E"/>
    <w:rsid w:val="004E70DB"/>
    <w:rsid w:val="004F2140"/>
    <w:rsid w:val="004F28E8"/>
    <w:rsid w:val="004F2BDE"/>
    <w:rsid w:val="004F60A2"/>
    <w:rsid w:val="00501B80"/>
    <w:rsid w:val="00502B92"/>
    <w:rsid w:val="00502BC2"/>
    <w:rsid w:val="005045B9"/>
    <w:rsid w:val="00505416"/>
    <w:rsid w:val="0050663E"/>
    <w:rsid w:val="00512099"/>
    <w:rsid w:val="00514202"/>
    <w:rsid w:val="00514524"/>
    <w:rsid w:val="00514CF0"/>
    <w:rsid w:val="00515715"/>
    <w:rsid w:val="00515B31"/>
    <w:rsid w:val="00520FAE"/>
    <w:rsid w:val="00522C74"/>
    <w:rsid w:val="0052339A"/>
    <w:rsid w:val="00523741"/>
    <w:rsid w:val="005279F5"/>
    <w:rsid w:val="00527E2B"/>
    <w:rsid w:val="00531428"/>
    <w:rsid w:val="00532E49"/>
    <w:rsid w:val="005359C7"/>
    <w:rsid w:val="00537AE8"/>
    <w:rsid w:val="0054566A"/>
    <w:rsid w:val="00545F1B"/>
    <w:rsid w:val="00547161"/>
    <w:rsid w:val="00550DAD"/>
    <w:rsid w:val="00550DCB"/>
    <w:rsid w:val="0055187E"/>
    <w:rsid w:val="00554D47"/>
    <w:rsid w:val="005573D8"/>
    <w:rsid w:val="00563E54"/>
    <w:rsid w:val="0056665C"/>
    <w:rsid w:val="005712BB"/>
    <w:rsid w:val="00573089"/>
    <w:rsid w:val="00573FF5"/>
    <w:rsid w:val="00575309"/>
    <w:rsid w:val="00575637"/>
    <w:rsid w:val="005813BB"/>
    <w:rsid w:val="00581E36"/>
    <w:rsid w:val="00583195"/>
    <w:rsid w:val="00585E58"/>
    <w:rsid w:val="0058639E"/>
    <w:rsid w:val="00587177"/>
    <w:rsid w:val="00590540"/>
    <w:rsid w:val="005924F9"/>
    <w:rsid w:val="005928CB"/>
    <w:rsid w:val="00594B7C"/>
    <w:rsid w:val="00597EB6"/>
    <w:rsid w:val="00597F68"/>
    <w:rsid w:val="005A1681"/>
    <w:rsid w:val="005A4000"/>
    <w:rsid w:val="005A64FA"/>
    <w:rsid w:val="005A71F0"/>
    <w:rsid w:val="005B026F"/>
    <w:rsid w:val="005B0D83"/>
    <w:rsid w:val="005B1C32"/>
    <w:rsid w:val="005B3D84"/>
    <w:rsid w:val="005B4A5F"/>
    <w:rsid w:val="005B7D3D"/>
    <w:rsid w:val="005C3F2C"/>
    <w:rsid w:val="005C4121"/>
    <w:rsid w:val="005C60C2"/>
    <w:rsid w:val="005C61D2"/>
    <w:rsid w:val="005D1735"/>
    <w:rsid w:val="005D4179"/>
    <w:rsid w:val="005D50E8"/>
    <w:rsid w:val="005D5F9F"/>
    <w:rsid w:val="005E13BC"/>
    <w:rsid w:val="005E250C"/>
    <w:rsid w:val="005E346A"/>
    <w:rsid w:val="005E3983"/>
    <w:rsid w:val="005E51DC"/>
    <w:rsid w:val="005E52AB"/>
    <w:rsid w:val="005E5BC8"/>
    <w:rsid w:val="005E7EA8"/>
    <w:rsid w:val="005F20CC"/>
    <w:rsid w:val="005F2A82"/>
    <w:rsid w:val="005F2DA9"/>
    <w:rsid w:val="005F3007"/>
    <w:rsid w:val="005F3250"/>
    <w:rsid w:val="005F4120"/>
    <w:rsid w:val="005F5090"/>
    <w:rsid w:val="005F5CF4"/>
    <w:rsid w:val="005F6308"/>
    <w:rsid w:val="005F7481"/>
    <w:rsid w:val="00600F74"/>
    <w:rsid w:val="00602B7A"/>
    <w:rsid w:val="00602D91"/>
    <w:rsid w:val="00603FAF"/>
    <w:rsid w:val="00610D77"/>
    <w:rsid w:val="00612130"/>
    <w:rsid w:val="00612756"/>
    <w:rsid w:val="006127FA"/>
    <w:rsid w:val="00612FFB"/>
    <w:rsid w:val="00613B7A"/>
    <w:rsid w:val="00615CF3"/>
    <w:rsid w:val="00616038"/>
    <w:rsid w:val="006164D5"/>
    <w:rsid w:val="00617839"/>
    <w:rsid w:val="00617984"/>
    <w:rsid w:val="0062426B"/>
    <w:rsid w:val="00625DE9"/>
    <w:rsid w:val="00626177"/>
    <w:rsid w:val="006272D0"/>
    <w:rsid w:val="00627880"/>
    <w:rsid w:val="00630836"/>
    <w:rsid w:val="006308F3"/>
    <w:rsid w:val="00634D6B"/>
    <w:rsid w:val="00635F1E"/>
    <w:rsid w:val="00643350"/>
    <w:rsid w:val="00643F22"/>
    <w:rsid w:val="00644FA5"/>
    <w:rsid w:val="00645A9A"/>
    <w:rsid w:val="00646F66"/>
    <w:rsid w:val="00646FA4"/>
    <w:rsid w:val="0065155C"/>
    <w:rsid w:val="00651A16"/>
    <w:rsid w:val="006556DE"/>
    <w:rsid w:val="00660152"/>
    <w:rsid w:val="006611C7"/>
    <w:rsid w:val="006614BB"/>
    <w:rsid w:val="00661FF7"/>
    <w:rsid w:val="00662071"/>
    <w:rsid w:val="006635CF"/>
    <w:rsid w:val="00663B92"/>
    <w:rsid w:val="006644F8"/>
    <w:rsid w:val="00664FF6"/>
    <w:rsid w:val="006653DE"/>
    <w:rsid w:val="0066752B"/>
    <w:rsid w:val="00671AB6"/>
    <w:rsid w:val="00675666"/>
    <w:rsid w:val="00677319"/>
    <w:rsid w:val="006775E4"/>
    <w:rsid w:val="006808A3"/>
    <w:rsid w:val="006850CB"/>
    <w:rsid w:val="00690C6A"/>
    <w:rsid w:val="0069228D"/>
    <w:rsid w:val="00692997"/>
    <w:rsid w:val="00692A8A"/>
    <w:rsid w:val="00693D8F"/>
    <w:rsid w:val="0069481E"/>
    <w:rsid w:val="00696DC0"/>
    <w:rsid w:val="00697166"/>
    <w:rsid w:val="0069781C"/>
    <w:rsid w:val="006A0FCB"/>
    <w:rsid w:val="006A3E60"/>
    <w:rsid w:val="006A43BE"/>
    <w:rsid w:val="006A4A16"/>
    <w:rsid w:val="006A748F"/>
    <w:rsid w:val="006B0C1C"/>
    <w:rsid w:val="006B27A5"/>
    <w:rsid w:val="006B4313"/>
    <w:rsid w:val="006B5DB9"/>
    <w:rsid w:val="006B7783"/>
    <w:rsid w:val="006C27DB"/>
    <w:rsid w:val="006C4B35"/>
    <w:rsid w:val="006C7CCC"/>
    <w:rsid w:val="006D0195"/>
    <w:rsid w:val="006D0E79"/>
    <w:rsid w:val="006D1BDB"/>
    <w:rsid w:val="006D1CF8"/>
    <w:rsid w:val="006D69D9"/>
    <w:rsid w:val="006E1451"/>
    <w:rsid w:val="006E43F2"/>
    <w:rsid w:val="006E44EB"/>
    <w:rsid w:val="006E61F1"/>
    <w:rsid w:val="006E7B06"/>
    <w:rsid w:val="006F03EA"/>
    <w:rsid w:val="006F23A7"/>
    <w:rsid w:val="006F5282"/>
    <w:rsid w:val="006F6B38"/>
    <w:rsid w:val="00700A37"/>
    <w:rsid w:val="00701F07"/>
    <w:rsid w:val="0070332D"/>
    <w:rsid w:val="00703D9B"/>
    <w:rsid w:val="007112EC"/>
    <w:rsid w:val="00711E09"/>
    <w:rsid w:val="0071264D"/>
    <w:rsid w:val="0071278F"/>
    <w:rsid w:val="00713FAC"/>
    <w:rsid w:val="007146B7"/>
    <w:rsid w:val="00715E9E"/>
    <w:rsid w:val="007168B2"/>
    <w:rsid w:val="00720B0E"/>
    <w:rsid w:val="0072144E"/>
    <w:rsid w:val="00722E42"/>
    <w:rsid w:val="00725ECE"/>
    <w:rsid w:val="00725F13"/>
    <w:rsid w:val="007302CE"/>
    <w:rsid w:val="00730732"/>
    <w:rsid w:val="007319CF"/>
    <w:rsid w:val="007332BA"/>
    <w:rsid w:val="0073422D"/>
    <w:rsid w:val="0073547E"/>
    <w:rsid w:val="007363EB"/>
    <w:rsid w:val="00737244"/>
    <w:rsid w:val="00737596"/>
    <w:rsid w:val="00744956"/>
    <w:rsid w:val="007508EC"/>
    <w:rsid w:val="00753682"/>
    <w:rsid w:val="00753792"/>
    <w:rsid w:val="0075408E"/>
    <w:rsid w:val="00756555"/>
    <w:rsid w:val="00763D97"/>
    <w:rsid w:val="00764190"/>
    <w:rsid w:val="00771AA9"/>
    <w:rsid w:val="00771FBA"/>
    <w:rsid w:val="007732E0"/>
    <w:rsid w:val="007749E5"/>
    <w:rsid w:val="00776C43"/>
    <w:rsid w:val="00781789"/>
    <w:rsid w:val="0078308C"/>
    <w:rsid w:val="0078319E"/>
    <w:rsid w:val="007833FF"/>
    <w:rsid w:val="007863F7"/>
    <w:rsid w:val="007872BA"/>
    <w:rsid w:val="00790D0A"/>
    <w:rsid w:val="0079188F"/>
    <w:rsid w:val="00797D28"/>
    <w:rsid w:val="00797E3F"/>
    <w:rsid w:val="007A0977"/>
    <w:rsid w:val="007A1080"/>
    <w:rsid w:val="007A2296"/>
    <w:rsid w:val="007A3878"/>
    <w:rsid w:val="007A625D"/>
    <w:rsid w:val="007B0C87"/>
    <w:rsid w:val="007B0CA5"/>
    <w:rsid w:val="007B1376"/>
    <w:rsid w:val="007B2D65"/>
    <w:rsid w:val="007B385C"/>
    <w:rsid w:val="007B3BA0"/>
    <w:rsid w:val="007B47B7"/>
    <w:rsid w:val="007B5310"/>
    <w:rsid w:val="007B5EBB"/>
    <w:rsid w:val="007B615B"/>
    <w:rsid w:val="007B752C"/>
    <w:rsid w:val="007C1E62"/>
    <w:rsid w:val="007C3382"/>
    <w:rsid w:val="007C385A"/>
    <w:rsid w:val="007C4765"/>
    <w:rsid w:val="007C4D8D"/>
    <w:rsid w:val="007C751B"/>
    <w:rsid w:val="007C78BF"/>
    <w:rsid w:val="007D0CA0"/>
    <w:rsid w:val="007D0D03"/>
    <w:rsid w:val="007D26D5"/>
    <w:rsid w:val="007D2BAA"/>
    <w:rsid w:val="007D4413"/>
    <w:rsid w:val="007D4DC0"/>
    <w:rsid w:val="007D7270"/>
    <w:rsid w:val="007E1881"/>
    <w:rsid w:val="007E1AA5"/>
    <w:rsid w:val="007E2382"/>
    <w:rsid w:val="007E32E2"/>
    <w:rsid w:val="007E39CE"/>
    <w:rsid w:val="007E42FA"/>
    <w:rsid w:val="007E6F6E"/>
    <w:rsid w:val="007E778F"/>
    <w:rsid w:val="007F0396"/>
    <w:rsid w:val="007F04C0"/>
    <w:rsid w:val="007F0B8A"/>
    <w:rsid w:val="007F1AD9"/>
    <w:rsid w:val="007F61C7"/>
    <w:rsid w:val="007F707D"/>
    <w:rsid w:val="007F74B9"/>
    <w:rsid w:val="007F7C50"/>
    <w:rsid w:val="00800B87"/>
    <w:rsid w:val="00807CD0"/>
    <w:rsid w:val="0081028C"/>
    <w:rsid w:val="0081059F"/>
    <w:rsid w:val="008109D5"/>
    <w:rsid w:val="00813922"/>
    <w:rsid w:val="008156A0"/>
    <w:rsid w:val="00816E21"/>
    <w:rsid w:val="00821B02"/>
    <w:rsid w:val="00825D33"/>
    <w:rsid w:val="00830567"/>
    <w:rsid w:val="008313AA"/>
    <w:rsid w:val="00832D20"/>
    <w:rsid w:val="008330C6"/>
    <w:rsid w:val="0083383D"/>
    <w:rsid w:val="00833CBB"/>
    <w:rsid w:val="00834888"/>
    <w:rsid w:val="00840424"/>
    <w:rsid w:val="008406A1"/>
    <w:rsid w:val="008423B1"/>
    <w:rsid w:val="00846217"/>
    <w:rsid w:val="00846278"/>
    <w:rsid w:val="00847A81"/>
    <w:rsid w:val="0085291E"/>
    <w:rsid w:val="008539AF"/>
    <w:rsid w:val="00854235"/>
    <w:rsid w:val="008553DA"/>
    <w:rsid w:val="00860771"/>
    <w:rsid w:val="00861731"/>
    <w:rsid w:val="00861CC2"/>
    <w:rsid w:val="00862CAE"/>
    <w:rsid w:val="00865496"/>
    <w:rsid w:val="008716E7"/>
    <w:rsid w:val="00873C97"/>
    <w:rsid w:val="00880056"/>
    <w:rsid w:val="00881747"/>
    <w:rsid w:val="00881DC5"/>
    <w:rsid w:val="00882D54"/>
    <w:rsid w:val="0088334A"/>
    <w:rsid w:val="00883E3E"/>
    <w:rsid w:val="008849E2"/>
    <w:rsid w:val="00886925"/>
    <w:rsid w:val="00887B92"/>
    <w:rsid w:val="0089021E"/>
    <w:rsid w:val="008909CC"/>
    <w:rsid w:val="0089326C"/>
    <w:rsid w:val="0089378A"/>
    <w:rsid w:val="008947C7"/>
    <w:rsid w:val="008961C8"/>
    <w:rsid w:val="00896637"/>
    <w:rsid w:val="0089700E"/>
    <w:rsid w:val="0089740A"/>
    <w:rsid w:val="00897712"/>
    <w:rsid w:val="008A0FB2"/>
    <w:rsid w:val="008A591A"/>
    <w:rsid w:val="008A6DBD"/>
    <w:rsid w:val="008B2105"/>
    <w:rsid w:val="008B3CEF"/>
    <w:rsid w:val="008B426A"/>
    <w:rsid w:val="008B5A36"/>
    <w:rsid w:val="008B6C1F"/>
    <w:rsid w:val="008C0293"/>
    <w:rsid w:val="008C19D6"/>
    <w:rsid w:val="008C2930"/>
    <w:rsid w:val="008C50CF"/>
    <w:rsid w:val="008C63E9"/>
    <w:rsid w:val="008C65C5"/>
    <w:rsid w:val="008C7CB6"/>
    <w:rsid w:val="008C7EA7"/>
    <w:rsid w:val="008D0464"/>
    <w:rsid w:val="008D30CC"/>
    <w:rsid w:val="008D3273"/>
    <w:rsid w:val="008D33D9"/>
    <w:rsid w:val="008D3AB7"/>
    <w:rsid w:val="008D3D11"/>
    <w:rsid w:val="008D4CA5"/>
    <w:rsid w:val="008D68A1"/>
    <w:rsid w:val="008D7D9C"/>
    <w:rsid w:val="008E06C7"/>
    <w:rsid w:val="008E1276"/>
    <w:rsid w:val="008E458D"/>
    <w:rsid w:val="008E4CC1"/>
    <w:rsid w:val="008E5F8C"/>
    <w:rsid w:val="008E6283"/>
    <w:rsid w:val="008E669F"/>
    <w:rsid w:val="008E6CD8"/>
    <w:rsid w:val="008F216F"/>
    <w:rsid w:val="008F361F"/>
    <w:rsid w:val="008F4003"/>
    <w:rsid w:val="008F4683"/>
    <w:rsid w:val="008F53EF"/>
    <w:rsid w:val="008F6223"/>
    <w:rsid w:val="008F6AC9"/>
    <w:rsid w:val="008F6DCA"/>
    <w:rsid w:val="008F7794"/>
    <w:rsid w:val="00900F17"/>
    <w:rsid w:val="00900F30"/>
    <w:rsid w:val="0090763E"/>
    <w:rsid w:val="00910069"/>
    <w:rsid w:val="00910480"/>
    <w:rsid w:val="009113C2"/>
    <w:rsid w:val="00913397"/>
    <w:rsid w:val="00913B19"/>
    <w:rsid w:val="00915DB6"/>
    <w:rsid w:val="00916EA9"/>
    <w:rsid w:val="009173D0"/>
    <w:rsid w:val="009173F5"/>
    <w:rsid w:val="00922CB0"/>
    <w:rsid w:val="00923496"/>
    <w:rsid w:val="00923AB1"/>
    <w:rsid w:val="00924764"/>
    <w:rsid w:val="00924DB4"/>
    <w:rsid w:val="0092586F"/>
    <w:rsid w:val="009276E5"/>
    <w:rsid w:val="00931ED4"/>
    <w:rsid w:val="0093222A"/>
    <w:rsid w:val="00933E37"/>
    <w:rsid w:val="009366B8"/>
    <w:rsid w:val="00936721"/>
    <w:rsid w:val="009411BA"/>
    <w:rsid w:val="00942CA4"/>
    <w:rsid w:val="00943980"/>
    <w:rsid w:val="00946A8E"/>
    <w:rsid w:val="0095245A"/>
    <w:rsid w:val="009531A3"/>
    <w:rsid w:val="009548B2"/>
    <w:rsid w:val="009551DD"/>
    <w:rsid w:val="00955335"/>
    <w:rsid w:val="00963108"/>
    <w:rsid w:val="009647E5"/>
    <w:rsid w:val="00967534"/>
    <w:rsid w:val="00970CAA"/>
    <w:rsid w:val="00972EE0"/>
    <w:rsid w:val="0097313B"/>
    <w:rsid w:val="009735AF"/>
    <w:rsid w:val="00974F48"/>
    <w:rsid w:val="00975C8C"/>
    <w:rsid w:val="00976612"/>
    <w:rsid w:val="00976839"/>
    <w:rsid w:val="00976ECC"/>
    <w:rsid w:val="00977E92"/>
    <w:rsid w:val="00980E05"/>
    <w:rsid w:val="00984001"/>
    <w:rsid w:val="00984E46"/>
    <w:rsid w:val="00992A5A"/>
    <w:rsid w:val="0099341B"/>
    <w:rsid w:val="009946E9"/>
    <w:rsid w:val="00994CAB"/>
    <w:rsid w:val="009965A2"/>
    <w:rsid w:val="009A1A13"/>
    <w:rsid w:val="009A3C39"/>
    <w:rsid w:val="009A54B0"/>
    <w:rsid w:val="009A54F1"/>
    <w:rsid w:val="009A5C1F"/>
    <w:rsid w:val="009A74FC"/>
    <w:rsid w:val="009A7E23"/>
    <w:rsid w:val="009A7F3B"/>
    <w:rsid w:val="009B0295"/>
    <w:rsid w:val="009C0F01"/>
    <w:rsid w:val="009C1A2F"/>
    <w:rsid w:val="009C3B34"/>
    <w:rsid w:val="009C4102"/>
    <w:rsid w:val="009C4A85"/>
    <w:rsid w:val="009C599D"/>
    <w:rsid w:val="009D25EE"/>
    <w:rsid w:val="009D6AB6"/>
    <w:rsid w:val="009D7F30"/>
    <w:rsid w:val="009E3647"/>
    <w:rsid w:val="009E3831"/>
    <w:rsid w:val="009E4206"/>
    <w:rsid w:val="009E4AB9"/>
    <w:rsid w:val="009E4CF7"/>
    <w:rsid w:val="009E7196"/>
    <w:rsid w:val="009E78DD"/>
    <w:rsid w:val="009F0486"/>
    <w:rsid w:val="009F0A4F"/>
    <w:rsid w:val="009F0E02"/>
    <w:rsid w:val="009F1CA6"/>
    <w:rsid w:val="009F606F"/>
    <w:rsid w:val="009F673E"/>
    <w:rsid w:val="009F6C63"/>
    <w:rsid w:val="00A01393"/>
    <w:rsid w:val="00A02CF2"/>
    <w:rsid w:val="00A03371"/>
    <w:rsid w:val="00A04D2F"/>
    <w:rsid w:val="00A0645C"/>
    <w:rsid w:val="00A06C6E"/>
    <w:rsid w:val="00A073C7"/>
    <w:rsid w:val="00A109AE"/>
    <w:rsid w:val="00A10A6B"/>
    <w:rsid w:val="00A10FE2"/>
    <w:rsid w:val="00A111DE"/>
    <w:rsid w:val="00A148FA"/>
    <w:rsid w:val="00A14C1B"/>
    <w:rsid w:val="00A16132"/>
    <w:rsid w:val="00A167E5"/>
    <w:rsid w:val="00A1760A"/>
    <w:rsid w:val="00A17A8E"/>
    <w:rsid w:val="00A206C8"/>
    <w:rsid w:val="00A21887"/>
    <w:rsid w:val="00A23180"/>
    <w:rsid w:val="00A238A2"/>
    <w:rsid w:val="00A23DF2"/>
    <w:rsid w:val="00A25DC8"/>
    <w:rsid w:val="00A2797B"/>
    <w:rsid w:val="00A30C02"/>
    <w:rsid w:val="00A31996"/>
    <w:rsid w:val="00A350A5"/>
    <w:rsid w:val="00A37DB2"/>
    <w:rsid w:val="00A42EEB"/>
    <w:rsid w:val="00A43BD5"/>
    <w:rsid w:val="00A44759"/>
    <w:rsid w:val="00A447DD"/>
    <w:rsid w:val="00A44C13"/>
    <w:rsid w:val="00A453BE"/>
    <w:rsid w:val="00A45C63"/>
    <w:rsid w:val="00A46213"/>
    <w:rsid w:val="00A502BF"/>
    <w:rsid w:val="00A51C67"/>
    <w:rsid w:val="00A5343A"/>
    <w:rsid w:val="00A54349"/>
    <w:rsid w:val="00A5576B"/>
    <w:rsid w:val="00A55FBC"/>
    <w:rsid w:val="00A577D3"/>
    <w:rsid w:val="00A637ED"/>
    <w:rsid w:val="00A67319"/>
    <w:rsid w:val="00A67AF5"/>
    <w:rsid w:val="00A72A3F"/>
    <w:rsid w:val="00A73788"/>
    <w:rsid w:val="00A74CC1"/>
    <w:rsid w:val="00A76A3E"/>
    <w:rsid w:val="00A81E07"/>
    <w:rsid w:val="00A8276A"/>
    <w:rsid w:val="00A8298E"/>
    <w:rsid w:val="00A8397C"/>
    <w:rsid w:val="00A83C0D"/>
    <w:rsid w:val="00A83F36"/>
    <w:rsid w:val="00A84036"/>
    <w:rsid w:val="00A8406E"/>
    <w:rsid w:val="00A840C2"/>
    <w:rsid w:val="00A844A0"/>
    <w:rsid w:val="00A84D47"/>
    <w:rsid w:val="00A8518E"/>
    <w:rsid w:val="00A85AA4"/>
    <w:rsid w:val="00A86881"/>
    <w:rsid w:val="00A90902"/>
    <w:rsid w:val="00A91A44"/>
    <w:rsid w:val="00A92F0A"/>
    <w:rsid w:val="00A934FE"/>
    <w:rsid w:val="00A960BA"/>
    <w:rsid w:val="00AA275C"/>
    <w:rsid w:val="00AA3884"/>
    <w:rsid w:val="00AA43A0"/>
    <w:rsid w:val="00AA43D1"/>
    <w:rsid w:val="00AA469E"/>
    <w:rsid w:val="00AA5266"/>
    <w:rsid w:val="00AB0FBF"/>
    <w:rsid w:val="00AB1C5C"/>
    <w:rsid w:val="00AB20E3"/>
    <w:rsid w:val="00AB2FF0"/>
    <w:rsid w:val="00AB53D6"/>
    <w:rsid w:val="00AB6280"/>
    <w:rsid w:val="00AB783E"/>
    <w:rsid w:val="00AC04F8"/>
    <w:rsid w:val="00AC1653"/>
    <w:rsid w:val="00AC4B89"/>
    <w:rsid w:val="00AC55BD"/>
    <w:rsid w:val="00AC57DB"/>
    <w:rsid w:val="00AC5C44"/>
    <w:rsid w:val="00AC6DAF"/>
    <w:rsid w:val="00AC6FC1"/>
    <w:rsid w:val="00AD26A4"/>
    <w:rsid w:val="00AD2A85"/>
    <w:rsid w:val="00AD2A97"/>
    <w:rsid w:val="00AD2B9D"/>
    <w:rsid w:val="00AD332B"/>
    <w:rsid w:val="00AD42EA"/>
    <w:rsid w:val="00AD4567"/>
    <w:rsid w:val="00AD46DE"/>
    <w:rsid w:val="00AD6C2F"/>
    <w:rsid w:val="00AD7510"/>
    <w:rsid w:val="00AE163D"/>
    <w:rsid w:val="00AE18BC"/>
    <w:rsid w:val="00AE1D3E"/>
    <w:rsid w:val="00AE1EEE"/>
    <w:rsid w:val="00AE2421"/>
    <w:rsid w:val="00AE368F"/>
    <w:rsid w:val="00AE47EF"/>
    <w:rsid w:val="00AE4B3A"/>
    <w:rsid w:val="00AE5BC3"/>
    <w:rsid w:val="00AE5C24"/>
    <w:rsid w:val="00AE5F2D"/>
    <w:rsid w:val="00AF0C6A"/>
    <w:rsid w:val="00AF5373"/>
    <w:rsid w:val="00AF6699"/>
    <w:rsid w:val="00AF67D8"/>
    <w:rsid w:val="00AF76D8"/>
    <w:rsid w:val="00B001F0"/>
    <w:rsid w:val="00B02703"/>
    <w:rsid w:val="00B02AA2"/>
    <w:rsid w:val="00B02C18"/>
    <w:rsid w:val="00B02FA1"/>
    <w:rsid w:val="00B039F3"/>
    <w:rsid w:val="00B0493F"/>
    <w:rsid w:val="00B056AB"/>
    <w:rsid w:val="00B06F06"/>
    <w:rsid w:val="00B07C64"/>
    <w:rsid w:val="00B1076A"/>
    <w:rsid w:val="00B12740"/>
    <w:rsid w:val="00B1319F"/>
    <w:rsid w:val="00B154EE"/>
    <w:rsid w:val="00B15648"/>
    <w:rsid w:val="00B16046"/>
    <w:rsid w:val="00B202AA"/>
    <w:rsid w:val="00B225B8"/>
    <w:rsid w:val="00B23370"/>
    <w:rsid w:val="00B23FBF"/>
    <w:rsid w:val="00B24C6A"/>
    <w:rsid w:val="00B25327"/>
    <w:rsid w:val="00B315AF"/>
    <w:rsid w:val="00B33666"/>
    <w:rsid w:val="00B34A27"/>
    <w:rsid w:val="00B36A47"/>
    <w:rsid w:val="00B37926"/>
    <w:rsid w:val="00B37C75"/>
    <w:rsid w:val="00B45D16"/>
    <w:rsid w:val="00B46178"/>
    <w:rsid w:val="00B46B52"/>
    <w:rsid w:val="00B46C5F"/>
    <w:rsid w:val="00B46FFD"/>
    <w:rsid w:val="00B51912"/>
    <w:rsid w:val="00B52C83"/>
    <w:rsid w:val="00B53330"/>
    <w:rsid w:val="00B53804"/>
    <w:rsid w:val="00B571D5"/>
    <w:rsid w:val="00B60563"/>
    <w:rsid w:val="00B60E67"/>
    <w:rsid w:val="00B62D72"/>
    <w:rsid w:val="00B66383"/>
    <w:rsid w:val="00B7305E"/>
    <w:rsid w:val="00B73A50"/>
    <w:rsid w:val="00B73E08"/>
    <w:rsid w:val="00B75760"/>
    <w:rsid w:val="00B7709F"/>
    <w:rsid w:val="00B812C8"/>
    <w:rsid w:val="00B81A1D"/>
    <w:rsid w:val="00B82822"/>
    <w:rsid w:val="00B83093"/>
    <w:rsid w:val="00B83708"/>
    <w:rsid w:val="00B847A6"/>
    <w:rsid w:val="00B85F8A"/>
    <w:rsid w:val="00B8658E"/>
    <w:rsid w:val="00B874D9"/>
    <w:rsid w:val="00B87AE2"/>
    <w:rsid w:val="00B87B86"/>
    <w:rsid w:val="00B93936"/>
    <w:rsid w:val="00B9430A"/>
    <w:rsid w:val="00B94A24"/>
    <w:rsid w:val="00B94EAA"/>
    <w:rsid w:val="00B958D0"/>
    <w:rsid w:val="00B95D98"/>
    <w:rsid w:val="00B96106"/>
    <w:rsid w:val="00B96413"/>
    <w:rsid w:val="00B969FA"/>
    <w:rsid w:val="00BA0E07"/>
    <w:rsid w:val="00BA132E"/>
    <w:rsid w:val="00BA2EA7"/>
    <w:rsid w:val="00BA47F0"/>
    <w:rsid w:val="00BA609B"/>
    <w:rsid w:val="00BA64FD"/>
    <w:rsid w:val="00BA6580"/>
    <w:rsid w:val="00BA76B5"/>
    <w:rsid w:val="00BB0726"/>
    <w:rsid w:val="00BB2EB7"/>
    <w:rsid w:val="00BB3A39"/>
    <w:rsid w:val="00BB668E"/>
    <w:rsid w:val="00BB7296"/>
    <w:rsid w:val="00BC3CE0"/>
    <w:rsid w:val="00BC57C9"/>
    <w:rsid w:val="00BC5817"/>
    <w:rsid w:val="00BD0683"/>
    <w:rsid w:val="00BD1E6E"/>
    <w:rsid w:val="00BD2B0F"/>
    <w:rsid w:val="00BD3FE5"/>
    <w:rsid w:val="00BD5062"/>
    <w:rsid w:val="00BE34ED"/>
    <w:rsid w:val="00BE48FF"/>
    <w:rsid w:val="00BE57D5"/>
    <w:rsid w:val="00BE6437"/>
    <w:rsid w:val="00BF2F43"/>
    <w:rsid w:val="00BF5839"/>
    <w:rsid w:val="00BF6A0D"/>
    <w:rsid w:val="00BF6E64"/>
    <w:rsid w:val="00BF7702"/>
    <w:rsid w:val="00C01B33"/>
    <w:rsid w:val="00C01C7B"/>
    <w:rsid w:val="00C02CF7"/>
    <w:rsid w:val="00C02EA3"/>
    <w:rsid w:val="00C03038"/>
    <w:rsid w:val="00C04D5C"/>
    <w:rsid w:val="00C05939"/>
    <w:rsid w:val="00C05D67"/>
    <w:rsid w:val="00C06348"/>
    <w:rsid w:val="00C1013B"/>
    <w:rsid w:val="00C13D69"/>
    <w:rsid w:val="00C1486A"/>
    <w:rsid w:val="00C149DB"/>
    <w:rsid w:val="00C15368"/>
    <w:rsid w:val="00C1606D"/>
    <w:rsid w:val="00C207C9"/>
    <w:rsid w:val="00C2118C"/>
    <w:rsid w:val="00C250F3"/>
    <w:rsid w:val="00C25739"/>
    <w:rsid w:val="00C27F5A"/>
    <w:rsid w:val="00C3058C"/>
    <w:rsid w:val="00C31153"/>
    <w:rsid w:val="00C33158"/>
    <w:rsid w:val="00C35782"/>
    <w:rsid w:val="00C455D3"/>
    <w:rsid w:val="00C456D5"/>
    <w:rsid w:val="00C4632A"/>
    <w:rsid w:val="00C47B0E"/>
    <w:rsid w:val="00C531E8"/>
    <w:rsid w:val="00C540D9"/>
    <w:rsid w:val="00C55987"/>
    <w:rsid w:val="00C568CA"/>
    <w:rsid w:val="00C6082D"/>
    <w:rsid w:val="00C6543C"/>
    <w:rsid w:val="00C675B0"/>
    <w:rsid w:val="00C67D96"/>
    <w:rsid w:val="00C71D20"/>
    <w:rsid w:val="00C71FCE"/>
    <w:rsid w:val="00C77CF6"/>
    <w:rsid w:val="00C808EA"/>
    <w:rsid w:val="00C816A7"/>
    <w:rsid w:val="00C81810"/>
    <w:rsid w:val="00C84853"/>
    <w:rsid w:val="00C85951"/>
    <w:rsid w:val="00C8647E"/>
    <w:rsid w:val="00C86E03"/>
    <w:rsid w:val="00C877A1"/>
    <w:rsid w:val="00C87857"/>
    <w:rsid w:val="00C9060A"/>
    <w:rsid w:val="00C91CB1"/>
    <w:rsid w:val="00C941EE"/>
    <w:rsid w:val="00C94821"/>
    <w:rsid w:val="00C96A3F"/>
    <w:rsid w:val="00CA1901"/>
    <w:rsid w:val="00CA1DD2"/>
    <w:rsid w:val="00CA3FBC"/>
    <w:rsid w:val="00CA53EF"/>
    <w:rsid w:val="00CA567E"/>
    <w:rsid w:val="00CA5C40"/>
    <w:rsid w:val="00CB00C7"/>
    <w:rsid w:val="00CB173A"/>
    <w:rsid w:val="00CB3251"/>
    <w:rsid w:val="00CB3DA7"/>
    <w:rsid w:val="00CB3E42"/>
    <w:rsid w:val="00CB452C"/>
    <w:rsid w:val="00CB4E47"/>
    <w:rsid w:val="00CB54F2"/>
    <w:rsid w:val="00CC1C09"/>
    <w:rsid w:val="00CC2213"/>
    <w:rsid w:val="00CC4952"/>
    <w:rsid w:val="00CC5261"/>
    <w:rsid w:val="00CC7F91"/>
    <w:rsid w:val="00CD0B90"/>
    <w:rsid w:val="00CD0BA3"/>
    <w:rsid w:val="00CD0DFB"/>
    <w:rsid w:val="00CD29B0"/>
    <w:rsid w:val="00CD35D9"/>
    <w:rsid w:val="00CD3910"/>
    <w:rsid w:val="00CD5CDF"/>
    <w:rsid w:val="00CD761F"/>
    <w:rsid w:val="00CE0E04"/>
    <w:rsid w:val="00CE5A4C"/>
    <w:rsid w:val="00CE5B5F"/>
    <w:rsid w:val="00CE5D71"/>
    <w:rsid w:val="00CE65C8"/>
    <w:rsid w:val="00CE698B"/>
    <w:rsid w:val="00CE7291"/>
    <w:rsid w:val="00CF1195"/>
    <w:rsid w:val="00CF5A99"/>
    <w:rsid w:val="00CF6249"/>
    <w:rsid w:val="00CF6CDD"/>
    <w:rsid w:val="00CF6D85"/>
    <w:rsid w:val="00D00ACF"/>
    <w:rsid w:val="00D01934"/>
    <w:rsid w:val="00D0255F"/>
    <w:rsid w:val="00D02A6B"/>
    <w:rsid w:val="00D1249D"/>
    <w:rsid w:val="00D126BB"/>
    <w:rsid w:val="00D13B5C"/>
    <w:rsid w:val="00D1423C"/>
    <w:rsid w:val="00D17D28"/>
    <w:rsid w:val="00D213D0"/>
    <w:rsid w:val="00D21D1A"/>
    <w:rsid w:val="00D255A9"/>
    <w:rsid w:val="00D306A3"/>
    <w:rsid w:val="00D31EA7"/>
    <w:rsid w:val="00D35026"/>
    <w:rsid w:val="00D35BF2"/>
    <w:rsid w:val="00D37446"/>
    <w:rsid w:val="00D37618"/>
    <w:rsid w:val="00D37625"/>
    <w:rsid w:val="00D37F65"/>
    <w:rsid w:val="00D40454"/>
    <w:rsid w:val="00D42648"/>
    <w:rsid w:val="00D445CC"/>
    <w:rsid w:val="00D44AA7"/>
    <w:rsid w:val="00D4730C"/>
    <w:rsid w:val="00D47F12"/>
    <w:rsid w:val="00D53635"/>
    <w:rsid w:val="00D54216"/>
    <w:rsid w:val="00D548C6"/>
    <w:rsid w:val="00D55AB4"/>
    <w:rsid w:val="00D576D4"/>
    <w:rsid w:val="00D61910"/>
    <w:rsid w:val="00D637AB"/>
    <w:rsid w:val="00D64933"/>
    <w:rsid w:val="00D64CFF"/>
    <w:rsid w:val="00D653FF"/>
    <w:rsid w:val="00D65457"/>
    <w:rsid w:val="00D65D46"/>
    <w:rsid w:val="00D6746D"/>
    <w:rsid w:val="00D72410"/>
    <w:rsid w:val="00D72BB0"/>
    <w:rsid w:val="00D73AFC"/>
    <w:rsid w:val="00D74E4C"/>
    <w:rsid w:val="00D75765"/>
    <w:rsid w:val="00D802CA"/>
    <w:rsid w:val="00D80B05"/>
    <w:rsid w:val="00D81384"/>
    <w:rsid w:val="00D81544"/>
    <w:rsid w:val="00D817C7"/>
    <w:rsid w:val="00D83470"/>
    <w:rsid w:val="00D84972"/>
    <w:rsid w:val="00D84CA8"/>
    <w:rsid w:val="00D85838"/>
    <w:rsid w:val="00D85C06"/>
    <w:rsid w:val="00D86513"/>
    <w:rsid w:val="00D866F0"/>
    <w:rsid w:val="00D87714"/>
    <w:rsid w:val="00D970E5"/>
    <w:rsid w:val="00DA40F6"/>
    <w:rsid w:val="00DA484A"/>
    <w:rsid w:val="00DA5D13"/>
    <w:rsid w:val="00DA6A25"/>
    <w:rsid w:val="00DB09BA"/>
    <w:rsid w:val="00DB5D64"/>
    <w:rsid w:val="00DB6EC2"/>
    <w:rsid w:val="00DC0173"/>
    <w:rsid w:val="00DC2AAC"/>
    <w:rsid w:val="00DC4455"/>
    <w:rsid w:val="00DC46F4"/>
    <w:rsid w:val="00DC5926"/>
    <w:rsid w:val="00DC700E"/>
    <w:rsid w:val="00DD2806"/>
    <w:rsid w:val="00DD39F5"/>
    <w:rsid w:val="00DD5D55"/>
    <w:rsid w:val="00DD6D30"/>
    <w:rsid w:val="00DD7E34"/>
    <w:rsid w:val="00DE1D71"/>
    <w:rsid w:val="00DE2032"/>
    <w:rsid w:val="00DF1B0C"/>
    <w:rsid w:val="00DF310E"/>
    <w:rsid w:val="00DF474A"/>
    <w:rsid w:val="00E006C4"/>
    <w:rsid w:val="00E00841"/>
    <w:rsid w:val="00E011DB"/>
    <w:rsid w:val="00E02FA9"/>
    <w:rsid w:val="00E05711"/>
    <w:rsid w:val="00E1013E"/>
    <w:rsid w:val="00E11076"/>
    <w:rsid w:val="00E1223A"/>
    <w:rsid w:val="00E13161"/>
    <w:rsid w:val="00E13871"/>
    <w:rsid w:val="00E17397"/>
    <w:rsid w:val="00E21A15"/>
    <w:rsid w:val="00E21E16"/>
    <w:rsid w:val="00E22288"/>
    <w:rsid w:val="00E254DB"/>
    <w:rsid w:val="00E33AE7"/>
    <w:rsid w:val="00E33CD2"/>
    <w:rsid w:val="00E34934"/>
    <w:rsid w:val="00E34A00"/>
    <w:rsid w:val="00E35326"/>
    <w:rsid w:val="00E35600"/>
    <w:rsid w:val="00E37A5B"/>
    <w:rsid w:val="00E4358F"/>
    <w:rsid w:val="00E43891"/>
    <w:rsid w:val="00E45CA2"/>
    <w:rsid w:val="00E461DF"/>
    <w:rsid w:val="00E474CC"/>
    <w:rsid w:val="00E479E2"/>
    <w:rsid w:val="00E52874"/>
    <w:rsid w:val="00E52F1E"/>
    <w:rsid w:val="00E53095"/>
    <w:rsid w:val="00E54FE9"/>
    <w:rsid w:val="00E60075"/>
    <w:rsid w:val="00E60C5F"/>
    <w:rsid w:val="00E6115E"/>
    <w:rsid w:val="00E646BC"/>
    <w:rsid w:val="00E64925"/>
    <w:rsid w:val="00E6785C"/>
    <w:rsid w:val="00E706AD"/>
    <w:rsid w:val="00E70E66"/>
    <w:rsid w:val="00E712FA"/>
    <w:rsid w:val="00E715E1"/>
    <w:rsid w:val="00E729DF"/>
    <w:rsid w:val="00E72C49"/>
    <w:rsid w:val="00E7308B"/>
    <w:rsid w:val="00E7562C"/>
    <w:rsid w:val="00E75E54"/>
    <w:rsid w:val="00E8001C"/>
    <w:rsid w:val="00E80DCB"/>
    <w:rsid w:val="00E827A2"/>
    <w:rsid w:val="00E83F68"/>
    <w:rsid w:val="00E84A2C"/>
    <w:rsid w:val="00E85EF5"/>
    <w:rsid w:val="00E86167"/>
    <w:rsid w:val="00E86B1C"/>
    <w:rsid w:val="00E86BD0"/>
    <w:rsid w:val="00E87030"/>
    <w:rsid w:val="00E94B6F"/>
    <w:rsid w:val="00E94D79"/>
    <w:rsid w:val="00EA01AD"/>
    <w:rsid w:val="00EA324A"/>
    <w:rsid w:val="00EA33B3"/>
    <w:rsid w:val="00EA34C0"/>
    <w:rsid w:val="00EA434D"/>
    <w:rsid w:val="00EA4B74"/>
    <w:rsid w:val="00EA5FB0"/>
    <w:rsid w:val="00EA5FBA"/>
    <w:rsid w:val="00EA6761"/>
    <w:rsid w:val="00EB399F"/>
    <w:rsid w:val="00EB53C9"/>
    <w:rsid w:val="00EB579C"/>
    <w:rsid w:val="00EB5CF9"/>
    <w:rsid w:val="00EB69D1"/>
    <w:rsid w:val="00EC0146"/>
    <w:rsid w:val="00EC1728"/>
    <w:rsid w:val="00EC3E0C"/>
    <w:rsid w:val="00EC3E8A"/>
    <w:rsid w:val="00EC491C"/>
    <w:rsid w:val="00EC510A"/>
    <w:rsid w:val="00EC7022"/>
    <w:rsid w:val="00ED01EF"/>
    <w:rsid w:val="00ED08BA"/>
    <w:rsid w:val="00ED50C6"/>
    <w:rsid w:val="00EE23F5"/>
    <w:rsid w:val="00EE7F56"/>
    <w:rsid w:val="00EF1E1A"/>
    <w:rsid w:val="00EF1E87"/>
    <w:rsid w:val="00EF405C"/>
    <w:rsid w:val="00EF42E5"/>
    <w:rsid w:val="00EF4950"/>
    <w:rsid w:val="00EF62E0"/>
    <w:rsid w:val="00EF72D0"/>
    <w:rsid w:val="00F00106"/>
    <w:rsid w:val="00F02A13"/>
    <w:rsid w:val="00F03CB1"/>
    <w:rsid w:val="00F108FB"/>
    <w:rsid w:val="00F153A9"/>
    <w:rsid w:val="00F15878"/>
    <w:rsid w:val="00F2051C"/>
    <w:rsid w:val="00F206F8"/>
    <w:rsid w:val="00F2143C"/>
    <w:rsid w:val="00F26355"/>
    <w:rsid w:val="00F26D1E"/>
    <w:rsid w:val="00F2741E"/>
    <w:rsid w:val="00F31397"/>
    <w:rsid w:val="00F37AF9"/>
    <w:rsid w:val="00F41725"/>
    <w:rsid w:val="00F41889"/>
    <w:rsid w:val="00F436E0"/>
    <w:rsid w:val="00F44E07"/>
    <w:rsid w:val="00F47962"/>
    <w:rsid w:val="00F47A5F"/>
    <w:rsid w:val="00F50635"/>
    <w:rsid w:val="00F50993"/>
    <w:rsid w:val="00F529F7"/>
    <w:rsid w:val="00F530D1"/>
    <w:rsid w:val="00F53261"/>
    <w:rsid w:val="00F53CE1"/>
    <w:rsid w:val="00F5456A"/>
    <w:rsid w:val="00F5488F"/>
    <w:rsid w:val="00F62201"/>
    <w:rsid w:val="00F63E1D"/>
    <w:rsid w:val="00F64B9B"/>
    <w:rsid w:val="00F70DAC"/>
    <w:rsid w:val="00F71CAC"/>
    <w:rsid w:val="00F71FED"/>
    <w:rsid w:val="00F751F1"/>
    <w:rsid w:val="00F75865"/>
    <w:rsid w:val="00F760D1"/>
    <w:rsid w:val="00F765F1"/>
    <w:rsid w:val="00F8153F"/>
    <w:rsid w:val="00F8232B"/>
    <w:rsid w:val="00F82A37"/>
    <w:rsid w:val="00F8695E"/>
    <w:rsid w:val="00F879D1"/>
    <w:rsid w:val="00F90472"/>
    <w:rsid w:val="00F90F3C"/>
    <w:rsid w:val="00F918A4"/>
    <w:rsid w:val="00F918B8"/>
    <w:rsid w:val="00F93253"/>
    <w:rsid w:val="00F94BA9"/>
    <w:rsid w:val="00F956DB"/>
    <w:rsid w:val="00FA0DFD"/>
    <w:rsid w:val="00FA1126"/>
    <w:rsid w:val="00FA293A"/>
    <w:rsid w:val="00FA4636"/>
    <w:rsid w:val="00FA600F"/>
    <w:rsid w:val="00FA6391"/>
    <w:rsid w:val="00FA6AD0"/>
    <w:rsid w:val="00FA758D"/>
    <w:rsid w:val="00FB0697"/>
    <w:rsid w:val="00FB161C"/>
    <w:rsid w:val="00FB1B21"/>
    <w:rsid w:val="00FB2660"/>
    <w:rsid w:val="00FB2EB9"/>
    <w:rsid w:val="00FB3534"/>
    <w:rsid w:val="00FB5E8C"/>
    <w:rsid w:val="00FB61B2"/>
    <w:rsid w:val="00FB6FC3"/>
    <w:rsid w:val="00FB7277"/>
    <w:rsid w:val="00FC4B5D"/>
    <w:rsid w:val="00FD0722"/>
    <w:rsid w:val="00FD2D06"/>
    <w:rsid w:val="00FD40F2"/>
    <w:rsid w:val="00FD4416"/>
    <w:rsid w:val="00FD56AF"/>
    <w:rsid w:val="00FD6283"/>
    <w:rsid w:val="00FD6F6A"/>
    <w:rsid w:val="00FD72A7"/>
    <w:rsid w:val="00FE09A5"/>
    <w:rsid w:val="00FE4D56"/>
    <w:rsid w:val="00FE709A"/>
    <w:rsid w:val="00FE7B01"/>
    <w:rsid w:val="00FF1CC2"/>
    <w:rsid w:val="00FF3BDF"/>
    <w:rsid w:val="00FF4CD8"/>
    <w:rsid w:val="00FF4E6E"/>
    <w:rsid w:val="00FF55C9"/>
    <w:rsid w:val="00FF61A7"/>
    <w:rsid w:val="00FF6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A749A"/>
  <w15:chartTrackingRefBased/>
  <w15:docId w15:val="{0F7F9911-A1F0-4BD8-A477-D003300BB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0A2"/>
    <w:pPr>
      <w:spacing w:after="0" w:line="240" w:lineRule="auto"/>
    </w:pPr>
    <w:rPr>
      <w:rFonts w:ascii="Times New Roman" w:eastAsia="Times New Roman" w:hAnsi="Times New Roman" w:cs="Times New Roman"/>
      <w:kern w:val="0"/>
      <w:sz w:val="24"/>
      <w:lang w:val="en-AU"/>
      <w14:ligatures w14:val="none"/>
    </w:rPr>
  </w:style>
  <w:style w:type="paragraph" w:styleId="Heading1">
    <w:name w:val="heading 1"/>
    <w:basedOn w:val="Normal"/>
    <w:next w:val="Normal"/>
    <w:link w:val="Heading1Char"/>
    <w:uiPriority w:val="9"/>
    <w:qFormat/>
    <w:rsid w:val="007830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830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830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8308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8308C"/>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78308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8308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8308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8308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08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8308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8308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8308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8308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8308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8308C"/>
    <w:rPr>
      <w:rFonts w:cstheme="majorBidi"/>
      <w:b/>
      <w:bCs/>
      <w:color w:val="595959" w:themeColor="text1" w:themeTint="A6"/>
    </w:rPr>
  </w:style>
  <w:style w:type="character" w:customStyle="1" w:styleId="Heading8Char">
    <w:name w:val="Heading 8 Char"/>
    <w:basedOn w:val="DefaultParagraphFont"/>
    <w:link w:val="Heading8"/>
    <w:uiPriority w:val="9"/>
    <w:semiHidden/>
    <w:rsid w:val="0078308C"/>
    <w:rPr>
      <w:rFonts w:cstheme="majorBidi"/>
      <w:color w:val="595959" w:themeColor="text1" w:themeTint="A6"/>
    </w:rPr>
  </w:style>
  <w:style w:type="character" w:customStyle="1" w:styleId="Heading9Char">
    <w:name w:val="Heading 9 Char"/>
    <w:basedOn w:val="DefaultParagraphFont"/>
    <w:link w:val="Heading9"/>
    <w:uiPriority w:val="9"/>
    <w:semiHidden/>
    <w:rsid w:val="0078308C"/>
    <w:rPr>
      <w:rFonts w:eastAsiaTheme="majorEastAsia" w:cstheme="majorBidi"/>
      <w:color w:val="595959" w:themeColor="text1" w:themeTint="A6"/>
    </w:rPr>
  </w:style>
  <w:style w:type="paragraph" w:styleId="Title">
    <w:name w:val="Title"/>
    <w:basedOn w:val="Normal"/>
    <w:next w:val="Normal"/>
    <w:link w:val="TitleChar"/>
    <w:uiPriority w:val="10"/>
    <w:qFormat/>
    <w:rsid w:val="0078308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0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08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8308C"/>
    <w:pPr>
      <w:spacing w:before="160"/>
      <w:jc w:val="center"/>
    </w:pPr>
    <w:rPr>
      <w:i/>
      <w:iCs/>
      <w:color w:val="404040" w:themeColor="text1" w:themeTint="BF"/>
    </w:rPr>
  </w:style>
  <w:style w:type="character" w:customStyle="1" w:styleId="QuoteChar">
    <w:name w:val="Quote Char"/>
    <w:basedOn w:val="DefaultParagraphFont"/>
    <w:link w:val="Quote"/>
    <w:uiPriority w:val="29"/>
    <w:rsid w:val="0078308C"/>
    <w:rPr>
      <w:i/>
      <w:iCs/>
      <w:color w:val="404040" w:themeColor="text1" w:themeTint="BF"/>
    </w:rPr>
  </w:style>
  <w:style w:type="paragraph" w:styleId="ListParagraph">
    <w:name w:val="List Paragraph"/>
    <w:basedOn w:val="Normal"/>
    <w:link w:val="ListParagraphChar"/>
    <w:uiPriority w:val="34"/>
    <w:qFormat/>
    <w:rsid w:val="0078308C"/>
    <w:pPr>
      <w:ind w:left="720"/>
      <w:contextualSpacing/>
    </w:pPr>
  </w:style>
  <w:style w:type="character" w:styleId="IntenseEmphasis">
    <w:name w:val="Intense Emphasis"/>
    <w:basedOn w:val="DefaultParagraphFont"/>
    <w:uiPriority w:val="21"/>
    <w:qFormat/>
    <w:rsid w:val="0078308C"/>
    <w:rPr>
      <w:i/>
      <w:iCs/>
      <w:color w:val="0F4761" w:themeColor="accent1" w:themeShade="BF"/>
    </w:rPr>
  </w:style>
  <w:style w:type="paragraph" w:styleId="IntenseQuote">
    <w:name w:val="Intense Quote"/>
    <w:basedOn w:val="Normal"/>
    <w:next w:val="Normal"/>
    <w:link w:val="IntenseQuoteChar"/>
    <w:uiPriority w:val="30"/>
    <w:qFormat/>
    <w:rsid w:val="00783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08C"/>
    <w:rPr>
      <w:i/>
      <w:iCs/>
      <w:color w:val="0F4761" w:themeColor="accent1" w:themeShade="BF"/>
    </w:rPr>
  </w:style>
  <w:style w:type="character" w:styleId="IntenseReference">
    <w:name w:val="Intense Reference"/>
    <w:basedOn w:val="DefaultParagraphFont"/>
    <w:uiPriority w:val="32"/>
    <w:qFormat/>
    <w:rsid w:val="0078308C"/>
    <w:rPr>
      <w:b/>
      <w:bCs/>
      <w:smallCaps/>
      <w:color w:val="0F4761" w:themeColor="accent1" w:themeShade="BF"/>
      <w:spacing w:val="5"/>
    </w:rPr>
  </w:style>
  <w:style w:type="paragraph" w:styleId="Header">
    <w:name w:val="header"/>
    <w:basedOn w:val="Normal"/>
    <w:link w:val="HeaderChar"/>
    <w:uiPriority w:val="99"/>
    <w:unhideWhenUsed/>
    <w:rsid w:val="00494C65"/>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94C65"/>
    <w:rPr>
      <w:sz w:val="18"/>
      <w:szCs w:val="18"/>
    </w:rPr>
  </w:style>
  <w:style w:type="paragraph" w:styleId="Footer">
    <w:name w:val="footer"/>
    <w:basedOn w:val="Normal"/>
    <w:link w:val="FooterChar"/>
    <w:uiPriority w:val="99"/>
    <w:unhideWhenUsed/>
    <w:rsid w:val="00494C65"/>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494C65"/>
    <w:rPr>
      <w:sz w:val="18"/>
      <w:szCs w:val="18"/>
    </w:rPr>
  </w:style>
  <w:style w:type="character" w:styleId="CommentReference">
    <w:name w:val="annotation reference"/>
    <w:basedOn w:val="DefaultParagraphFont"/>
    <w:uiPriority w:val="99"/>
    <w:semiHidden/>
    <w:unhideWhenUsed/>
    <w:rsid w:val="00427662"/>
    <w:rPr>
      <w:sz w:val="21"/>
      <w:szCs w:val="21"/>
    </w:rPr>
  </w:style>
  <w:style w:type="paragraph" w:styleId="CommentText">
    <w:name w:val="annotation text"/>
    <w:basedOn w:val="Normal"/>
    <w:link w:val="CommentTextChar"/>
    <w:uiPriority w:val="99"/>
    <w:unhideWhenUsed/>
    <w:rsid w:val="00427662"/>
  </w:style>
  <w:style w:type="character" w:customStyle="1" w:styleId="CommentTextChar">
    <w:name w:val="Comment Text Char"/>
    <w:basedOn w:val="DefaultParagraphFont"/>
    <w:link w:val="CommentText"/>
    <w:uiPriority w:val="99"/>
    <w:rsid w:val="00427662"/>
  </w:style>
  <w:style w:type="paragraph" w:styleId="CommentSubject">
    <w:name w:val="annotation subject"/>
    <w:basedOn w:val="CommentText"/>
    <w:next w:val="CommentText"/>
    <w:link w:val="CommentSubjectChar"/>
    <w:uiPriority w:val="99"/>
    <w:semiHidden/>
    <w:unhideWhenUsed/>
    <w:rsid w:val="00427662"/>
    <w:rPr>
      <w:b/>
      <w:bCs/>
    </w:rPr>
  </w:style>
  <w:style w:type="character" w:customStyle="1" w:styleId="CommentSubjectChar">
    <w:name w:val="Comment Subject Char"/>
    <w:basedOn w:val="CommentTextChar"/>
    <w:link w:val="CommentSubject"/>
    <w:uiPriority w:val="99"/>
    <w:semiHidden/>
    <w:rsid w:val="00427662"/>
    <w:rPr>
      <w:b/>
      <w:bCs/>
    </w:rPr>
  </w:style>
  <w:style w:type="paragraph" w:styleId="BodyText">
    <w:name w:val="Body Text"/>
    <w:aliases w:val="Body text"/>
    <w:basedOn w:val="Normal"/>
    <w:link w:val="BodyTextChar"/>
    <w:qFormat/>
    <w:rsid w:val="00A90902"/>
    <w:pPr>
      <w:spacing w:after="120"/>
    </w:pPr>
    <w:rPr>
      <w:lang w:eastAsia="en-AU"/>
    </w:rPr>
  </w:style>
  <w:style w:type="character" w:customStyle="1" w:styleId="BodyTextChar">
    <w:name w:val="Body Text Char"/>
    <w:aliases w:val="Body text Char"/>
    <w:basedOn w:val="DefaultParagraphFont"/>
    <w:link w:val="BodyText"/>
    <w:rsid w:val="00A90902"/>
    <w:rPr>
      <w:rFonts w:ascii="Times New Roman" w:eastAsia="Times New Roman" w:hAnsi="Times New Roman" w:cs="Times New Roman"/>
      <w:kern w:val="0"/>
      <w:sz w:val="24"/>
      <w:lang w:val="en-AU" w:eastAsia="en-AU"/>
      <w14:ligatures w14:val="none"/>
    </w:rPr>
  </w:style>
  <w:style w:type="character" w:styleId="Hyperlink">
    <w:name w:val="Hyperlink"/>
    <w:basedOn w:val="DefaultParagraphFont"/>
    <w:uiPriority w:val="99"/>
    <w:unhideWhenUsed/>
    <w:rsid w:val="00EC3E0C"/>
    <w:rPr>
      <w:color w:val="467886"/>
      <w:u w:val="single"/>
    </w:rPr>
  </w:style>
  <w:style w:type="paragraph" w:customStyle="1" w:styleId="Bullet1stlevel">
    <w:name w:val="Bullet 1st level"/>
    <w:basedOn w:val="BodyText"/>
    <w:link w:val="Bullet1stlevelChar"/>
    <w:qFormat/>
    <w:rsid w:val="00463EE6"/>
    <w:pPr>
      <w:numPr>
        <w:numId w:val="2"/>
      </w:numPr>
      <w:spacing w:before="60" w:after="60" w:line="240" w:lineRule="atLeast"/>
    </w:pPr>
    <w:rPr>
      <w:rFonts w:ascii="Arial" w:eastAsia="Calibri" w:hAnsi="Arial"/>
      <w:sz w:val="20"/>
      <w:szCs w:val="22"/>
      <w:lang w:eastAsia="en-US"/>
    </w:rPr>
  </w:style>
  <w:style w:type="character" w:customStyle="1" w:styleId="Bullet1stlevelChar">
    <w:name w:val="Bullet 1st level Char"/>
    <w:link w:val="Bullet1stlevel"/>
    <w:locked/>
    <w:rsid w:val="00463EE6"/>
    <w:rPr>
      <w:rFonts w:ascii="Arial" w:eastAsia="Calibri" w:hAnsi="Arial" w:cs="Times New Roman"/>
      <w:kern w:val="0"/>
      <w:sz w:val="20"/>
      <w:szCs w:val="22"/>
      <w:lang w:val="en-AU" w:eastAsia="en-US"/>
      <w14:ligatures w14:val="none"/>
    </w:rPr>
  </w:style>
  <w:style w:type="paragraph" w:styleId="NormalWeb">
    <w:name w:val="Normal (Web)"/>
    <w:basedOn w:val="Normal"/>
    <w:uiPriority w:val="99"/>
    <w:semiHidden/>
    <w:unhideWhenUsed/>
    <w:rsid w:val="0056665C"/>
  </w:style>
  <w:style w:type="table" w:styleId="TableGrid">
    <w:name w:val="Table Grid"/>
    <w:basedOn w:val="TableNormal"/>
    <w:uiPriority w:val="39"/>
    <w:rsid w:val="00AA4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5B81"/>
    <w:pPr>
      <w:widowControl w:val="0"/>
      <w:autoSpaceDE w:val="0"/>
      <w:autoSpaceDN w:val="0"/>
      <w:adjustRightInd w:val="0"/>
      <w:spacing w:after="0" w:line="240" w:lineRule="auto"/>
    </w:pPr>
    <w:rPr>
      <w:rFonts w:ascii="Calibri" w:eastAsia="Times New Roman" w:hAnsi="Calibri" w:cs="Calibri"/>
      <w:color w:val="000000"/>
      <w:kern w:val="0"/>
      <w:sz w:val="24"/>
      <w:lang w:val="en-CA" w:eastAsia="en-CA"/>
      <w14:ligatures w14:val="none"/>
    </w:rPr>
  </w:style>
  <w:style w:type="paragraph" w:customStyle="1" w:styleId="EndNoteBibliographyTitle">
    <w:name w:val="EndNote Bibliography Title"/>
    <w:basedOn w:val="Normal"/>
    <w:link w:val="EndNoteBibliographyTitle0"/>
    <w:rsid w:val="005E5BC8"/>
    <w:pPr>
      <w:jc w:val="center"/>
    </w:pPr>
    <w:rPr>
      <w:rFonts w:ascii="DengXian" w:eastAsia="DengXian" w:hAnsi="DengXian"/>
      <w:noProof/>
    </w:rPr>
  </w:style>
  <w:style w:type="character" w:customStyle="1" w:styleId="ListParagraphChar">
    <w:name w:val="List Paragraph Char"/>
    <w:basedOn w:val="DefaultParagraphFont"/>
    <w:link w:val="ListParagraph"/>
    <w:uiPriority w:val="34"/>
    <w:rsid w:val="005E5BC8"/>
  </w:style>
  <w:style w:type="character" w:customStyle="1" w:styleId="EndNoteBibliographyTitle0">
    <w:name w:val="EndNote Bibliography Title 字符"/>
    <w:basedOn w:val="ListParagraphChar"/>
    <w:link w:val="EndNoteBibliographyTitle"/>
    <w:rsid w:val="005E5BC8"/>
    <w:rPr>
      <w:rFonts w:ascii="DengXian" w:eastAsia="DengXian" w:hAnsi="DengXian"/>
      <w:noProof/>
    </w:rPr>
  </w:style>
  <w:style w:type="paragraph" w:customStyle="1" w:styleId="EndNoteBibliography">
    <w:name w:val="EndNote Bibliography"/>
    <w:basedOn w:val="Normal"/>
    <w:link w:val="EndNoteBibliography0"/>
    <w:rsid w:val="005E5BC8"/>
    <w:rPr>
      <w:rFonts w:ascii="DengXian" w:eastAsia="DengXian" w:hAnsi="DengXian"/>
      <w:noProof/>
    </w:rPr>
  </w:style>
  <w:style w:type="character" w:customStyle="1" w:styleId="EndNoteBibliography0">
    <w:name w:val="EndNote Bibliography 字符"/>
    <w:basedOn w:val="ListParagraphChar"/>
    <w:link w:val="EndNoteBibliography"/>
    <w:rsid w:val="005E5BC8"/>
    <w:rPr>
      <w:rFonts w:ascii="DengXian" w:eastAsia="DengXian" w:hAnsi="DengXian"/>
      <w:noProof/>
    </w:rPr>
  </w:style>
  <w:style w:type="table" w:styleId="GridTable1Light">
    <w:name w:val="Grid Table 1 Light"/>
    <w:basedOn w:val="TableNormal"/>
    <w:uiPriority w:val="46"/>
    <w:rsid w:val="003D19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267">
      <w:bodyDiv w:val="1"/>
      <w:marLeft w:val="0"/>
      <w:marRight w:val="0"/>
      <w:marTop w:val="0"/>
      <w:marBottom w:val="0"/>
      <w:divBdr>
        <w:top w:val="none" w:sz="0" w:space="0" w:color="auto"/>
        <w:left w:val="none" w:sz="0" w:space="0" w:color="auto"/>
        <w:bottom w:val="none" w:sz="0" w:space="0" w:color="auto"/>
        <w:right w:val="none" w:sz="0" w:space="0" w:color="auto"/>
      </w:divBdr>
      <w:divsChild>
        <w:div w:id="715737296">
          <w:marLeft w:val="0"/>
          <w:marRight w:val="0"/>
          <w:marTop w:val="0"/>
          <w:marBottom w:val="0"/>
          <w:divBdr>
            <w:top w:val="none" w:sz="0" w:space="0" w:color="auto"/>
            <w:left w:val="none" w:sz="0" w:space="0" w:color="auto"/>
            <w:bottom w:val="none" w:sz="0" w:space="0" w:color="auto"/>
            <w:right w:val="none" w:sz="0" w:space="0" w:color="auto"/>
          </w:divBdr>
          <w:divsChild>
            <w:div w:id="1425027637">
              <w:marLeft w:val="0"/>
              <w:marRight w:val="0"/>
              <w:marTop w:val="0"/>
              <w:marBottom w:val="0"/>
              <w:divBdr>
                <w:top w:val="none" w:sz="0" w:space="0" w:color="auto"/>
                <w:left w:val="none" w:sz="0" w:space="0" w:color="auto"/>
                <w:bottom w:val="none" w:sz="0" w:space="0" w:color="auto"/>
                <w:right w:val="none" w:sz="0" w:space="0" w:color="auto"/>
              </w:divBdr>
              <w:divsChild>
                <w:div w:id="1284000922">
                  <w:marLeft w:val="0"/>
                  <w:marRight w:val="0"/>
                  <w:marTop w:val="0"/>
                  <w:marBottom w:val="0"/>
                  <w:divBdr>
                    <w:top w:val="none" w:sz="0" w:space="0" w:color="auto"/>
                    <w:left w:val="none" w:sz="0" w:space="0" w:color="auto"/>
                    <w:bottom w:val="none" w:sz="0" w:space="0" w:color="auto"/>
                    <w:right w:val="none" w:sz="0" w:space="0" w:color="auto"/>
                  </w:divBdr>
                  <w:divsChild>
                    <w:div w:id="222254608">
                      <w:marLeft w:val="0"/>
                      <w:marRight w:val="0"/>
                      <w:marTop w:val="0"/>
                      <w:marBottom w:val="0"/>
                      <w:divBdr>
                        <w:top w:val="none" w:sz="0" w:space="0" w:color="auto"/>
                        <w:left w:val="none" w:sz="0" w:space="0" w:color="auto"/>
                        <w:bottom w:val="none" w:sz="0" w:space="0" w:color="auto"/>
                        <w:right w:val="none" w:sz="0" w:space="0" w:color="auto"/>
                      </w:divBdr>
                      <w:divsChild>
                        <w:div w:id="15900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7672">
      <w:bodyDiv w:val="1"/>
      <w:marLeft w:val="0"/>
      <w:marRight w:val="0"/>
      <w:marTop w:val="0"/>
      <w:marBottom w:val="0"/>
      <w:divBdr>
        <w:top w:val="none" w:sz="0" w:space="0" w:color="auto"/>
        <w:left w:val="none" w:sz="0" w:space="0" w:color="auto"/>
        <w:bottom w:val="none" w:sz="0" w:space="0" w:color="auto"/>
        <w:right w:val="none" w:sz="0" w:space="0" w:color="auto"/>
      </w:divBdr>
    </w:div>
    <w:div w:id="10955193">
      <w:bodyDiv w:val="1"/>
      <w:marLeft w:val="0"/>
      <w:marRight w:val="0"/>
      <w:marTop w:val="0"/>
      <w:marBottom w:val="0"/>
      <w:divBdr>
        <w:top w:val="none" w:sz="0" w:space="0" w:color="auto"/>
        <w:left w:val="none" w:sz="0" w:space="0" w:color="auto"/>
        <w:bottom w:val="none" w:sz="0" w:space="0" w:color="auto"/>
        <w:right w:val="none" w:sz="0" w:space="0" w:color="auto"/>
      </w:divBdr>
    </w:div>
    <w:div w:id="22875456">
      <w:bodyDiv w:val="1"/>
      <w:marLeft w:val="0"/>
      <w:marRight w:val="0"/>
      <w:marTop w:val="0"/>
      <w:marBottom w:val="0"/>
      <w:divBdr>
        <w:top w:val="none" w:sz="0" w:space="0" w:color="auto"/>
        <w:left w:val="none" w:sz="0" w:space="0" w:color="auto"/>
        <w:bottom w:val="none" w:sz="0" w:space="0" w:color="auto"/>
        <w:right w:val="none" w:sz="0" w:space="0" w:color="auto"/>
      </w:divBdr>
    </w:div>
    <w:div w:id="63915792">
      <w:bodyDiv w:val="1"/>
      <w:marLeft w:val="0"/>
      <w:marRight w:val="0"/>
      <w:marTop w:val="0"/>
      <w:marBottom w:val="0"/>
      <w:divBdr>
        <w:top w:val="none" w:sz="0" w:space="0" w:color="auto"/>
        <w:left w:val="none" w:sz="0" w:space="0" w:color="auto"/>
        <w:bottom w:val="none" w:sz="0" w:space="0" w:color="auto"/>
        <w:right w:val="none" w:sz="0" w:space="0" w:color="auto"/>
      </w:divBdr>
    </w:div>
    <w:div w:id="89132085">
      <w:bodyDiv w:val="1"/>
      <w:marLeft w:val="0"/>
      <w:marRight w:val="0"/>
      <w:marTop w:val="0"/>
      <w:marBottom w:val="0"/>
      <w:divBdr>
        <w:top w:val="none" w:sz="0" w:space="0" w:color="auto"/>
        <w:left w:val="none" w:sz="0" w:space="0" w:color="auto"/>
        <w:bottom w:val="none" w:sz="0" w:space="0" w:color="auto"/>
        <w:right w:val="none" w:sz="0" w:space="0" w:color="auto"/>
      </w:divBdr>
    </w:div>
    <w:div w:id="100270859">
      <w:bodyDiv w:val="1"/>
      <w:marLeft w:val="0"/>
      <w:marRight w:val="0"/>
      <w:marTop w:val="0"/>
      <w:marBottom w:val="0"/>
      <w:divBdr>
        <w:top w:val="none" w:sz="0" w:space="0" w:color="auto"/>
        <w:left w:val="none" w:sz="0" w:space="0" w:color="auto"/>
        <w:bottom w:val="none" w:sz="0" w:space="0" w:color="auto"/>
        <w:right w:val="none" w:sz="0" w:space="0" w:color="auto"/>
      </w:divBdr>
    </w:div>
    <w:div w:id="103577239">
      <w:bodyDiv w:val="1"/>
      <w:marLeft w:val="0"/>
      <w:marRight w:val="0"/>
      <w:marTop w:val="0"/>
      <w:marBottom w:val="0"/>
      <w:divBdr>
        <w:top w:val="none" w:sz="0" w:space="0" w:color="auto"/>
        <w:left w:val="none" w:sz="0" w:space="0" w:color="auto"/>
        <w:bottom w:val="none" w:sz="0" w:space="0" w:color="auto"/>
        <w:right w:val="none" w:sz="0" w:space="0" w:color="auto"/>
      </w:divBdr>
    </w:div>
    <w:div w:id="108473845">
      <w:bodyDiv w:val="1"/>
      <w:marLeft w:val="0"/>
      <w:marRight w:val="0"/>
      <w:marTop w:val="0"/>
      <w:marBottom w:val="0"/>
      <w:divBdr>
        <w:top w:val="none" w:sz="0" w:space="0" w:color="auto"/>
        <w:left w:val="none" w:sz="0" w:space="0" w:color="auto"/>
        <w:bottom w:val="none" w:sz="0" w:space="0" w:color="auto"/>
        <w:right w:val="none" w:sz="0" w:space="0" w:color="auto"/>
      </w:divBdr>
    </w:div>
    <w:div w:id="109596233">
      <w:bodyDiv w:val="1"/>
      <w:marLeft w:val="0"/>
      <w:marRight w:val="0"/>
      <w:marTop w:val="0"/>
      <w:marBottom w:val="0"/>
      <w:divBdr>
        <w:top w:val="none" w:sz="0" w:space="0" w:color="auto"/>
        <w:left w:val="none" w:sz="0" w:space="0" w:color="auto"/>
        <w:bottom w:val="none" w:sz="0" w:space="0" w:color="auto"/>
        <w:right w:val="none" w:sz="0" w:space="0" w:color="auto"/>
      </w:divBdr>
    </w:div>
    <w:div w:id="113523084">
      <w:bodyDiv w:val="1"/>
      <w:marLeft w:val="0"/>
      <w:marRight w:val="0"/>
      <w:marTop w:val="0"/>
      <w:marBottom w:val="0"/>
      <w:divBdr>
        <w:top w:val="none" w:sz="0" w:space="0" w:color="auto"/>
        <w:left w:val="none" w:sz="0" w:space="0" w:color="auto"/>
        <w:bottom w:val="none" w:sz="0" w:space="0" w:color="auto"/>
        <w:right w:val="none" w:sz="0" w:space="0" w:color="auto"/>
      </w:divBdr>
      <w:divsChild>
        <w:div w:id="610867218">
          <w:marLeft w:val="0"/>
          <w:marRight w:val="0"/>
          <w:marTop w:val="0"/>
          <w:marBottom w:val="0"/>
          <w:divBdr>
            <w:top w:val="none" w:sz="0" w:space="0" w:color="auto"/>
            <w:left w:val="none" w:sz="0" w:space="0" w:color="auto"/>
            <w:bottom w:val="none" w:sz="0" w:space="0" w:color="auto"/>
            <w:right w:val="none" w:sz="0" w:space="0" w:color="auto"/>
          </w:divBdr>
          <w:divsChild>
            <w:div w:id="1811703743">
              <w:marLeft w:val="0"/>
              <w:marRight w:val="0"/>
              <w:marTop w:val="0"/>
              <w:marBottom w:val="0"/>
              <w:divBdr>
                <w:top w:val="none" w:sz="0" w:space="0" w:color="auto"/>
                <w:left w:val="none" w:sz="0" w:space="0" w:color="auto"/>
                <w:bottom w:val="none" w:sz="0" w:space="0" w:color="auto"/>
                <w:right w:val="none" w:sz="0" w:space="0" w:color="auto"/>
              </w:divBdr>
              <w:divsChild>
                <w:div w:id="1441339253">
                  <w:marLeft w:val="0"/>
                  <w:marRight w:val="0"/>
                  <w:marTop w:val="0"/>
                  <w:marBottom w:val="0"/>
                  <w:divBdr>
                    <w:top w:val="none" w:sz="0" w:space="0" w:color="auto"/>
                    <w:left w:val="none" w:sz="0" w:space="0" w:color="auto"/>
                    <w:bottom w:val="none" w:sz="0" w:space="0" w:color="auto"/>
                    <w:right w:val="none" w:sz="0" w:space="0" w:color="auto"/>
                  </w:divBdr>
                  <w:divsChild>
                    <w:div w:id="1005788147">
                      <w:marLeft w:val="0"/>
                      <w:marRight w:val="0"/>
                      <w:marTop w:val="0"/>
                      <w:marBottom w:val="0"/>
                      <w:divBdr>
                        <w:top w:val="none" w:sz="0" w:space="0" w:color="auto"/>
                        <w:left w:val="none" w:sz="0" w:space="0" w:color="auto"/>
                        <w:bottom w:val="none" w:sz="0" w:space="0" w:color="auto"/>
                        <w:right w:val="none" w:sz="0" w:space="0" w:color="auto"/>
                      </w:divBdr>
                      <w:divsChild>
                        <w:div w:id="16622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53376">
      <w:bodyDiv w:val="1"/>
      <w:marLeft w:val="0"/>
      <w:marRight w:val="0"/>
      <w:marTop w:val="0"/>
      <w:marBottom w:val="0"/>
      <w:divBdr>
        <w:top w:val="none" w:sz="0" w:space="0" w:color="auto"/>
        <w:left w:val="none" w:sz="0" w:space="0" w:color="auto"/>
        <w:bottom w:val="none" w:sz="0" w:space="0" w:color="auto"/>
        <w:right w:val="none" w:sz="0" w:space="0" w:color="auto"/>
      </w:divBdr>
      <w:divsChild>
        <w:div w:id="1155150945">
          <w:marLeft w:val="0"/>
          <w:marRight w:val="0"/>
          <w:marTop w:val="0"/>
          <w:marBottom w:val="0"/>
          <w:divBdr>
            <w:top w:val="none" w:sz="0" w:space="0" w:color="auto"/>
            <w:left w:val="none" w:sz="0" w:space="0" w:color="auto"/>
            <w:bottom w:val="none" w:sz="0" w:space="0" w:color="auto"/>
            <w:right w:val="none" w:sz="0" w:space="0" w:color="auto"/>
          </w:divBdr>
          <w:divsChild>
            <w:div w:id="840200218">
              <w:marLeft w:val="0"/>
              <w:marRight w:val="0"/>
              <w:marTop w:val="0"/>
              <w:marBottom w:val="0"/>
              <w:divBdr>
                <w:top w:val="none" w:sz="0" w:space="0" w:color="auto"/>
                <w:left w:val="none" w:sz="0" w:space="0" w:color="auto"/>
                <w:bottom w:val="none" w:sz="0" w:space="0" w:color="auto"/>
                <w:right w:val="none" w:sz="0" w:space="0" w:color="auto"/>
              </w:divBdr>
              <w:divsChild>
                <w:div w:id="1592229054">
                  <w:marLeft w:val="0"/>
                  <w:marRight w:val="0"/>
                  <w:marTop w:val="0"/>
                  <w:marBottom w:val="0"/>
                  <w:divBdr>
                    <w:top w:val="none" w:sz="0" w:space="0" w:color="auto"/>
                    <w:left w:val="none" w:sz="0" w:space="0" w:color="auto"/>
                    <w:bottom w:val="none" w:sz="0" w:space="0" w:color="auto"/>
                    <w:right w:val="none" w:sz="0" w:space="0" w:color="auto"/>
                  </w:divBdr>
                  <w:divsChild>
                    <w:div w:id="1748310286">
                      <w:marLeft w:val="0"/>
                      <w:marRight w:val="0"/>
                      <w:marTop w:val="0"/>
                      <w:marBottom w:val="0"/>
                      <w:divBdr>
                        <w:top w:val="none" w:sz="0" w:space="0" w:color="auto"/>
                        <w:left w:val="none" w:sz="0" w:space="0" w:color="auto"/>
                        <w:bottom w:val="none" w:sz="0" w:space="0" w:color="auto"/>
                        <w:right w:val="none" w:sz="0" w:space="0" w:color="auto"/>
                      </w:divBdr>
                      <w:divsChild>
                        <w:div w:id="282004487">
                          <w:marLeft w:val="0"/>
                          <w:marRight w:val="0"/>
                          <w:marTop w:val="0"/>
                          <w:marBottom w:val="0"/>
                          <w:divBdr>
                            <w:top w:val="none" w:sz="0" w:space="0" w:color="auto"/>
                            <w:left w:val="none" w:sz="0" w:space="0" w:color="auto"/>
                            <w:bottom w:val="none" w:sz="0" w:space="0" w:color="auto"/>
                            <w:right w:val="none" w:sz="0" w:space="0" w:color="auto"/>
                          </w:divBdr>
                          <w:divsChild>
                            <w:div w:id="1419601310">
                              <w:marLeft w:val="0"/>
                              <w:marRight w:val="0"/>
                              <w:marTop w:val="0"/>
                              <w:marBottom w:val="0"/>
                              <w:divBdr>
                                <w:top w:val="none" w:sz="0" w:space="0" w:color="auto"/>
                                <w:left w:val="none" w:sz="0" w:space="0" w:color="auto"/>
                                <w:bottom w:val="none" w:sz="0" w:space="0" w:color="auto"/>
                                <w:right w:val="none" w:sz="0" w:space="0" w:color="auto"/>
                              </w:divBdr>
                              <w:divsChild>
                                <w:div w:id="946891452">
                                  <w:marLeft w:val="0"/>
                                  <w:marRight w:val="0"/>
                                  <w:marTop w:val="0"/>
                                  <w:marBottom w:val="0"/>
                                  <w:divBdr>
                                    <w:top w:val="none" w:sz="0" w:space="0" w:color="auto"/>
                                    <w:left w:val="none" w:sz="0" w:space="0" w:color="auto"/>
                                    <w:bottom w:val="none" w:sz="0" w:space="0" w:color="auto"/>
                                    <w:right w:val="none" w:sz="0" w:space="0" w:color="auto"/>
                                  </w:divBdr>
                                  <w:divsChild>
                                    <w:div w:id="44704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05499">
                      <w:marLeft w:val="0"/>
                      <w:marRight w:val="0"/>
                      <w:marTop w:val="0"/>
                      <w:marBottom w:val="0"/>
                      <w:divBdr>
                        <w:top w:val="none" w:sz="0" w:space="0" w:color="auto"/>
                        <w:left w:val="none" w:sz="0" w:space="0" w:color="auto"/>
                        <w:bottom w:val="none" w:sz="0" w:space="0" w:color="auto"/>
                        <w:right w:val="none" w:sz="0" w:space="0" w:color="auto"/>
                      </w:divBdr>
                      <w:divsChild>
                        <w:div w:id="9682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27585">
      <w:bodyDiv w:val="1"/>
      <w:marLeft w:val="0"/>
      <w:marRight w:val="0"/>
      <w:marTop w:val="0"/>
      <w:marBottom w:val="0"/>
      <w:divBdr>
        <w:top w:val="none" w:sz="0" w:space="0" w:color="auto"/>
        <w:left w:val="none" w:sz="0" w:space="0" w:color="auto"/>
        <w:bottom w:val="none" w:sz="0" w:space="0" w:color="auto"/>
        <w:right w:val="none" w:sz="0" w:space="0" w:color="auto"/>
      </w:divBdr>
      <w:divsChild>
        <w:div w:id="774905902">
          <w:marLeft w:val="0"/>
          <w:marRight w:val="0"/>
          <w:marTop w:val="0"/>
          <w:marBottom w:val="0"/>
          <w:divBdr>
            <w:top w:val="none" w:sz="0" w:space="0" w:color="auto"/>
            <w:left w:val="none" w:sz="0" w:space="0" w:color="auto"/>
            <w:bottom w:val="none" w:sz="0" w:space="0" w:color="auto"/>
            <w:right w:val="none" w:sz="0" w:space="0" w:color="auto"/>
          </w:divBdr>
          <w:divsChild>
            <w:div w:id="800346656">
              <w:marLeft w:val="0"/>
              <w:marRight w:val="0"/>
              <w:marTop w:val="0"/>
              <w:marBottom w:val="0"/>
              <w:divBdr>
                <w:top w:val="none" w:sz="0" w:space="0" w:color="auto"/>
                <w:left w:val="none" w:sz="0" w:space="0" w:color="auto"/>
                <w:bottom w:val="none" w:sz="0" w:space="0" w:color="auto"/>
                <w:right w:val="none" w:sz="0" w:space="0" w:color="auto"/>
              </w:divBdr>
              <w:divsChild>
                <w:div w:id="758673160">
                  <w:marLeft w:val="0"/>
                  <w:marRight w:val="0"/>
                  <w:marTop w:val="0"/>
                  <w:marBottom w:val="0"/>
                  <w:divBdr>
                    <w:top w:val="none" w:sz="0" w:space="0" w:color="auto"/>
                    <w:left w:val="none" w:sz="0" w:space="0" w:color="auto"/>
                    <w:bottom w:val="none" w:sz="0" w:space="0" w:color="auto"/>
                    <w:right w:val="none" w:sz="0" w:space="0" w:color="auto"/>
                  </w:divBdr>
                  <w:divsChild>
                    <w:div w:id="716274551">
                      <w:marLeft w:val="0"/>
                      <w:marRight w:val="0"/>
                      <w:marTop w:val="0"/>
                      <w:marBottom w:val="0"/>
                      <w:divBdr>
                        <w:top w:val="none" w:sz="0" w:space="0" w:color="auto"/>
                        <w:left w:val="none" w:sz="0" w:space="0" w:color="auto"/>
                        <w:bottom w:val="none" w:sz="0" w:space="0" w:color="auto"/>
                        <w:right w:val="none" w:sz="0" w:space="0" w:color="auto"/>
                      </w:divBdr>
                      <w:divsChild>
                        <w:div w:id="1301575142">
                          <w:marLeft w:val="0"/>
                          <w:marRight w:val="0"/>
                          <w:marTop w:val="0"/>
                          <w:marBottom w:val="0"/>
                          <w:divBdr>
                            <w:top w:val="none" w:sz="0" w:space="0" w:color="auto"/>
                            <w:left w:val="none" w:sz="0" w:space="0" w:color="auto"/>
                            <w:bottom w:val="none" w:sz="0" w:space="0" w:color="auto"/>
                            <w:right w:val="none" w:sz="0" w:space="0" w:color="auto"/>
                          </w:divBdr>
                          <w:divsChild>
                            <w:div w:id="820851027">
                              <w:marLeft w:val="0"/>
                              <w:marRight w:val="0"/>
                              <w:marTop w:val="0"/>
                              <w:marBottom w:val="0"/>
                              <w:divBdr>
                                <w:top w:val="none" w:sz="0" w:space="0" w:color="auto"/>
                                <w:left w:val="none" w:sz="0" w:space="0" w:color="auto"/>
                                <w:bottom w:val="none" w:sz="0" w:space="0" w:color="auto"/>
                                <w:right w:val="none" w:sz="0" w:space="0" w:color="auto"/>
                              </w:divBdr>
                              <w:divsChild>
                                <w:div w:id="7761368">
                                  <w:marLeft w:val="0"/>
                                  <w:marRight w:val="0"/>
                                  <w:marTop w:val="0"/>
                                  <w:marBottom w:val="0"/>
                                  <w:divBdr>
                                    <w:top w:val="none" w:sz="0" w:space="0" w:color="auto"/>
                                    <w:left w:val="none" w:sz="0" w:space="0" w:color="auto"/>
                                    <w:bottom w:val="none" w:sz="0" w:space="0" w:color="auto"/>
                                    <w:right w:val="none" w:sz="0" w:space="0" w:color="auto"/>
                                  </w:divBdr>
                                  <w:divsChild>
                                    <w:div w:id="4599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68095">
                      <w:marLeft w:val="0"/>
                      <w:marRight w:val="0"/>
                      <w:marTop w:val="0"/>
                      <w:marBottom w:val="0"/>
                      <w:divBdr>
                        <w:top w:val="none" w:sz="0" w:space="0" w:color="auto"/>
                        <w:left w:val="none" w:sz="0" w:space="0" w:color="auto"/>
                        <w:bottom w:val="none" w:sz="0" w:space="0" w:color="auto"/>
                        <w:right w:val="none" w:sz="0" w:space="0" w:color="auto"/>
                      </w:divBdr>
                      <w:divsChild>
                        <w:div w:id="69897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10916">
      <w:bodyDiv w:val="1"/>
      <w:marLeft w:val="0"/>
      <w:marRight w:val="0"/>
      <w:marTop w:val="0"/>
      <w:marBottom w:val="0"/>
      <w:divBdr>
        <w:top w:val="none" w:sz="0" w:space="0" w:color="auto"/>
        <w:left w:val="none" w:sz="0" w:space="0" w:color="auto"/>
        <w:bottom w:val="none" w:sz="0" w:space="0" w:color="auto"/>
        <w:right w:val="none" w:sz="0" w:space="0" w:color="auto"/>
      </w:divBdr>
    </w:div>
    <w:div w:id="124545924">
      <w:bodyDiv w:val="1"/>
      <w:marLeft w:val="0"/>
      <w:marRight w:val="0"/>
      <w:marTop w:val="0"/>
      <w:marBottom w:val="0"/>
      <w:divBdr>
        <w:top w:val="none" w:sz="0" w:space="0" w:color="auto"/>
        <w:left w:val="none" w:sz="0" w:space="0" w:color="auto"/>
        <w:bottom w:val="none" w:sz="0" w:space="0" w:color="auto"/>
        <w:right w:val="none" w:sz="0" w:space="0" w:color="auto"/>
      </w:divBdr>
    </w:div>
    <w:div w:id="130102463">
      <w:bodyDiv w:val="1"/>
      <w:marLeft w:val="0"/>
      <w:marRight w:val="0"/>
      <w:marTop w:val="0"/>
      <w:marBottom w:val="0"/>
      <w:divBdr>
        <w:top w:val="none" w:sz="0" w:space="0" w:color="auto"/>
        <w:left w:val="none" w:sz="0" w:space="0" w:color="auto"/>
        <w:bottom w:val="none" w:sz="0" w:space="0" w:color="auto"/>
        <w:right w:val="none" w:sz="0" w:space="0" w:color="auto"/>
      </w:divBdr>
    </w:div>
    <w:div w:id="155464206">
      <w:bodyDiv w:val="1"/>
      <w:marLeft w:val="0"/>
      <w:marRight w:val="0"/>
      <w:marTop w:val="0"/>
      <w:marBottom w:val="0"/>
      <w:divBdr>
        <w:top w:val="none" w:sz="0" w:space="0" w:color="auto"/>
        <w:left w:val="none" w:sz="0" w:space="0" w:color="auto"/>
        <w:bottom w:val="none" w:sz="0" w:space="0" w:color="auto"/>
        <w:right w:val="none" w:sz="0" w:space="0" w:color="auto"/>
      </w:divBdr>
    </w:div>
    <w:div w:id="159388023">
      <w:bodyDiv w:val="1"/>
      <w:marLeft w:val="0"/>
      <w:marRight w:val="0"/>
      <w:marTop w:val="0"/>
      <w:marBottom w:val="0"/>
      <w:divBdr>
        <w:top w:val="none" w:sz="0" w:space="0" w:color="auto"/>
        <w:left w:val="none" w:sz="0" w:space="0" w:color="auto"/>
        <w:bottom w:val="none" w:sz="0" w:space="0" w:color="auto"/>
        <w:right w:val="none" w:sz="0" w:space="0" w:color="auto"/>
      </w:divBdr>
    </w:div>
    <w:div w:id="159781345">
      <w:bodyDiv w:val="1"/>
      <w:marLeft w:val="0"/>
      <w:marRight w:val="0"/>
      <w:marTop w:val="0"/>
      <w:marBottom w:val="0"/>
      <w:divBdr>
        <w:top w:val="none" w:sz="0" w:space="0" w:color="auto"/>
        <w:left w:val="none" w:sz="0" w:space="0" w:color="auto"/>
        <w:bottom w:val="none" w:sz="0" w:space="0" w:color="auto"/>
        <w:right w:val="none" w:sz="0" w:space="0" w:color="auto"/>
      </w:divBdr>
    </w:div>
    <w:div w:id="162820313">
      <w:bodyDiv w:val="1"/>
      <w:marLeft w:val="0"/>
      <w:marRight w:val="0"/>
      <w:marTop w:val="0"/>
      <w:marBottom w:val="0"/>
      <w:divBdr>
        <w:top w:val="none" w:sz="0" w:space="0" w:color="auto"/>
        <w:left w:val="none" w:sz="0" w:space="0" w:color="auto"/>
        <w:bottom w:val="none" w:sz="0" w:space="0" w:color="auto"/>
        <w:right w:val="none" w:sz="0" w:space="0" w:color="auto"/>
      </w:divBdr>
    </w:div>
    <w:div w:id="163934383">
      <w:bodyDiv w:val="1"/>
      <w:marLeft w:val="0"/>
      <w:marRight w:val="0"/>
      <w:marTop w:val="0"/>
      <w:marBottom w:val="0"/>
      <w:divBdr>
        <w:top w:val="none" w:sz="0" w:space="0" w:color="auto"/>
        <w:left w:val="none" w:sz="0" w:space="0" w:color="auto"/>
        <w:bottom w:val="none" w:sz="0" w:space="0" w:color="auto"/>
        <w:right w:val="none" w:sz="0" w:space="0" w:color="auto"/>
      </w:divBdr>
    </w:div>
    <w:div w:id="170149517">
      <w:bodyDiv w:val="1"/>
      <w:marLeft w:val="0"/>
      <w:marRight w:val="0"/>
      <w:marTop w:val="0"/>
      <w:marBottom w:val="0"/>
      <w:divBdr>
        <w:top w:val="none" w:sz="0" w:space="0" w:color="auto"/>
        <w:left w:val="none" w:sz="0" w:space="0" w:color="auto"/>
        <w:bottom w:val="none" w:sz="0" w:space="0" w:color="auto"/>
        <w:right w:val="none" w:sz="0" w:space="0" w:color="auto"/>
      </w:divBdr>
    </w:div>
    <w:div w:id="185486720">
      <w:bodyDiv w:val="1"/>
      <w:marLeft w:val="0"/>
      <w:marRight w:val="0"/>
      <w:marTop w:val="0"/>
      <w:marBottom w:val="0"/>
      <w:divBdr>
        <w:top w:val="none" w:sz="0" w:space="0" w:color="auto"/>
        <w:left w:val="none" w:sz="0" w:space="0" w:color="auto"/>
        <w:bottom w:val="none" w:sz="0" w:space="0" w:color="auto"/>
        <w:right w:val="none" w:sz="0" w:space="0" w:color="auto"/>
      </w:divBdr>
      <w:divsChild>
        <w:div w:id="164757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87314">
      <w:bodyDiv w:val="1"/>
      <w:marLeft w:val="0"/>
      <w:marRight w:val="0"/>
      <w:marTop w:val="0"/>
      <w:marBottom w:val="0"/>
      <w:divBdr>
        <w:top w:val="none" w:sz="0" w:space="0" w:color="auto"/>
        <w:left w:val="none" w:sz="0" w:space="0" w:color="auto"/>
        <w:bottom w:val="none" w:sz="0" w:space="0" w:color="auto"/>
        <w:right w:val="none" w:sz="0" w:space="0" w:color="auto"/>
      </w:divBdr>
    </w:div>
    <w:div w:id="210730442">
      <w:bodyDiv w:val="1"/>
      <w:marLeft w:val="0"/>
      <w:marRight w:val="0"/>
      <w:marTop w:val="0"/>
      <w:marBottom w:val="0"/>
      <w:divBdr>
        <w:top w:val="none" w:sz="0" w:space="0" w:color="auto"/>
        <w:left w:val="none" w:sz="0" w:space="0" w:color="auto"/>
        <w:bottom w:val="none" w:sz="0" w:space="0" w:color="auto"/>
        <w:right w:val="none" w:sz="0" w:space="0" w:color="auto"/>
      </w:divBdr>
    </w:div>
    <w:div w:id="222758026">
      <w:bodyDiv w:val="1"/>
      <w:marLeft w:val="0"/>
      <w:marRight w:val="0"/>
      <w:marTop w:val="0"/>
      <w:marBottom w:val="0"/>
      <w:divBdr>
        <w:top w:val="none" w:sz="0" w:space="0" w:color="auto"/>
        <w:left w:val="none" w:sz="0" w:space="0" w:color="auto"/>
        <w:bottom w:val="none" w:sz="0" w:space="0" w:color="auto"/>
        <w:right w:val="none" w:sz="0" w:space="0" w:color="auto"/>
      </w:divBdr>
    </w:div>
    <w:div w:id="232398226">
      <w:bodyDiv w:val="1"/>
      <w:marLeft w:val="0"/>
      <w:marRight w:val="0"/>
      <w:marTop w:val="0"/>
      <w:marBottom w:val="0"/>
      <w:divBdr>
        <w:top w:val="none" w:sz="0" w:space="0" w:color="auto"/>
        <w:left w:val="none" w:sz="0" w:space="0" w:color="auto"/>
        <w:bottom w:val="none" w:sz="0" w:space="0" w:color="auto"/>
        <w:right w:val="none" w:sz="0" w:space="0" w:color="auto"/>
      </w:divBdr>
    </w:div>
    <w:div w:id="249966785">
      <w:bodyDiv w:val="1"/>
      <w:marLeft w:val="0"/>
      <w:marRight w:val="0"/>
      <w:marTop w:val="0"/>
      <w:marBottom w:val="0"/>
      <w:divBdr>
        <w:top w:val="none" w:sz="0" w:space="0" w:color="auto"/>
        <w:left w:val="none" w:sz="0" w:space="0" w:color="auto"/>
        <w:bottom w:val="none" w:sz="0" w:space="0" w:color="auto"/>
        <w:right w:val="none" w:sz="0" w:space="0" w:color="auto"/>
      </w:divBdr>
    </w:div>
    <w:div w:id="279191697">
      <w:bodyDiv w:val="1"/>
      <w:marLeft w:val="0"/>
      <w:marRight w:val="0"/>
      <w:marTop w:val="0"/>
      <w:marBottom w:val="0"/>
      <w:divBdr>
        <w:top w:val="none" w:sz="0" w:space="0" w:color="auto"/>
        <w:left w:val="none" w:sz="0" w:space="0" w:color="auto"/>
        <w:bottom w:val="none" w:sz="0" w:space="0" w:color="auto"/>
        <w:right w:val="none" w:sz="0" w:space="0" w:color="auto"/>
      </w:divBdr>
    </w:div>
    <w:div w:id="313024475">
      <w:bodyDiv w:val="1"/>
      <w:marLeft w:val="0"/>
      <w:marRight w:val="0"/>
      <w:marTop w:val="0"/>
      <w:marBottom w:val="0"/>
      <w:divBdr>
        <w:top w:val="none" w:sz="0" w:space="0" w:color="auto"/>
        <w:left w:val="none" w:sz="0" w:space="0" w:color="auto"/>
        <w:bottom w:val="none" w:sz="0" w:space="0" w:color="auto"/>
        <w:right w:val="none" w:sz="0" w:space="0" w:color="auto"/>
      </w:divBdr>
    </w:div>
    <w:div w:id="335425856">
      <w:bodyDiv w:val="1"/>
      <w:marLeft w:val="0"/>
      <w:marRight w:val="0"/>
      <w:marTop w:val="0"/>
      <w:marBottom w:val="0"/>
      <w:divBdr>
        <w:top w:val="none" w:sz="0" w:space="0" w:color="auto"/>
        <w:left w:val="none" w:sz="0" w:space="0" w:color="auto"/>
        <w:bottom w:val="none" w:sz="0" w:space="0" w:color="auto"/>
        <w:right w:val="none" w:sz="0" w:space="0" w:color="auto"/>
      </w:divBdr>
    </w:div>
    <w:div w:id="343433476">
      <w:bodyDiv w:val="1"/>
      <w:marLeft w:val="0"/>
      <w:marRight w:val="0"/>
      <w:marTop w:val="0"/>
      <w:marBottom w:val="0"/>
      <w:divBdr>
        <w:top w:val="none" w:sz="0" w:space="0" w:color="auto"/>
        <w:left w:val="none" w:sz="0" w:space="0" w:color="auto"/>
        <w:bottom w:val="none" w:sz="0" w:space="0" w:color="auto"/>
        <w:right w:val="none" w:sz="0" w:space="0" w:color="auto"/>
      </w:divBdr>
    </w:div>
    <w:div w:id="370348567">
      <w:bodyDiv w:val="1"/>
      <w:marLeft w:val="0"/>
      <w:marRight w:val="0"/>
      <w:marTop w:val="0"/>
      <w:marBottom w:val="0"/>
      <w:divBdr>
        <w:top w:val="none" w:sz="0" w:space="0" w:color="auto"/>
        <w:left w:val="none" w:sz="0" w:space="0" w:color="auto"/>
        <w:bottom w:val="none" w:sz="0" w:space="0" w:color="auto"/>
        <w:right w:val="none" w:sz="0" w:space="0" w:color="auto"/>
      </w:divBdr>
    </w:div>
    <w:div w:id="398479618">
      <w:bodyDiv w:val="1"/>
      <w:marLeft w:val="0"/>
      <w:marRight w:val="0"/>
      <w:marTop w:val="0"/>
      <w:marBottom w:val="0"/>
      <w:divBdr>
        <w:top w:val="none" w:sz="0" w:space="0" w:color="auto"/>
        <w:left w:val="none" w:sz="0" w:space="0" w:color="auto"/>
        <w:bottom w:val="none" w:sz="0" w:space="0" w:color="auto"/>
        <w:right w:val="none" w:sz="0" w:space="0" w:color="auto"/>
      </w:divBdr>
    </w:div>
    <w:div w:id="403140405">
      <w:bodyDiv w:val="1"/>
      <w:marLeft w:val="0"/>
      <w:marRight w:val="0"/>
      <w:marTop w:val="0"/>
      <w:marBottom w:val="0"/>
      <w:divBdr>
        <w:top w:val="none" w:sz="0" w:space="0" w:color="auto"/>
        <w:left w:val="none" w:sz="0" w:space="0" w:color="auto"/>
        <w:bottom w:val="none" w:sz="0" w:space="0" w:color="auto"/>
        <w:right w:val="none" w:sz="0" w:space="0" w:color="auto"/>
      </w:divBdr>
    </w:div>
    <w:div w:id="418525995">
      <w:bodyDiv w:val="1"/>
      <w:marLeft w:val="0"/>
      <w:marRight w:val="0"/>
      <w:marTop w:val="0"/>
      <w:marBottom w:val="0"/>
      <w:divBdr>
        <w:top w:val="none" w:sz="0" w:space="0" w:color="auto"/>
        <w:left w:val="none" w:sz="0" w:space="0" w:color="auto"/>
        <w:bottom w:val="none" w:sz="0" w:space="0" w:color="auto"/>
        <w:right w:val="none" w:sz="0" w:space="0" w:color="auto"/>
      </w:divBdr>
    </w:div>
    <w:div w:id="426930202">
      <w:bodyDiv w:val="1"/>
      <w:marLeft w:val="0"/>
      <w:marRight w:val="0"/>
      <w:marTop w:val="0"/>
      <w:marBottom w:val="0"/>
      <w:divBdr>
        <w:top w:val="none" w:sz="0" w:space="0" w:color="auto"/>
        <w:left w:val="none" w:sz="0" w:space="0" w:color="auto"/>
        <w:bottom w:val="none" w:sz="0" w:space="0" w:color="auto"/>
        <w:right w:val="none" w:sz="0" w:space="0" w:color="auto"/>
      </w:divBdr>
    </w:div>
    <w:div w:id="453795389">
      <w:bodyDiv w:val="1"/>
      <w:marLeft w:val="0"/>
      <w:marRight w:val="0"/>
      <w:marTop w:val="0"/>
      <w:marBottom w:val="0"/>
      <w:divBdr>
        <w:top w:val="none" w:sz="0" w:space="0" w:color="auto"/>
        <w:left w:val="none" w:sz="0" w:space="0" w:color="auto"/>
        <w:bottom w:val="none" w:sz="0" w:space="0" w:color="auto"/>
        <w:right w:val="none" w:sz="0" w:space="0" w:color="auto"/>
      </w:divBdr>
    </w:div>
    <w:div w:id="458376646">
      <w:bodyDiv w:val="1"/>
      <w:marLeft w:val="0"/>
      <w:marRight w:val="0"/>
      <w:marTop w:val="0"/>
      <w:marBottom w:val="0"/>
      <w:divBdr>
        <w:top w:val="none" w:sz="0" w:space="0" w:color="auto"/>
        <w:left w:val="none" w:sz="0" w:space="0" w:color="auto"/>
        <w:bottom w:val="none" w:sz="0" w:space="0" w:color="auto"/>
        <w:right w:val="none" w:sz="0" w:space="0" w:color="auto"/>
      </w:divBdr>
    </w:div>
    <w:div w:id="468788123">
      <w:bodyDiv w:val="1"/>
      <w:marLeft w:val="0"/>
      <w:marRight w:val="0"/>
      <w:marTop w:val="0"/>
      <w:marBottom w:val="0"/>
      <w:divBdr>
        <w:top w:val="none" w:sz="0" w:space="0" w:color="auto"/>
        <w:left w:val="none" w:sz="0" w:space="0" w:color="auto"/>
        <w:bottom w:val="none" w:sz="0" w:space="0" w:color="auto"/>
        <w:right w:val="none" w:sz="0" w:space="0" w:color="auto"/>
      </w:divBdr>
    </w:div>
    <w:div w:id="469372808">
      <w:bodyDiv w:val="1"/>
      <w:marLeft w:val="0"/>
      <w:marRight w:val="0"/>
      <w:marTop w:val="0"/>
      <w:marBottom w:val="0"/>
      <w:divBdr>
        <w:top w:val="none" w:sz="0" w:space="0" w:color="auto"/>
        <w:left w:val="none" w:sz="0" w:space="0" w:color="auto"/>
        <w:bottom w:val="none" w:sz="0" w:space="0" w:color="auto"/>
        <w:right w:val="none" w:sz="0" w:space="0" w:color="auto"/>
      </w:divBdr>
    </w:div>
    <w:div w:id="471873946">
      <w:bodyDiv w:val="1"/>
      <w:marLeft w:val="0"/>
      <w:marRight w:val="0"/>
      <w:marTop w:val="0"/>
      <w:marBottom w:val="0"/>
      <w:divBdr>
        <w:top w:val="none" w:sz="0" w:space="0" w:color="auto"/>
        <w:left w:val="none" w:sz="0" w:space="0" w:color="auto"/>
        <w:bottom w:val="none" w:sz="0" w:space="0" w:color="auto"/>
        <w:right w:val="none" w:sz="0" w:space="0" w:color="auto"/>
      </w:divBdr>
    </w:div>
    <w:div w:id="491335189">
      <w:bodyDiv w:val="1"/>
      <w:marLeft w:val="0"/>
      <w:marRight w:val="0"/>
      <w:marTop w:val="0"/>
      <w:marBottom w:val="0"/>
      <w:divBdr>
        <w:top w:val="none" w:sz="0" w:space="0" w:color="auto"/>
        <w:left w:val="none" w:sz="0" w:space="0" w:color="auto"/>
        <w:bottom w:val="none" w:sz="0" w:space="0" w:color="auto"/>
        <w:right w:val="none" w:sz="0" w:space="0" w:color="auto"/>
      </w:divBdr>
    </w:div>
    <w:div w:id="493497984">
      <w:bodyDiv w:val="1"/>
      <w:marLeft w:val="0"/>
      <w:marRight w:val="0"/>
      <w:marTop w:val="0"/>
      <w:marBottom w:val="0"/>
      <w:divBdr>
        <w:top w:val="none" w:sz="0" w:space="0" w:color="auto"/>
        <w:left w:val="none" w:sz="0" w:space="0" w:color="auto"/>
        <w:bottom w:val="none" w:sz="0" w:space="0" w:color="auto"/>
        <w:right w:val="none" w:sz="0" w:space="0" w:color="auto"/>
      </w:divBdr>
    </w:div>
    <w:div w:id="523204469">
      <w:bodyDiv w:val="1"/>
      <w:marLeft w:val="0"/>
      <w:marRight w:val="0"/>
      <w:marTop w:val="0"/>
      <w:marBottom w:val="0"/>
      <w:divBdr>
        <w:top w:val="none" w:sz="0" w:space="0" w:color="auto"/>
        <w:left w:val="none" w:sz="0" w:space="0" w:color="auto"/>
        <w:bottom w:val="none" w:sz="0" w:space="0" w:color="auto"/>
        <w:right w:val="none" w:sz="0" w:space="0" w:color="auto"/>
      </w:divBdr>
    </w:div>
    <w:div w:id="525295089">
      <w:bodyDiv w:val="1"/>
      <w:marLeft w:val="0"/>
      <w:marRight w:val="0"/>
      <w:marTop w:val="0"/>
      <w:marBottom w:val="0"/>
      <w:divBdr>
        <w:top w:val="none" w:sz="0" w:space="0" w:color="auto"/>
        <w:left w:val="none" w:sz="0" w:space="0" w:color="auto"/>
        <w:bottom w:val="none" w:sz="0" w:space="0" w:color="auto"/>
        <w:right w:val="none" w:sz="0" w:space="0" w:color="auto"/>
      </w:divBdr>
    </w:div>
    <w:div w:id="532763577">
      <w:bodyDiv w:val="1"/>
      <w:marLeft w:val="0"/>
      <w:marRight w:val="0"/>
      <w:marTop w:val="0"/>
      <w:marBottom w:val="0"/>
      <w:divBdr>
        <w:top w:val="none" w:sz="0" w:space="0" w:color="auto"/>
        <w:left w:val="none" w:sz="0" w:space="0" w:color="auto"/>
        <w:bottom w:val="none" w:sz="0" w:space="0" w:color="auto"/>
        <w:right w:val="none" w:sz="0" w:space="0" w:color="auto"/>
      </w:divBdr>
    </w:div>
    <w:div w:id="534776983">
      <w:bodyDiv w:val="1"/>
      <w:marLeft w:val="0"/>
      <w:marRight w:val="0"/>
      <w:marTop w:val="0"/>
      <w:marBottom w:val="0"/>
      <w:divBdr>
        <w:top w:val="none" w:sz="0" w:space="0" w:color="auto"/>
        <w:left w:val="none" w:sz="0" w:space="0" w:color="auto"/>
        <w:bottom w:val="none" w:sz="0" w:space="0" w:color="auto"/>
        <w:right w:val="none" w:sz="0" w:space="0" w:color="auto"/>
      </w:divBdr>
    </w:div>
    <w:div w:id="548765426">
      <w:bodyDiv w:val="1"/>
      <w:marLeft w:val="0"/>
      <w:marRight w:val="0"/>
      <w:marTop w:val="0"/>
      <w:marBottom w:val="0"/>
      <w:divBdr>
        <w:top w:val="none" w:sz="0" w:space="0" w:color="auto"/>
        <w:left w:val="none" w:sz="0" w:space="0" w:color="auto"/>
        <w:bottom w:val="none" w:sz="0" w:space="0" w:color="auto"/>
        <w:right w:val="none" w:sz="0" w:space="0" w:color="auto"/>
      </w:divBdr>
    </w:div>
    <w:div w:id="551305487">
      <w:bodyDiv w:val="1"/>
      <w:marLeft w:val="0"/>
      <w:marRight w:val="0"/>
      <w:marTop w:val="0"/>
      <w:marBottom w:val="0"/>
      <w:divBdr>
        <w:top w:val="none" w:sz="0" w:space="0" w:color="auto"/>
        <w:left w:val="none" w:sz="0" w:space="0" w:color="auto"/>
        <w:bottom w:val="none" w:sz="0" w:space="0" w:color="auto"/>
        <w:right w:val="none" w:sz="0" w:space="0" w:color="auto"/>
      </w:divBdr>
    </w:div>
    <w:div w:id="582958277">
      <w:bodyDiv w:val="1"/>
      <w:marLeft w:val="0"/>
      <w:marRight w:val="0"/>
      <w:marTop w:val="0"/>
      <w:marBottom w:val="0"/>
      <w:divBdr>
        <w:top w:val="none" w:sz="0" w:space="0" w:color="auto"/>
        <w:left w:val="none" w:sz="0" w:space="0" w:color="auto"/>
        <w:bottom w:val="none" w:sz="0" w:space="0" w:color="auto"/>
        <w:right w:val="none" w:sz="0" w:space="0" w:color="auto"/>
      </w:divBdr>
    </w:div>
    <w:div w:id="602079236">
      <w:bodyDiv w:val="1"/>
      <w:marLeft w:val="0"/>
      <w:marRight w:val="0"/>
      <w:marTop w:val="0"/>
      <w:marBottom w:val="0"/>
      <w:divBdr>
        <w:top w:val="none" w:sz="0" w:space="0" w:color="auto"/>
        <w:left w:val="none" w:sz="0" w:space="0" w:color="auto"/>
        <w:bottom w:val="none" w:sz="0" w:space="0" w:color="auto"/>
        <w:right w:val="none" w:sz="0" w:space="0" w:color="auto"/>
      </w:divBdr>
    </w:div>
    <w:div w:id="607204748">
      <w:bodyDiv w:val="1"/>
      <w:marLeft w:val="0"/>
      <w:marRight w:val="0"/>
      <w:marTop w:val="0"/>
      <w:marBottom w:val="0"/>
      <w:divBdr>
        <w:top w:val="none" w:sz="0" w:space="0" w:color="auto"/>
        <w:left w:val="none" w:sz="0" w:space="0" w:color="auto"/>
        <w:bottom w:val="none" w:sz="0" w:space="0" w:color="auto"/>
        <w:right w:val="none" w:sz="0" w:space="0" w:color="auto"/>
      </w:divBdr>
    </w:div>
    <w:div w:id="616646748">
      <w:bodyDiv w:val="1"/>
      <w:marLeft w:val="0"/>
      <w:marRight w:val="0"/>
      <w:marTop w:val="0"/>
      <w:marBottom w:val="0"/>
      <w:divBdr>
        <w:top w:val="none" w:sz="0" w:space="0" w:color="auto"/>
        <w:left w:val="none" w:sz="0" w:space="0" w:color="auto"/>
        <w:bottom w:val="none" w:sz="0" w:space="0" w:color="auto"/>
        <w:right w:val="none" w:sz="0" w:space="0" w:color="auto"/>
      </w:divBdr>
    </w:div>
    <w:div w:id="624383344">
      <w:bodyDiv w:val="1"/>
      <w:marLeft w:val="0"/>
      <w:marRight w:val="0"/>
      <w:marTop w:val="0"/>
      <w:marBottom w:val="0"/>
      <w:divBdr>
        <w:top w:val="none" w:sz="0" w:space="0" w:color="auto"/>
        <w:left w:val="none" w:sz="0" w:space="0" w:color="auto"/>
        <w:bottom w:val="none" w:sz="0" w:space="0" w:color="auto"/>
        <w:right w:val="none" w:sz="0" w:space="0" w:color="auto"/>
      </w:divBdr>
    </w:div>
    <w:div w:id="634987625">
      <w:bodyDiv w:val="1"/>
      <w:marLeft w:val="0"/>
      <w:marRight w:val="0"/>
      <w:marTop w:val="0"/>
      <w:marBottom w:val="0"/>
      <w:divBdr>
        <w:top w:val="none" w:sz="0" w:space="0" w:color="auto"/>
        <w:left w:val="none" w:sz="0" w:space="0" w:color="auto"/>
        <w:bottom w:val="none" w:sz="0" w:space="0" w:color="auto"/>
        <w:right w:val="none" w:sz="0" w:space="0" w:color="auto"/>
      </w:divBdr>
    </w:div>
    <w:div w:id="643235909">
      <w:bodyDiv w:val="1"/>
      <w:marLeft w:val="0"/>
      <w:marRight w:val="0"/>
      <w:marTop w:val="0"/>
      <w:marBottom w:val="0"/>
      <w:divBdr>
        <w:top w:val="none" w:sz="0" w:space="0" w:color="auto"/>
        <w:left w:val="none" w:sz="0" w:space="0" w:color="auto"/>
        <w:bottom w:val="none" w:sz="0" w:space="0" w:color="auto"/>
        <w:right w:val="none" w:sz="0" w:space="0" w:color="auto"/>
      </w:divBdr>
    </w:div>
    <w:div w:id="644315417">
      <w:bodyDiv w:val="1"/>
      <w:marLeft w:val="0"/>
      <w:marRight w:val="0"/>
      <w:marTop w:val="0"/>
      <w:marBottom w:val="0"/>
      <w:divBdr>
        <w:top w:val="none" w:sz="0" w:space="0" w:color="auto"/>
        <w:left w:val="none" w:sz="0" w:space="0" w:color="auto"/>
        <w:bottom w:val="none" w:sz="0" w:space="0" w:color="auto"/>
        <w:right w:val="none" w:sz="0" w:space="0" w:color="auto"/>
      </w:divBdr>
    </w:div>
    <w:div w:id="645209613">
      <w:bodyDiv w:val="1"/>
      <w:marLeft w:val="0"/>
      <w:marRight w:val="0"/>
      <w:marTop w:val="0"/>
      <w:marBottom w:val="0"/>
      <w:divBdr>
        <w:top w:val="none" w:sz="0" w:space="0" w:color="auto"/>
        <w:left w:val="none" w:sz="0" w:space="0" w:color="auto"/>
        <w:bottom w:val="none" w:sz="0" w:space="0" w:color="auto"/>
        <w:right w:val="none" w:sz="0" w:space="0" w:color="auto"/>
      </w:divBdr>
    </w:div>
    <w:div w:id="657538167">
      <w:bodyDiv w:val="1"/>
      <w:marLeft w:val="0"/>
      <w:marRight w:val="0"/>
      <w:marTop w:val="0"/>
      <w:marBottom w:val="0"/>
      <w:divBdr>
        <w:top w:val="none" w:sz="0" w:space="0" w:color="auto"/>
        <w:left w:val="none" w:sz="0" w:space="0" w:color="auto"/>
        <w:bottom w:val="none" w:sz="0" w:space="0" w:color="auto"/>
        <w:right w:val="none" w:sz="0" w:space="0" w:color="auto"/>
      </w:divBdr>
    </w:div>
    <w:div w:id="661856256">
      <w:bodyDiv w:val="1"/>
      <w:marLeft w:val="0"/>
      <w:marRight w:val="0"/>
      <w:marTop w:val="0"/>
      <w:marBottom w:val="0"/>
      <w:divBdr>
        <w:top w:val="none" w:sz="0" w:space="0" w:color="auto"/>
        <w:left w:val="none" w:sz="0" w:space="0" w:color="auto"/>
        <w:bottom w:val="none" w:sz="0" w:space="0" w:color="auto"/>
        <w:right w:val="none" w:sz="0" w:space="0" w:color="auto"/>
      </w:divBdr>
    </w:div>
    <w:div w:id="682710863">
      <w:bodyDiv w:val="1"/>
      <w:marLeft w:val="0"/>
      <w:marRight w:val="0"/>
      <w:marTop w:val="0"/>
      <w:marBottom w:val="0"/>
      <w:divBdr>
        <w:top w:val="none" w:sz="0" w:space="0" w:color="auto"/>
        <w:left w:val="none" w:sz="0" w:space="0" w:color="auto"/>
        <w:bottom w:val="none" w:sz="0" w:space="0" w:color="auto"/>
        <w:right w:val="none" w:sz="0" w:space="0" w:color="auto"/>
      </w:divBdr>
    </w:div>
    <w:div w:id="690762737">
      <w:bodyDiv w:val="1"/>
      <w:marLeft w:val="0"/>
      <w:marRight w:val="0"/>
      <w:marTop w:val="0"/>
      <w:marBottom w:val="0"/>
      <w:divBdr>
        <w:top w:val="none" w:sz="0" w:space="0" w:color="auto"/>
        <w:left w:val="none" w:sz="0" w:space="0" w:color="auto"/>
        <w:bottom w:val="none" w:sz="0" w:space="0" w:color="auto"/>
        <w:right w:val="none" w:sz="0" w:space="0" w:color="auto"/>
      </w:divBdr>
    </w:div>
    <w:div w:id="715471658">
      <w:bodyDiv w:val="1"/>
      <w:marLeft w:val="0"/>
      <w:marRight w:val="0"/>
      <w:marTop w:val="0"/>
      <w:marBottom w:val="0"/>
      <w:divBdr>
        <w:top w:val="none" w:sz="0" w:space="0" w:color="auto"/>
        <w:left w:val="none" w:sz="0" w:space="0" w:color="auto"/>
        <w:bottom w:val="none" w:sz="0" w:space="0" w:color="auto"/>
        <w:right w:val="none" w:sz="0" w:space="0" w:color="auto"/>
      </w:divBdr>
    </w:div>
    <w:div w:id="719943604">
      <w:bodyDiv w:val="1"/>
      <w:marLeft w:val="0"/>
      <w:marRight w:val="0"/>
      <w:marTop w:val="0"/>
      <w:marBottom w:val="0"/>
      <w:divBdr>
        <w:top w:val="none" w:sz="0" w:space="0" w:color="auto"/>
        <w:left w:val="none" w:sz="0" w:space="0" w:color="auto"/>
        <w:bottom w:val="none" w:sz="0" w:space="0" w:color="auto"/>
        <w:right w:val="none" w:sz="0" w:space="0" w:color="auto"/>
      </w:divBdr>
    </w:div>
    <w:div w:id="725645714">
      <w:bodyDiv w:val="1"/>
      <w:marLeft w:val="0"/>
      <w:marRight w:val="0"/>
      <w:marTop w:val="0"/>
      <w:marBottom w:val="0"/>
      <w:divBdr>
        <w:top w:val="none" w:sz="0" w:space="0" w:color="auto"/>
        <w:left w:val="none" w:sz="0" w:space="0" w:color="auto"/>
        <w:bottom w:val="none" w:sz="0" w:space="0" w:color="auto"/>
        <w:right w:val="none" w:sz="0" w:space="0" w:color="auto"/>
      </w:divBdr>
    </w:div>
    <w:div w:id="727150163">
      <w:bodyDiv w:val="1"/>
      <w:marLeft w:val="0"/>
      <w:marRight w:val="0"/>
      <w:marTop w:val="0"/>
      <w:marBottom w:val="0"/>
      <w:divBdr>
        <w:top w:val="none" w:sz="0" w:space="0" w:color="auto"/>
        <w:left w:val="none" w:sz="0" w:space="0" w:color="auto"/>
        <w:bottom w:val="none" w:sz="0" w:space="0" w:color="auto"/>
        <w:right w:val="none" w:sz="0" w:space="0" w:color="auto"/>
      </w:divBdr>
    </w:div>
    <w:div w:id="728387272">
      <w:bodyDiv w:val="1"/>
      <w:marLeft w:val="0"/>
      <w:marRight w:val="0"/>
      <w:marTop w:val="0"/>
      <w:marBottom w:val="0"/>
      <w:divBdr>
        <w:top w:val="none" w:sz="0" w:space="0" w:color="auto"/>
        <w:left w:val="none" w:sz="0" w:space="0" w:color="auto"/>
        <w:bottom w:val="none" w:sz="0" w:space="0" w:color="auto"/>
        <w:right w:val="none" w:sz="0" w:space="0" w:color="auto"/>
      </w:divBdr>
    </w:div>
    <w:div w:id="728655004">
      <w:bodyDiv w:val="1"/>
      <w:marLeft w:val="0"/>
      <w:marRight w:val="0"/>
      <w:marTop w:val="0"/>
      <w:marBottom w:val="0"/>
      <w:divBdr>
        <w:top w:val="none" w:sz="0" w:space="0" w:color="auto"/>
        <w:left w:val="none" w:sz="0" w:space="0" w:color="auto"/>
        <w:bottom w:val="none" w:sz="0" w:space="0" w:color="auto"/>
        <w:right w:val="none" w:sz="0" w:space="0" w:color="auto"/>
      </w:divBdr>
    </w:div>
    <w:div w:id="732194928">
      <w:bodyDiv w:val="1"/>
      <w:marLeft w:val="0"/>
      <w:marRight w:val="0"/>
      <w:marTop w:val="0"/>
      <w:marBottom w:val="0"/>
      <w:divBdr>
        <w:top w:val="none" w:sz="0" w:space="0" w:color="auto"/>
        <w:left w:val="none" w:sz="0" w:space="0" w:color="auto"/>
        <w:bottom w:val="none" w:sz="0" w:space="0" w:color="auto"/>
        <w:right w:val="none" w:sz="0" w:space="0" w:color="auto"/>
      </w:divBdr>
    </w:div>
    <w:div w:id="746224354">
      <w:bodyDiv w:val="1"/>
      <w:marLeft w:val="0"/>
      <w:marRight w:val="0"/>
      <w:marTop w:val="0"/>
      <w:marBottom w:val="0"/>
      <w:divBdr>
        <w:top w:val="none" w:sz="0" w:space="0" w:color="auto"/>
        <w:left w:val="none" w:sz="0" w:space="0" w:color="auto"/>
        <w:bottom w:val="none" w:sz="0" w:space="0" w:color="auto"/>
        <w:right w:val="none" w:sz="0" w:space="0" w:color="auto"/>
      </w:divBdr>
    </w:div>
    <w:div w:id="752823445">
      <w:bodyDiv w:val="1"/>
      <w:marLeft w:val="0"/>
      <w:marRight w:val="0"/>
      <w:marTop w:val="0"/>
      <w:marBottom w:val="0"/>
      <w:divBdr>
        <w:top w:val="none" w:sz="0" w:space="0" w:color="auto"/>
        <w:left w:val="none" w:sz="0" w:space="0" w:color="auto"/>
        <w:bottom w:val="none" w:sz="0" w:space="0" w:color="auto"/>
        <w:right w:val="none" w:sz="0" w:space="0" w:color="auto"/>
      </w:divBdr>
    </w:div>
    <w:div w:id="763454239">
      <w:bodyDiv w:val="1"/>
      <w:marLeft w:val="0"/>
      <w:marRight w:val="0"/>
      <w:marTop w:val="0"/>
      <w:marBottom w:val="0"/>
      <w:divBdr>
        <w:top w:val="none" w:sz="0" w:space="0" w:color="auto"/>
        <w:left w:val="none" w:sz="0" w:space="0" w:color="auto"/>
        <w:bottom w:val="none" w:sz="0" w:space="0" w:color="auto"/>
        <w:right w:val="none" w:sz="0" w:space="0" w:color="auto"/>
      </w:divBdr>
    </w:div>
    <w:div w:id="775560870">
      <w:bodyDiv w:val="1"/>
      <w:marLeft w:val="0"/>
      <w:marRight w:val="0"/>
      <w:marTop w:val="0"/>
      <w:marBottom w:val="0"/>
      <w:divBdr>
        <w:top w:val="none" w:sz="0" w:space="0" w:color="auto"/>
        <w:left w:val="none" w:sz="0" w:space="0" w:color="auto"/>
        <w:bottom w:val="none" w:sz="0" w:space="0" w:color="auto"/>
        <w:right w:val="none" w:sz="0" w:space="0" w:color="auto"/>
      </w:divBdr>
    </w:div>
    <w:div w:id="784692323">
      <w:bodyDiv w:val="1"/>
      <w:marLeft w:val="0"/>
      <w:marRight w:val="0"/>
      <w:marTop w:val="0"/>
      <w:marBottom w:val="0"/>
      <w:divBdr>
        <w:top w:val="none" w:sz="0" w:space="0" w:color="auto"/>
        <w:left w:val="none" w:sz="0" w:space="0" w:color="auto"/>
        <w:bottom w:val="none" w:sz="0" w:space="0" w:color="auto"/>
        <w:right w:val="none" w:sz="0" w:space="0" w:color="auto"/>
      </w:divBdr>
    </w:div>
    <w:div w:id="789594971">
      <w:bodyDiv w:val="1"/>
      <w:marLeft w:val="0"/>
      <w:marRight w:val="0"/>
      <w:marTop w:val="0"/>
      <w:marBottom w:val="0"/>
      <w:divBdr>
        <w:top w:val="none" w:sz="0" w:space="0" w:color="auto"/>
        <w:left w:val="none" w:sz="0" w:space="0" w:color="auto"/>
        <w:bottom w:val="none" w:sz="0" w:space="0" w:color="auto"/>
        <w:right w:val="none" w:sz="0" w:space="0" w:color="auto"/>
      </w:divBdr>
    </w:div>
    <w:div w:id="808478687">
      <w:bodyDiv w:val="1"/>
      <w:marLeft w:val="0"/>
      <w:marRight w:val="0"/>
      <w:marTop w:val="0"/>
      <w:marBottom w:val="0"/>
      <w:divBdr>
        <w:top w:val="none" w:sz="0" w:space="0" w:color="auto"/>
        <w:left w:val="none" w:sz="0" w:space="0" w:color="auto"/>
        <w:bottom w:val="none" w:sz="0" w:space="0" w:color="auto"/>
        <w:right w:val="none" w:sz="0" w:space="0" w:color="auto"/>
      </w:divBdr>
    </w:div>
    <w:div w:id="819887556">
      <w:bodyDiv w:val="1"/>
      <w:marLeft w:val="0"/>
      <w:marRight w:val="0"/>
      <w:marTop w:val="0"/>
      <w:marBottom w:val="0"/>
      <w:divBdr>
        <w:top w:val="none" w:sz="0" w:space="0" w:color="auto"/>
        <w:left w:val="none" w:sz="0" w:space="0" w:color="auto"/>
        <w:bottom w:val="none" w:sz="0" w:space="0" w:color="auto"/>
        <w:right w:val="none" w:sz="0" w:space="0" w:color="auto"/>
      </w:divBdr>
    </w:div>
    <w:div w:id="832641621">
      <w:bodyDiv w:val="1"/>
      <w:marLeft w:val="0"/>
      <w:marRight w:val="0"/>
      <w:marTop w:val="0"/>
      <w:marBottom w:val="0"/>
      <w:divBdr>
        <w:top w:val="none" w:sz="0" w:space="0" w:color="auto"/>
        <w:left w:val="none" w:sz="0" w:space="0" w:color="auto"/>
        <w:bottom w:val="none" w:sz="0" w:space="0" w:color="auto"/>
        <w:right w:val="none" w:sz="0" w:space="0" w:color="auto"/>
      </w:divBdr>
    </w:div>
    <w:div w:id="833647893">
      <w:bodyDiv w:val="1"/>
      <w:marLeft w:val="0"/>
      <w:marRight w:val="0"/>
      <w:marTop w:val="0"/>
      <w:marBottom w:val="0"/>
      <w:divBdr>
        <w:top w:val="none" w:sz="0" w:space="0" w:color="auto"/>
        <w:left w:val="none" w:sz="0" w:space="0" w:color="auto"/>
        <w:bottom w:val="none" w:sz="0" w:space="0" w:color="auto"/>
        <w:right w:val="none" w:sz="0" w:space="0" w:color="auto"/>
      </w:divBdr>
    </w:div>
    <w:div w:id="863178626">
      <w:bodyDiv w:val="1"/>
      <w:marLeft w:val="0"/>
      <w:marRight w:val="0"/>
      <w:marTop w:val="0"/>
      <w:marBottom w:val="0"/>
      <w:divBdr>
        <w:top w:val="none" w:sz="0" w:space="0" w:color="auto"/>
        <w:left w:val="none" w:sz="0" w:space="0" w:color="auto"/>
        <w:bottom w:val="none" w:sz="0" w:space="0" w:color="auto"/>
        <w:right w:val="none" w:sz="0" w:space="0" w:color="auto"/>
      </w:divBdr>
    </w:div>
    <w:div w:id="869029457">
      <w:bodyDiv w:val="1"/>
      <w:marLeft w:val="0"/>
      <w:marRight w:val="0"/>
      <w:marTop w:val="0"/>
      <w:marBottom w:val="0"/>
      <w:divBdr>
        <w:top w:val="none" w:sz="0" w:space="0" w:color="auto"/>
        <w:left w:val="none" w:sz="0" w:space="0" w:color="auto"/>
        <w:bottom w:val="none" w:sz="0" w:space="0" w:color="auto"/>
        <w:right w:val="none" w:sz="0" w:space="0" w:color="auto"/>
      </w:divBdr>
    </w:div>
    <w:div w:id="874124934">
      <w:bodyDiv w:val="1"/>
      <w:marLeft w:val="0"/>
      <w:marRight w:val="0"/>
      <w:marTop w:val="0"/>
      <w:marBottom w:val="0"/>
      <w:divBdr>
        <w:top w:val="none" w:sz="0" w:space="0" w:color="auto"/>
        <w:left w:val="none" w:sz="0" w:space="0" w:color="auto"/>
        <w:bottom w:val="none" w:sz="0" w:space="0" w:color="auto"/>
        <w:right w:val="none" w:sz="0" w:space="0" w:color="auto"/>
      </w:divBdr>
    </w:div>
    <w:div w:id="912205299">
      <w:bodyDiv w:val="1"/>
      <w:marLeft w:val="0"/>
      <w:marRight w:val="0"/>
      <w:marTop w:val="0"/>
      <w:marBottom w:val="0"/>
      <w:divBdr>
        <w:top w:val="none" w:sz="0" w:space="0" w:color="auto"/>
        <w:left w:val="none" w:sz="0" w:space="0" w:color="auto"/>
        <w:bottom w:val="none" w:sz="0" w:space="0" w:color="auto"/>
        <w:right w:val="none" w:sz="0" w:space="0" w:color="auto"/>
      </w:divBdr>
    </w:div>
    <w:div w:id="928466808">
      <w:bodyDiv w:val="1"/>
      <w:marLeft w:val="0"/>
      <w:marRight w:val="0"/>
      <w:marTop w:val="0"/>
      <w:marBottom w:val="0"/>
      <w:divBdr>
        <w:top w:val="none" w:sz="0" w:space="0" w:color="auto"/>
        <w:left w:val="none" w:sz="0" w:space="0" w:color="auto"/>
        <w:bottom w:val="none" w:sz="0" w:space="0" w:color="auto"/>
        <w:right w:val="none" w:sz="0" w:space="0" w:color="auto"/>
      </w:divBdr>
    </w:div>
    <w:div w:id="929853232">
      <w:bodyDiv w:val="1"/>
      <w:marLeft w:val="0"/>
      <w:marRight w:val="0"/>
      <w:marTop w:val="0"/>
      <w:marBottom w:val="0"/>
      <w:divBdr>
        <w:top w:val="none" w:sz="0" w:space="0" w:color="auto"/>
        <w:left w:val="none" w:sz="0" w:space="0" w:color="auto"/>
        <w:bottom w:val="none" w:sz="0" w:space="0" w:color="auto"/>
        <w:right w:val="none" w:sz="0" w:space="0" w:color="auto"/>
      </w:divBdr>
    </w:div>
    <w:div w:id="935669542">
      <w:bodyDiv w:val="1"/>
      <w:marLeft w:val="0"/>
      <w:marRight w:val="0"/>
      <w:marTop w:val="0"/>
      <w:marBottom w:val="0"/>
      <w:divBdr>
        <w:top w:val="none" w:sz="0" w:space="0" w:color="auto"/>
        <w:left w:val="none" w:sz="0" w:space="0" w:color="auto"/>
        <w:bottom w:val="none" w:sz="0" w:space="0" w:color="auto"/>
        <w:right w:val="none" w:sz="0" w:space="0" w:color="auto"/>
      </w:divBdr>
    </w:div>
    <w:div w:id="942686082">
      <w:bodyDiv w:val="1"/>
      <w:marLeft w:val="0"/>
      <w:marRight w:val="0"/>
      <w:marTop w:val="0"/>
      <w:marBottom w:val="0"/>
      <w:divBdr>
        <w:top w:val="none" w:sz="0" w:space="0" w:color="auto"/>
        <w:left w:val="none" w:sz="0" w:space="0" w:color="auto"/>
        <w:bottom w:val="none" w:sz="0" w:space="0" w:color="auto"/>
        <w:right w:val="none" w:sz="0" w:space="0" w:color="auto"/>
      </w:divBdr>
    </w:div>
    <w:div w:id="944310061">
      <w:bodyDiv w:val="1"/>
      <w:marLeft w:val="0"/>
      <w:marRight w:val="0"/>
      <w:marTop w:val="0"/>
      <w:marBottom w:val="0"/>
      <w:divBdr>
        <w:top w:val="none" w:sz="0" w:space="0" w:color="auto"/>
        <w:left w:val="none" w:sz="0" w:space="0" w:color="auto"/>
        <w:bottom w:val="none" w:sz="0" w:space="0" w:color="auto"/>
        <w:right w:val="none" w:sz="0" w:space="0" w:color="auto"/>
      </w:divBdr>
    </w:div>
    <w:div w:id="973633880">
      <w:bodyDiv w:val="1"/>
      <w:marLeft w:val="0"/>
      <w:marRight w:val="0"/>
      <w:marTop w:val="0"/>
      <w:marBottom w:val="0"/>
      <w:divBdr>
        <w:top w:val="none" w:sz="0" w:space="0" w:color="auto"/>
        <w:left w:val="none" w:sz="0" w:space="0" w:color="auto"/>
        <w:bottom w:val="none" w:sz="0" w:space="0" w:color="auto"/>
        <w:right w:val="none" w:sz="0" w:space="0" w:color="auto"/>
      </w:divBdr>
    </w:div>
    <w:div w:id="979840929">
      <w:bodyDiv w:val="1"/>
      <w:marLeft w:val="0"/>
      <w:marRight w:val="0"/>
      <w:marTop w:val="0"/>
      <w:marBottom w:val="0"/>
      <w:divBdr>
        <w:top w:val="none" w:sz="0" w:space="0" w:color="auto"/>
        <w:left w:val="none" w:sz="0" w:space="0" w:color="auto"/>
        <w:bottom w:val="none" w:sz="0" w:space="0" w:color="auto"/>
        <w:right w:val="none" w:sz="0" w:space="0" w:color="auto"/>
      </w:divBdr>
      <w:divsChild>
        <w:div w:id="789586431">
          <w:marLeft w:val="0"/>
          <w:marRight w:val="0"/>
          <w:marTop w:val="0"/>
          <w:marBottom w:val="0"/>
          <w:divBdr>
            <w:top w:val="none" w:sz="0" w:space="0" w:color="auto"/>
            <w:left w:val="none" w:sz="0" w:space="0" w:color="auto"/>
            <w:bottom w:val="none" w:sz="0" w:space="0" w:color="auto"/>
            <w:right w:val="none" w:sz="0" w:space="0" w:color="auto"/>
          </w:divBdr>
          <w:divsChild>
            <w:div w:id="2135712452">
              <w:marLeft w:val="0"/>
              <w:marRight w:val="0"/>
              <w:marTop w:val="0"/>
              <w:marBottom w:val="0"/>
              <w:divBdr>
                <w:top w:val="none" w:sz="0" w:space="0" w:color="auto"/>
                <w:left w:val="none" w:sz="0" w:space="0" w:color="auto"/>
                <w:bottom w:val="none" w:sz="0" w:space="0" w:color="auto"/>
                <w:right w:val="none" w:sz="0" w:space="0" w:color="auto"/>
              </w:divBdr>
              <w:divsChild>
                <w:div w:id="2043239420">
                  <w:marLeft w:val="0"/>
                  <w:marRight w:val="0"/>
                  <w:marTop w:val="0"/>
                  <w:marBottom w:val="0"/>
                  <w:divBdr>
                    <w:top w:val="none" w:sz="0" w:space="0" w:color="auto"/>
                    <w:left w:val="none" w:sz="0" w:space="0" w:color="auto"/>
                    <w:bottom w:val="none" w:sz="0" w:space="0" w:color="auto"/>
                    <w:right w:val="none" w:sz="0" w:space="0" w:color="auto"/>
                  </w:divBdr>
                  <w:divsChild>
                    <w:div w:id="1935435973">
                      <w:marLeft w:val="0"/>
                      <w:marRight w:val="0"/>
                      <w:marTop w:val="0"/>
                      <w:marBottom w:val="0"/>
                      <w:divBdr>
                        <w:top w:val="none" w:sz="0" w:space="0" w:color="auto"/>
                        <w:left w:val="none" w:sz="0" w:space="0" w:color="auto"/>
                        <w:bottom w:val="none" w:sz="0" w:space="0" w:color="auto"/>
                        <w:right w:val="none" w:sz="0" w:space="0" w:color="auto"/>
                      </w:divBdr>
                      <w:divsChild>
                        <w:div w:id="1322002875">
                          <w:marLeft w:val="0"/>
                          <w:marRight w:val="0"/>
                          <w:marTop w:val="0"/>
                          <w:marBottom w:val="0"/>
                          <w:divBdr>
                            <w:top w:val="none" w:sz="0" w:space="0" w:color="auto"/>
                            <w:left w:val="none" w:sz="0" w:space="0" w:color="auto"/>
                            <w:bottom w:val="none" w:sz="0" w:space="0" w:color="auto"/>
                            <w:right w:val="none" w:sz="0" w:space="0" w:color="auto"/>
                          </w:divBdr>
                          <w:divsChild>
                            <w:div w:id="1747537227">
                              <w:marLeft w:val="0"/>
                              <w:marRight w:val="0"/>
                              <w:marTop w:val="0"/>
                              <w:marBottom w:val="0"/>
                              <w:divBdr>
                                <w:top w:val="none" w:sz="0" w:space="0" w:color="auto"/>
                                <w:left w:val="none" w:sz="0" w:space="0" w:color="auto"/>
                                <w:bottom w:val="none" w:sz="0" w:space="0" w:color="auto"/>
                                <w:right w:val="none" w:sz="0" w:space="0" w:color="auto"/>
                              </w:divBdr>
                              <w:divsChild>
                                <w:div w:id="1900553208">
                                  <w:marLeft w:val="0"/>
                                  <w:marRight w:val="0"/>
                                  <w:marTop w:val="0"/>
                                  <w:marBottom w:val="0"/>
                                  <w:divBdr>
                                    <w:top w:val="none" w:sz="0" w:space="0" w:color="auto"/>
                                    <w:left w:val="none" w:sz="0" w:space="0" w:color="auto"/>
                                    <w:bottom w:val="none" w:sz="0" w:space="0" w:color="auto"/>
                                    <w:right w:val="none" w:sz="0" w:space="0" w:color="auto"/>
                                  </w:divBdr>
                                  <w:divsChild>
                                    <w:div w:id="13819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44202">
                      <w:marLeft w:val="0"/>
                      <w:marRight w:val="0"/>
                      <w:marTop w:val="0"/>
                      <w:marBottom w:val="0"/>
                      <w:divBdr>
                        <w:top w:val="none" w:sz="0" w:space="0" w:color="auto"/>
                        <w:left w:val="none" w:sz="0" w:space="0" w:color="auto"/>
                        <w:bottom w:val="none" w:sz="0" w:space="0" w:color="auto"/>
                        <w:right w:val="none" w:sz="0" w:space="0" w:color="auto"/>
                      </w:divBdr>
                      <w:divsChild>
                        <w:div w:id="18521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368764">
      <w:bodyDiv w:val="1"/>
      <w:marLeft w:val="0"/>
      <w:marRight w:val="0"/>
      <w:marTop w:val="0"/>
      <w:marBottom w:val="0"/>
      <w:divBdr>
        <w:top w:val="none" w:sz="0" w:space="0" w:color="auto"/>
        <w:left w:val="none" w:sz="0" w:space="0" w:color="auto"/>
        <w:bottom w:val="none" w:sz="0" w:space="0" w:color="auto"/>
        <w:right w:val="none" w:sz="0" w:space="0" w:color="auto"/>
      </w:divBdr>
    </w:div>
    <w:div w:id="1028026368">
      <w:bodyDiv w:val="1"/>
      <w:marLeft w:val="0"/>
      <w:marRight w:val="0"/>
      <w:marTop w:val="0"/>
      <w:marBottom w:val="0"/>
      <w:divBdr>
        <w:top w:val="none" w:sz="0" w:space="0" w:color="auto"/>
        <w:left w:val="none" w:sz="0" w:space="0" w:color="auto"/>
        <w:bottom w:val="none" w:sz="0" w:space="0" w:color="auto"/>
        <w:right w:val="none" w:sz="0" w:space="0" w:color="auto"/>
      </w:divBdr>
    </w:div>
    <w:div w:id="1044258778">
      <w:bodyDiv w:val="1"/>
      <w:marLeft w:val="0"/>
      <w:marRight w:val="0"/>
      <w:marTop w:val="0"/>
      <w:marBottom w:val="0"/>
      <w:divBdr>
        <w:top w:val="none" w:sz="0" w:space="0" w:color="auto"/>
        <w:left w:val="none" w:sz="0" w:space="0" w:color="auto"/>
        <w:bottom w:val="none" w:sz="0" w:space="0" w:color="auto"/>
        <w:right w:val="none" w:sz="0" w:space="0" w:color="auto"/>
      </w:divBdr>
    </w:div>
    <w:div w:id="1069959515">
      <w:bodyDiv w:val="1"/>
      <w:marLeft w:val="0"/>
      <w:marRight w:val="0"/>
      <w:marTop w:val="0"/>
      <w:marBottom w:val="0"/>
      <w:divBdr>
        <w:top w:val="none" w:sz="0" w:space="0" w:color="auto"/>
        <w:left w:val="none" w:sz="0" w:space="0" w:color="auto"/>
        <w:bottom w:val="none" w:sz="0" w:space="0" w:color="auto"/>
        <w:right w:val="none" w:sz="0" w:space="0" w:color="auto"/>
      </w:divBdr>
    </w:div>
    <w:div w:id="1074284151">
      <w:bodyDiv w:val="1"/>
      <w:marLeft w:val="0"/>
      <w:marRight w:val="0"/>
      <w:marTop w:val="0"/>
      <w:marBottom w:val="0"/>
      <w:divBdr>
        <w:top w:val="none" w:sz="0" w:space="0" w:color="auto"/>
        <w:left w:val="none" w:sz="0" w:space="0" w:color="auto"/>
        <w:bottom w:val="none" w:sz="0" w:space="0" w:color="auto"/>
        <w:right w:val="none" w:sz="0" w:space="0" w:color="auto"/>
      </w:divBdr>
    </w:div>
    <w:div w:id="1093672001">
      <w:bodyDiv w:val="1"/>
      <w:marLeft w:val="0"/>
      <w:marRight w:val="0"/>
      <w:marTop w:val="0"/>
      <w:marBottom w:val="0"/>
      <w:divBdr>
        <w:top w:val="none" w:sz="0" w:space="0" w:color="auto"/>
        <w:left w:val="none" w:sz="0" w:space="0" w:color="auto"/>
        <w:bottom w:val="none" w:sz="0" w:space="0" w:color="auto"/>
        <w:right w:val="none" w:sz="0" w:space="0" w:color="auto"/>
      </w:divBdr>
    </w:div>
    <w:div w:id="1100446476">
      <w:bodyDiv w:val="1"/>
      <w:marLeft w:val="0"/>
      <w:marRight w:val="0"/>
      <w:marTop w:val="0"/>
      <w:marBottom w:val="0"/>
      <w:divBdr>
        <w:top w:val="none" w:sz="0" w:space="0" w:color="auto"/>
        <w:left w:val="none" w:sz="0" w:space="0" w:color="auto"/>
        <w:bottom w:val="none" w:sz="0" w:space="0" w:color="auto"/>
        <w:right w:val="none" w:sz="0" w:space="0" w:color="auto"/>
      </w:divBdr>
    </w:div>
    <w:div w:id="1103302350">
      <w:bodyDiv w:val="1"/>
      <w:marLeft w:val="0"/>
      <w:marRight w:val="0"/>
      <w:marTop w:val="0"/>
      <w:marBottom w:val="0"/>
      <w:divBdr>
        <w:top w:val="none" w:sz="0" w:space="0" w:color="auto"/>
        <w:left w:val="none" w:sz="0" w:space="0" w:color="auto"/>
        <w:bottom w:val="none" w:sz="0" w:space="0" w:color="auto"/>
        <w:right w:val="none" w:sz="0" w:space="0" w:color="auto"/>
      </w:divBdr>
    </w:div>
    <w:div w:id="1130199219">
      <w:bodyDiv w:val="1"/>
      <w:marLeft w:val="0"/>
      <w:marRight w:val="0"/>
      <w:marTop w:val="0"/>
      <w:marBottom w:val="0"/>
      <w:divBdr>
        <w:top w:val="none" w:sz="0" w:space="0" w:color="auto"/>
        <w:left w:val="none" w:sz="0" w:space="0" w:color="auto"/>
        <w:bottom w:val="none" w:sz="0" w:space="0" w:color="auto"/>
        <w:right w:val="none" w:sz="0" w:space="0" w:color="auto"/>
      </w:divBdr>
    </w:div>
    <w:div w:id="1131284790">
      <w:bodyDiv w:val="1"/>
      <w:marLeft w:val="0"/>
      <w:marRight w:val="0"/>
      <w:marTop w:val="0"/>
      <w:marBottom w:val="0"/>
      <w:divBdr>
        <w:top w:val="none" w:sz="0" w:space="0" w:color="auto"/>
        <w:left w:val="none" w:sz="0" w:space="0" w:color="auto"/>
        <w:bottom w:val="none" w:sz="0" w:space="0" w:color="auto"/>
        <w:right w:val="none" w:sz="0" w:space="0" w:color="auto"/>
      </w:divBdr>
    </w:div>
    <w:div w:id="1141583139">
      <w:bodyDiv w:val="1"/>
      <w:marLeft w:val="0"/>
      <w:marRight w:val="0"/>
      <w:marTop w:val="0"/>
      <w:marBottom w:val="0"/>
      <w:divBdr>
        <w:top w:val="none" w:sz="0" w:space="0" w:color="auto"/>
        <w:left w:val="none" w:sz="0" w:space="0" w:color="auto"/>
        <w:bottom w:val="none" w:sz="0" w:space="0" w:color="auto"/>
        <w:right w:val="none" w:sz="0" w:space="0" w:color="auto"/>
      </w:divBdr>
    </w:div>
    <w:div w:id="1145929534">
      <w:bodyDiv w:val="1"/>
      <w:marLeft w:val="0"/>
      <w:marRight w:val="0"/>
      <w:marTop w:val="0"/>
      <w:marBottom w:val="0"/>
      <w:divBdr>
        <w:top w:val="none" w:sz="0" w:space="0" w:color="auto"/>
        <w:left w:val="none" w:sz="0" w:space="0" w:color="auto"/>
        <w:bottom w:val="none" w:sz="0" w:space="0" w:color="auto"/>
        <w:right w:val="none" w:sz="0" w:space="0" w:color="auto"/>
      </w:divBdr>
    </w:div>
    <w:div w:id="1157496843">
      <w:bodyDiv w:val="1"/>
      <w:marLeft w:val="0"/>
      <w:marRight w:val="0"/>
      <w:marTop w:val="0"/>
      <w:marBottom w:val="0"/>
      <w:divBdr>
        <w:top w:val="none" w:sz="0" w:space="0" w:color="auto"/>
        <w:left w:val="none" w:sz="0" w:space="0" w:color="auto"/>
        <w:bottom w:val="none" w:sz="0" w:space="0" w:color="auto"/>
        <w:right w:val="none" w:sz="0" w:space="0" w:color="auto"/>
      </w:divBdr>
    </w:div>
    <w:div w:id="1168522696">
      <w:bodyDiv w:val="1"/>
      <w:marLeft w:val="0"/>
      <w:marRight w:val="0"/>
      <w:marTop w:val="0"/>
      <w:marBottom w:val="0"/>
      <w:divBdr>
        <w:top w:val="none" w:sz="0" w:space="0" w:color="auto"/>
        <w:left w:val="none" w:sz="0" w:space="0" w:color="auto"/>
        <w:bottom w:val="none" w:sz="0" w:space="0" w:color="auto"/>
        <w:right w:val="none" w:sz="0" w:space="0" w:color="auto"/>
      </w:divBdr>
    </w:div>
    <w:div w:id="1211923011">
      <w:bodyDiv w:val="1"/>
      <w:marLeft w:val="0"/>
      <w:marRight w:val="0"/>
      <w:marTop w:val="0"/>
      <w:marBottom w:val="0"/>
      <w:divBdr>
        <w:top w:val="none" w:sz="0" w:space="0" w:color="auto"/>
        <w:left w:val="none" w:sz="0" w:space="0" w:color="auto"/>
        <w:bottom w:val="none" w:sz="0" w:space="0" w:color="auto"/>
        <w:right w:val="none" w:sz="0" w:space="0" w:color="auto"/>
      </w:divBdr>
    </w:div>
    <w:div w:id="1228758260">
      <w:bodyDiv w:val="1"/>
      <w:marLeft w:val="0"/>
      <w:marRight w:val="0"/>
      <w:marTop w:val="0"/>
      <w:marBottom w:val="0"/>
      <w:divBdr>
        <w:top w:val="none" w:sz="0" w:space="0" w:color="auto"/>
        <w:left w:val="none" w:sz="0" w:space="0" w:color="auto"/>
        <w:bottom w:val="none" w:sz="0" w:space="0" w:color="auto"/>
        <w:right w:val="none" w:sz="0" w:space="0" w:color="auto"/>
      </w:divBdr>
    </w:div>
    <w:div w:id="1229533121">
      <w:bodyDiv w:val="1"/>
      <w:marLeft w:val="0"/>
      <w:marRight w:val="0"/>
      <w:marTop w:val="0"/>
      <w:marBottom w:val="0"/>
      <w:divBdr>
        <w:top w:val="none" w:sz="0" w:space="0" w:color="auto"/>
        <w:left w:val="none" w:sz="0" w:space="0" w:color="auto"/>
        <w:bottom w:val="none" w:sz="0" w:space="0" w:color="auto"/>
        <w:right w:val="none" w:sz="0" w:space="0" w:color="auto"/>
      </w:divBdr>
      <w:divsChild>
        <w:div w:id="1117918732">
          <w:marLeft w:val="0"/>
          <w:marRight w:val="0"/>
          <w:marTop w:val="0"/>
          <w:marBottom w:val="0"/>
          <w:divBdr>
            <w:top w:val="none" w:sz="0" w:space="0" w:color="auto"/>
            <w:left w:val="none" w:sz="0" w:space="0" w:color="auto"/>
            <w:bottom w:val="none" w:sz="0" w:space="0" w:color="auto"/>
            <w:right w:val="none" w:sz="0" w:space="0" w:color="auto"/>
          </w:divBdr>
          <w:divsChild>
            <w:div w:id="630405209">
              <w:marLeft w:val="0"/>
              <w:marRight w:val="0"/>
              <w:marTop w:val="0"/>
              <w:marBottom w:val="0"/>
              <w:divBdr>
                <w:top w:val="none" w:sz="0" w:space="0" w:color="auto"/>
                <w:left w:val="none" w:sz="0" w:space="0" w:color="auto"/>
                <w:bottom w:val="none" w:sz="0" w:space="0" w:color="auto"/>
                <w:right w:val="none" w:sz="0" w:space="0" w:color="auto"/>
              </w:divBdr>
              <w:divsChild>
                <w:div w:id="967394566">
                  <w:marLeft w:val="0"/>
                  <w:marRight w:val="0"/>
                  <w:marTop w:val="0"/>
                  <w:marBottom w:val="0"/>
                  <w:divBdr>
                    <w:top w:val="none" w:sz="0" w:space="0" w:color="auto"/>
                    <w:left w:val="none" w:sz="0" w:space="0" w:color="auto"/>
                    <w:bottom w:val="none" w:sz="0" w:space="0" w:color="auto"/>
                    <w:right w:val="none" w:sz="0" w:space="0" w:color="auto"/>
                  </w:divBdr>
                  <w:divsChild>
                    <w:div w:id="877477062">
                      <w:marLeft w:val="0"/>
                      <w:marRight w:val="0"/>
                      <w:marTop w:val="0"/>
                      <w:marBottom w:val="0"/>
                      <w:divBdr>
                        <w:top w:val="none" w:sz="0" w:space="0" w:color="auto"/>
                        <w:left w:val="none" w:sz="0" w:space="0" w:color="auto"/>
                        <w:bottom w:val="none" w:sz="0" w:space="0" w:color="auto"/>
                        <w:right w:val="none" w:sz="0" w:space="0" w:color="auto"/>
                      </w:divBdr>
                      <w:divsChild>
                        <w:div w:id="2023512432">
                          <w:marLeft w:val="0"/>
                          <w:marRight w:val="0"/>
                          <w:marTop w:val="0"/>
                          <w:marBottom w:val="0"/>
                          <w:divBdr>
                            <w:top w:val="none" w:sz="0" w:space="0" w:color="auto"/>
                            <w:left w:val="none" w:sz="0" w:space="0" w:color="auto"/>
                            <w:bottom w:val="none" w:sz="0" w:space="0" w:color="auto"/>
                            <w:right w:val="none" w:sz="0" w:space="0" w:color="auto"/>
                          </w:divBdr>
                          <w:divsChild>
                            <w:div w:id="1955866963">
                              <w:marLeft w:val="0"/>
                              <w:marRight w:val="0"/>
                              <w:marTop w:val="0"/>
                              <w:marBottom w:val="0"/>
                              <w:divBdr>
                                <w:top w:val="none" w:sz="0" w:space="0" w:color="auto"/>
                                <w:left w:val="none" w:sz="0" w:space="0" w:color="auto"/>
                                <w:bottom w:val="none" w:sz="0" w:space="0" w:color="auto"/>
                                <w:right w:val="none" w:sz="0" w:space="0" w:color="auto"/>
                              </w:divBdr>
                              <w:divsChild>
                                <w:div w:id="15811592">
                                  <w:marLeft w:val="0"/>
                                  <w:marRight w:val="0"/>
                                  <w:marTop w:val="0"/>
                                  <w:marBottom w:val="0"/>
                                  <w:divBdr>
                                    <w:top w:val="none" w:sz="0" w:space="0" w:color="auto"/>
                                    <w:left w:val="none" w:sz="0" w:space="0" w:color="auto"/>
                                    <w:bottom w:val="none" w:sz="0" w:space="0" w:color="auto"/>
                                    <w:right w:val="none" w:sz="0" w:space="0" w:color="auto"/>
                                  </w:divBdr>
                                  <w:divsChild>
                                    <w:div w:id="20041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90516">
                      <w:marLeft w:val="0"/>
                      <w:marRight w:val="0"/>
                      <w:marTop w:val="0"/>
                      <w:marBottom w:val="0"/>
                      <w:divBdr>
                        <w:top w:val="none" w:sz="0" w:space="0" w:color="auto"/>
                        <w:left w:val="none" w:sz="0" w:space="0" w:color="auto"/>
                        <w:bottom w:val="none" w:sz="0" w:space="0" w:color="auto"/>
                        <w:right w:val="none" w:sz="0" w:space="0" w:color="auto"/>
                      </w:divBdr>
                      <w:divsChild>
                        <w:div w:id="64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085231">
      <w:bodyDiv w:val="1"/>
      <w:marLeft w:val="0"/>
      <w:marRight w:val="0"/>
      <w:marTop w:val="0"/>
      <w:marBottom w:val="0"/>
      <w:divBdr>
        <w:top w:val="none" w:sz="0" w:space="0" w:color="auto"/>
        <w:left w:val="none" w:sz="0" w:space="0" w:color="auto"/>
        <w:bottom w:val="none" w:sz="0" w:space="0" w:color="auto"/>
        <w:right w:val="none" w:sz="0" w:space="0" w:color="auto"/>
      </w:divBdr>
    </w:div>
    <w:div w:id="1260093332">
      <w:bodyDiv w:val="1"/>
      <w:marLeft w:val="0"/>
      <w:marRight w:val="0"/>
      <w:marTop w:val="0"/>
      <w:marBottom w:val="0"/>
      <w:divBdr>
        <w:top w:val="none" w:sz="0" w:space="0" w:color="auto"/>
        <w:left w:val="none" w:sz="0" w:space="0" w:color="auto"/>
        <w:bottom w:val="none" w:sz="0" w:space="0" w:color="auto"/>
        <w:right w:val="none" w:sz="0" w:space="0" w:color="auto"/>
      </w:divBdr>
    </w:div>
    <w:div w:id="1275284929">
      <w:bodyDiv w:val="1"/>
      <w:marLeft w:val="0"/>
      <w:marRight w:val="0"/>
      <w:marTop w:val="0"/>
      <w:marBottom w:val="0"/>
      <w:divBdr>
        <w:top w:val="none" w:sz="0" w:space="0" w:color="auto"/>
        <w:left w:val="none" w:sz="0" w:space="0" w:color="auto"/>
        <w:bottom w:val="none" w:sz="0" w:space="0" w:color="auto"/>
        <w:right w:val="none" w:sz="0" w:space="0" w:color="auto"/>
      </w:divBdr>
    </w:div>
    <w:div w:id="1301156231">
      <w:bodyDiv w:val="1"/>
      <w:marLeft w:val="0"/>
      <w:marRight w:val="0"/>
      <w:marTop w:val="0"/>
      <w:marBottom w:val="0"/>
      <w:divBdr>
        <w:top w:val="none" w:sz="0" w:space="0" w:color="auto"/>
        <w:left w:val="none" w:sz="0" w:space="0" w:color="auto"/>
        <w:bottom w:val="none" w:sz="0" w:space="0" w:color="auto"/>
        <w:right w:val="none" w:sz="0" w:space="0" w:color="auto"/>
      </w:divBdr>
    </w:div>
    <w:div w:id="1316372560">
      <w:bodyDiv w:val="1"/>
      <w:marLeft w:val="0"/>
      <w:marRight w:val="0"/>
      <w:marTop w:val="0"/>
      <w:marBottom w:val="0"/>
      <w:divBdr>
        <w:top w:val="none" w:sz="0" w:space="0" w:color="auto"/>
        <w:left w:val="none" w:sz="0" w:space="0" w:color="auto"/>
        <w:bottom w:val="none" w:sz="0" w:space="0" w:color="auto"/>
        <w:right w:val="none" w:sz="0" w:space="0" w:color="auto"/>
      </w:divBdr>
    </w:div>
    <w:div w:id="1323772651">
      <w:bodyDiv w:val="1"/>
      <w:marLeft w:val="0"/>
      <w:marRight w:val="0"/>
      <w:marTop w:val="0"/>
      <w:marBottom w:val="0"/>
      <w:divBdr>
        <w:top w:val="none" w:sz="0" w:space="0" w:color="auto"/>
        <w:left w:val="none" w:sz="0" w:space="0" w:color="auto"/>
        <w:bottom w:val="none" w:sz="0" w:space="0" w:color="auto"/>
        <w:right w:val="none" w:sz="0" w:space="0" w:color="auto"/>
      </w:divBdr>
    </w:div>
    <w:div w:id="1329284162">
      <w:bodyDiv w:val="1"/>
      <w:marLeft w:val="0"/>
      <w:marRight w:val="0"/>
      <w:marTop w:val="0"/>
      <w:marBottom w:val="0"/>
      <w:divBdr>
        <w:top w:val="none" w:sz="0" w:space="0" w:color="auto"/>
        <w:left w:val="none" w:sz="0" w:space="0" w:color="auto"/>
        <w:bottom w:val="none" w:sz="0" w:space="0" w:color="auto"/>
        <w:right w:val="none" w:sz="0" w:space="0" w:color="auto"/>
      </w:divBdr>
    </w:div>
    <w:div w:id="1332028659">
      <w:bodyDiv w:val="1"/>
      <w:marLeft w:val="0"/>
      <w:marRight w:val="0"/>
      <w:marTop w:val="0"/>
      <w:marBottom w:val="0"/>
      <w:divBdr>
        <w:top w:val="none" w:sz="0" w:space="0" w:color="auto"/>
        <w:left w:val="none" w:sz="0" w:space="0" w:color="auto"/>
        <w:bottom w:val="none" w:sz="0" w:space="0" w:color="auto"/>
        <w:right w:val="none" w:sz="0" w:space="0" w:color="auto"/>
      </w:divBdr>
      <w:divsChild>
        <w:div w:id="422845971">
          <w:marLeft w:val="0"/>
          <w:marRight w:val="0"/>
          <w:marTop w:val="0"/>
          <w:marBottom w:val="0"/>
          <w:divBdr>
            <w:top w:val="none" w:sz="0" w:space="0" w:color="auto"/>
            <w:left w:val="none" w:sz="0" w:space="0" w:color="auto"/>
            <w:bottom w:val="none" w:sz="0" w:space="0" w:color="auto"/>
            <w:right w:val="none" w:sz="0" w:space="0" w:color="auto"/>
          </w:divBdr>
          <w:divsChild>
            <w:div w:id="687412746">
              <w:marLeft w:val="0"/>
              <w:marRight w:val="0"/>
              <w:marTop w:val="0"/>
              <w:marBottom w:val="0"/>
              <w:divBdr>
                <w:top w:val="none" w:sz="0" w:space="0" w:color="auto"/>
                <w:left w:val="none" w:sz="0" w:space="0" w:color="auto"/>
                <w:bottom w:val="none" w:sz="0" w:space="0" w:color="auto"/>
                <w:right w:val="none" w:sz="0" w:space="0" w:color="auto"/>
              </w:divBdr>
              <w:divsChild>
                <w:div w:id="1181159579">
                  <w:marLeft w:val="0"/>
                  <w:marRight w:val="0"/>
                  <w:marTop w:val="0"/>
                  <w:marBottom w:val="0"/>
                  <w:divBdr>
                    <w:top w:val="none" w:sz="0" w:space="0" w:color="auto"/>
                    <w:left w:val="none" w:sz="0" w:space="0" w:color="auto"/>
                    <w:bottom w:val="none" w:sz="0" w:space="0" w:color="auto"/>
                    <w:right w:val="none" w:sz="0" w:space="0" w:color="auto"/>
                  </w:divBdr>
                  <w:divsChild>
                    <w:div w:id="1165902353">
                      <w:marLeft w:val="0"/>
                      <w:marRight w:val="0"/>
                      <w:marTop w:val="0"/>
                      <w:marBottom w:val="0"/>
                      <w:divBdr>
                        <w:top w:val="none" w:sz="0" w:space="0" w:color="auto"/>
                        <w:left w:val="none" w:sz="0" w:space="0" w:color="auto"/>
                        <w:bottom w:val="none" w:sz="0" w:space="0" w:color="auto"/>
                        <w:right w:val="none" w:sz="0" w:space="0" w:color="auto"/>
                      </w:divBdr>
                      <w:divsChild>
                        <w:div w:id="946692958">
                          <w:marLeft w:val="0"/>
                          <w:marRight w:val="0"/>
                          <w:marTop w:val="0"/>
                          <w:marBottom w:val="0"/>
                          <w:divBdr>
                            <w:top w:val="none" w:sz="0" w:space="0" w:color="auto"/>
                            <w:left w:val="none" w:sz="0" w:space="0" w:color="auto"/>
                            <w:bottom w:val="none" w:sz="0" w:space="0" w:color="auto"/>
                            <w:right w:val="none" w:sz="0" w:space="0" w:color="auto"/>
                          </w:divBdr>
                          <w:divsChild>
                            <w:div w:id="474106730">
                              <w:marLeft w:val="0"/>
                              <w:marRight w:val="0"/>
                              <w:marTop w:val="0"/>
                              <w:marBottom w:val="0"/>
                              <w:divBdr>
                                <w:top w:val="none" w:sz="0" w:space="0" w:color="auto"/>
                                <w:left w:val="none" w:sz="0" w:space="0" w:color="auto"/>
                                <w:bottom w:val="none" w:sz="0" w:space="0" w:color="auto"/>
                                <w:right w:val="none" w:sz="0" w:space="0" w:color="auto"/>
                              </w:divBdr>
                              <w:divsChild>
                                <w:div w:id="2100060041">
                                  <w:marLeft w:val="0"/>
                                  <w:marRight w:val="0"/>
                                  <w:marTop w:val="0"/>
                                  <w:marBottom w:val="0"/>
                                  <w:divBdr>
                                    <w:top w:val="none" w:sz="0" w:space="0" w:color="auto"/>
                                    <w:left w:val="none" w:sz="0" w:space="0" w:color="auto"/>
                                    <w:bottom w:val="none" w:sz="0" w:space="0" w:color="auto"/>
                                    <w:right w:val="none" w:sz="0" w:space="0" w:color="auto"/>
                                  </w:divBdr>
                                  <w:divsChild>
                                    <w:div w:id="4755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50396">
                      <w:marLeft w:val="0"/>
                      <w:marRight w:val="0"/>
                      <w:marTop w:val="0"/>
                      <w:marBottom w:val="0"/>
                      <w:divBdr>
                        <w:top w:val="none" w:sz="0" w:space="0" w:color="auto"/>
                        <w:left w:val="none" w:sz="0" w:space="0" w:color="auto"/>
                        <w:bottom w:val="none" w:sz="0" w:space="0" w:color="auto"/>
                        <w:right w:val="none" w:sz="0" w:space="0" w:color="auto"/>
                      </w:divBdr>
                      <w:divsChild>
                        <w:div w:id="5725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861387">
      <w:bodyDiv w:val="1"/>
      <w:marLeft w:val="0"/>
      <w:marRight w:val="0"/>
      <w:marTop w:val="0"/>
      <w:marBottom w:val="0"/>
      <w:divBdr>
        <w:top w:val="none" w:sz="0" w:space="0" w:color="auto"/>
        <w:left w:val="none" w:sz="0" w:space="0" w:color="auto"/>
        <w:bottom w:val="none" w:sz="0" w:space="0" w:color="auto"/>
        <w:right w:val="none" w:sz="0" w:space="0" w:color="auto"/>
      </w:divBdr>
      <w:divsChild>
        <w:div w:id="1488782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779727">
      <w:bodyDiv w:val="1"/>
      <w:marLeft w:val="0"/>
      <w:marRight w:val="0"/>
      <w:marTop w:val="0"/>
      <w:marBottom w:val="0"/>
      <w:divBdr>
        <w:top w:val="none" w:sz="0" w:space="0" w:color="auto"/>
        <w:left w:val="none" w:sz="0" w:space="0" w:color="auto"/>
        <w:bottom w:val="none" w:sz="0" w:space="0" w:color="auto"/>
        <w:right w:val="none" w:sz="0" w:space="0" w:color="auto"/>
      </w:divBdr>
    </w:div>
    <w:div w:id="1424111663">
      <w:bodyDiv w:val="1"/>
      <w:marLeft w:val="0"/>
      <w:marRight w:val="0"/>
      <w:marTop w:val="0"/>
      <w:marBottom w:val="0"/>
      <w:divBdr>
        <w:top w:val="none" w:sz="0" w:space="0" w:color="auto"/>
        <w:left w:val="none" w:sz="0" w:space="0" w:color="auto"/>
        <w:bottom w:val="none" w:sz="0" w:space="0" w:color="auto"/>
        <w:right w:val="none" w:sz="0" w:space="0" w:color="auto"/>
      </w:divBdr>
    </w:div>
    <w:div w:id="1441224350">
      <w:bodyDiv w:val="1"/>
      <w:marLeft w:val="0"/>
      <w:marRight w:val="0"/>
      <w:marTop w:val="0"/>
      <w:marBottom w:val="0"/>
      <w:divBdr>
        <w:top w:val="none" w:sz="0" w:space="0" w:color="auto"/>
        <w:left w:val="none" w:sz="0" w:space="0" w:color="auto"/>
        <w:bottom w:val="none" w:sz="0" w:space="0" w:color="auto"/>
        <w:right w:val="none" w:sz="0" w:space="0" w:color="auto"/>
      </w:divBdr>
    </w:div>
    <w:div w:id="1459178487">
      <w:bodyDiv w:val="1"/>
      <w:marLeft w:val="0"/>
      <w:marRight w:val="0"/>
      <w:marTop w:val="0"/>
      <w:marBottom w:val="0"/>
      <w:divBdr>
        <w:top w:val="none" w:sz="0" w:space="0" w:color="auto"/>
        <w:left w:val="none" w:sz="0" w:space="0" w:color="auto"/>
        <w:bottom w:val="none" w:sz="0" w:space="0" w:color="auto"/>
        <w:right w:val="none" w:sz="0" w:space="0" w:color="auto"/>
      </w:divBdr>
    </w:div>
    <w:div w:id="1473909783">
      <w:bodyDiv w:val="1"/>
      <w:marLeft w:val="0"/>
      <w:marRight w:val="0"/>
      <w:marTop w:val="0"/>
      <w:marBottom w:val="0"/>
      <w:divBdr>
        <w:top w:val="none" w:sz="0" w:space="0" w:color="auto"/>
        <w:left w:val="none" w:sz="0" w:space="0" w:color="auto"/>
        <w:bottom w:val="none" w:sz="0" w:space="0" w:color="auto"/>
        <w:right w:val="none" w:sz="0" w:space="0" w:color="auto"/>
      </w:divBdr>
    </w:div>
    <w:div w:id="1478454211">
      <w:bodyDiv w:val="1"/>
      <w:marLeft w:val="0"/>
      <w:marRight w:val="0"/>
      <w:marTop w:val="0"/>
      <w:marBottom w:val="0"/>
      <w:divBdr>
        <w:top w:val="none" w:sz="0" w:space="0" w:color="auto"/>
        <w:left w:val="none" w:sz="0" w:space="0" w:color="auto"/>
        <w:bottom w:val="none" w:sz="0" w:space="0" w:color="auto"/>
        <w:right w:val="none" w:sz="0" w:space="0" w:color="auto"/>
      </w:divBdr>
    </w:div>
    <w:div w:id="1491943394">
      <w:bodyDiv w:val="1"/>
      <w:marLeft w:val="0"/>
      <w:marRight w:val="0"/>
      <w:marTop w:val="0"/>
      <w:marBottom w:val="0"/>
      <w:divBdr>
        <w:top w:val="none" w:sz="0" w:space="0" w:color="auto"/>
        <w:left w:val="none" w:sz="0" w:space="0" w:color="auto"/>
        <w:bottom w:val="none" w:sz="0" w:space="0" w:color="auto"/>
        <w:right w:val="none" w:sz="0" w:space="0" w:color="auto"/>
      </w:divBdr>
    </w:div>
    <w:div w:id="1493907127">
      <w:bodyDiv w:val="1"/>
      <w:marLeft w:val="0"/>
      <w:marRight w:val="0"/>
      <w:marTop w:val="0"/>
      <w:marBottom w:val="0"/>
      <w:divBdr>
        <w:top w:val="none" w:sz="0" w:space="0" w:color="auto"/>
        <w:left w:val="none" w:sz="0" w:space="0" w:color="auto"/>
        <w:bottom w:val="none" w:sz="0" w:space="0" w:color="auto"/>
        <w:right w:val="none" w:sz="0" w:space="0" w:color="auto"/>
      </w:divBdr>
    </w:div>
    <w:div w:id="1527258778">
      <w:bodyDiv w:val="1"/>
      <w:marLeft w:val="0"/>
      <w:marRight w:val="0"/>
      <w:marTop w:val="0"/>
      <w:marBottom w:val="0"/>
      <w:divBdr>
        <w:top w:val="none" w:sz="0" w:space="0" w:color="auto"/>
        <w:left w:val="none" w:sz="0" w:space="0" w:color="auto"/>
        <w:bottom w:val="none" w:sz="0" w:space="0" w:color="auto"/>
        <w:right w:val="none" w:sz="0" w:space="0" w:color="auto"/>
      </w:divBdr>
      <w:divsChild>
        <w:div w:id="1226144295">
          <w:marLeft w:val="0"/>
          <w:marRight w:val="0"/>
          <w:marTop w:val="0"/>
          <w:marBottom w:val="0"/>
          <w:divBdr>
            <w:top w:val="none" w:sz="0" w:space="0" w:color="auto"/>
            <w:left w:val="none" w:sz="0" w:space="0" w:color="auto"/>
            <w:bottom w:val="none" w:sz="0" w:space="0" w:color="auto"/>
            <w:right w:val="none" w:sz="0" w:space="0" w:color="auto"/>
          </w:divBdr>
          <w:divsChild>
            <w:div w:id="1489319505">
              <w:marLeft w:val="0"/>
              <w:marRight w:val="0"/>
              <w:marTop w:val="0"/>
              <w:marBottom w:val="0"/>
              <w:divBdr>
                <w:top w:val="none" w:sz="0" w:space="0" w:color="auto"/>
                <w:left w:val="none" w:sz="0" w:space="0" w:color="auto"/>
                <w:bottom w:val="none" w:sz="0" w:space="0" w:color="auto"/>
                <w:right w:val="none" w:sz="0" w:space="0" w:color="auto"/>
              </w:divBdr>
              <w:divsChild>
                <w:div w:id="1937664230">
                  <w:marLeft w:val="0"/>
                  <w:marRight w:val="0"/>
                  <w:marTop w:val="0"/>
                  <w:marBottom w:val="0"/>
                  <w:divBdr>
                    <w:top w:val="none" w:sz="0" w:space="0" w:color="auto"/>
                    <w:left w:val="none" w:sz="0" w:space="0" w:color="auto"/>
                    <w:bottom w:val="none" w:sz="0" w:space="0" w:color="auto"/>
                    <w:right w:val="none" w:sz="0" w:space="0" w:color="auto"/>
                  </w:divBdr>
                  <w:divsChild>
                    <w:div w:id="1115709229">
                      <w:marLeft w:val="0"/>
                      <w:marRight w:val="0"/>
                      <w:marTop w:val="0"/>
                      <w:marBottom w:val="0"/>
                      <w:divBdr>
                        <w:top w:val="none" w:sz="0" w:space="0" w:color="auto"/>
                        <w:left w:val="none" w:sz="0" w:space="0" w:color="auto"/>
                        <w:bottom w:val="none" w:sz="0" w:space="0" w:color="auto"/>
                        <w:right w:val="none" w:sz="0" w:space="0" w:color="auto"/>
                      </w:divBdr>
                      <w:divsChild>
                        <w:div w:id="389109854">
                          <w:marLeft w:val="0"/>
                          <w:marRight w:val="0"/>
                          <w:marTop w:val="0"/>
                          <w:marBottom w:val="0"/>
                          <w:divBdr>
                            <w:top w:val="none" w:sz="0" w:space="0" w:color="auto"/>
                            <w:left w:val="none" w:sz="0" w:space="0" w:color="auto"/>
                            <w:bottom w:val="none" w:sz="0" w:space="0" w:color="auto"/>
                            <w:right w:val="none" w:sz="0" w:space="0" w:color="auto"/>
                          </w:divBdr>
                          <w:divsChild>
                            <w:div w:id="620693378">
                              <w:marLeft w:val="0"/>
                              <w:marRight w:val="0"/>
                              <w:marTop w:val="0"/>
                              <w:marBottom w:val="0"/>
                              <w:divBdr>
                                <w:top w:val="none" w:sz="0" w:space="0" w:color="auto"/>
                                <w:left w:val="none" w:sz="0" w:space="0" w:color="auto"/>
                                <w:bottom w:val="none" w:sz="0" w:space="0" w:color="auto"/>
                                <w:right w:val="none" w:sz="0" w:space="0" w:color="auto"/>
                              </w:divBdr>
                              <w:divsChild>
                                <w:div w:id="1988434169">
                                  <w:marLeft w:val="0"/>
                                  <w:marRight w:val="0"/>
                                  <w:marTop w:val="0"/>
                                  <w:marBottom w:val="0"/>
                                  <w:divBdr>
                                    <w:top w:val="none" w:sz="0" w:space="0" w:color="auto"/>
                                    <w:left w:val="none" w:sz="0" w:space="0" w:color="auto"/>
                                    <w:bottom w:val="none" w:sz="0" w:space="0" w:color="auto"/>
                                    <w:right w:val="none" w:sz="0" w:space="0" w:color="auto"/>
                                  </w:divBdr>
                                  <w:divsChild>
                                    <w:div w:id="10372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051698">
                      <w:marLeft w:val="0"/>
                      <w:marRight w:val="0"/>
                      <w:marTop w:val="0"/>
                      <w:marBottom w:val="0"/>
                      <w:divBdr>
                        <w:top w:val="none" w:sz="0" w:space="0" w:color="auto"/>
                        <w:left w:val="none" w:sz="0" w:space="0" w:color="auto"/>
                        <w:bottom w:val="none" w:sz="0" w:space="0" w:color="auto"/>
                        <w:right w:val="none" w:sz="0" w:space="0" w:color="auto"/>
                      </w:divBdr>
                      <w:divsChild>
                        <w:div w:id="14525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416033">
      <w:bodyDiv w:val="1"/>
      <w:marLeft w:val="0"/>
      <w:marRight w:val="0"/>
      <w:marTop w:val="0"/>
      <w:marBottom w:val="0"/>
      <w:divBdr>
        <w:top w:val="none" w:sz="0" w:space="0" w:color="auto"/>
        <w:left w:val="none" w:sz="0" w:space="0" w:color="auto"/>
        <w:bottom w:val="none" w:sz="0" w:space="0" w:color="auto"/>
        <w:right w:val="none" w:sz="0" w:space="0" w:color="auto"/>
      </w:divBdr>
    </w:div>
    <w:div w:id="1587613998">
      <w:bodyDiv w:val="1"/>
      <w:marLeft w:val="0"/>
      <w:marRight w:val="0"/>
      <w:marTop w:val="0"/>
      <w:marBottom w:val="0"/>
      <w:divBdr>
        <w:top w:val="none" w:sz="0" w:space="0" w:color="auto"/>
        <w:left w:val="none" w:sz="0" w:space="0" w:color="auto"/>
        <w:bottom w:val="none" w:sz="0" w:space="0" w:color="auto"/>
        <w:right w:val="none" w:sz="0" w:space="0" w:color="auto"/>
      </w:divBdr>
      <w:divsChild>
        <w:div w:id="1814716228">
          <w:marLeft w:val="0"/>
          <w:marRight w:val="0"/>
          <w:marTop w:val="0"/>
          <w:marBottom w:val="0"/>
          <w:divBdr>
            <w:top w:val="none" w:sz="0" w:space="0" w:color="auto"/>
            <w:left w:val="none" w:sz="0" w:space="0" w:color="auto"/>
            <w:bottom w:val="none" w:sz="0" w:space="0" w:color="auto"/>
            <w:right w:val="none" w:sz="0" w:space="0" w:color="auto"/>
          </w:divBdr>
          <w:divsChild>
            <w:div w:id="1314065128">
              <w:marLeft w:val="0"/>
              <w:marRight w:val="0"/>
              <w:marTop w:val="0"/>
              <w:marBottom w:val="0"/>
              <w:divBdr>
                <w:top w:val="none" w:sz="0" w:space="0" w:color="auto"/>
                <w:left w:val="none" w:sz="0" w:space="0" w:color="auto"/>
                <w:bottom w:val="none" w:sz="0" w:space="0" w:color="auto"/>
                <w:right w:val="none" w:sz="0" w:space="0" w:color="auto"/>
              </w:divBdr>
              <w:divsChild>
                <w:div w:id="315376720">
                  <w:marLeft w:val="0"/>
                  <w:marRight w:val="0"/>
                  <w:marTop w:val="0"/>
                  <w:marBottom w:val="0"/>
                  <w:divBdr>
                    <w:top w:val="none" w:sz="0" w:space="0" w:color="auto"/>
                    <w:left w:val="none" w:sz="0" w:space="0" w:color="auto"/>
                    <w:bottom w:val="none" w:sz="0" w:space="0" w:color="auto"/>
                    <w:right w:val="none" w:sz="0" w:space="0" w:color="auto"/>
                  </w:divBdr>
                  <w:divsChild>
                    <w:div w:id="1947497577">
                      <w:marLeft w:val="0"/>
                      <w:marRight w:val="0"/>
                      <w:marTop w:val="0"/>
                      <w:marBottom w:val="0"/>
                      <w:divBdr>
                        <w:top w:val="none" w:sz="0" w:space="0" w:color="auto"/>
                        <w:left w:val="none" w:sz="0" w:space="0" w:color="auto"/>
                        <w:bottom w:val="none" w:sz="0" w:space="0" w:color="auto"/>
                        <w:right w:val="none" w:sz="0" w:space="0" w:color="auto"/>
                      </w:divBdr>
                      <w:divsChild>
                        <w:div w:id="144207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735255">
      <w:bodyDiv w:val="1"/>
      <w:marLeft w:val="0"/>
      <w:marRight w:val="0"/>
      <w:marTop w:val="0"/>
      <w:marBottom w:val="0"/>
      <w:divBdr>
        <w:top w:val="none" w:sz="0" w:space="0" w:color="auto"/>
        <w:left w:val="none" w:sz="0" w:space="0" w:color="auto"/>
        <w:bottom w:val="none" w:sz="0" w:space="0" w:color="auto"/>
        <w:right w:val="none" w:sz="0" w:space="0" w:color="auto"/>
      </w:divBdr>
    </w:div>
    <w:div w:id="1598250216">
      <w:bodyDiv w:val="1"/>
      <w:marLeft w:val="0"/>
      <w:marRight w:val="0"/>
      <w:marTop w:val="0"/>
      <w:marBottom w:val="0"/>
      <w:divBdr>
        <w:top w:val="none" w:sz="0" w:space="0" w:color="auto"/>
        <w:left w:val="none" w:sz="0" w:space="0" w:color="auto"/>
        <w:bottom w:val="none" w:sz="0" w:space="0" w:color="auto"/>
        <w:right w:val="none" w:sz="0" w:space="0" w:color="auto"/>
      </w:divBdr>
    </w:div>
    <w:div w:id="1598828568">
      <w:bodyDiv w:val="1"/>
      <w:marLeft w:val="0"/>
      <w:marRight w:val="0"/>
      <w:marTop w:val="0"/>
      <w:marBottom w:val="0"/>
      <w:divBdr>
        <w:top w:val="none" w:sz="0" w:space="0" w:color="auto"/>
        <w:left w:val="none" w:sz="0" w:space="0" w:color="auto"/>
        <w:bottom w:val="none" w:sz="0" w:space="0" w:color="auto"/>
        <w:right w:val="none" w:sz="0" w:space="0" w:color="auto"/>
      </w:divBdr>
    </w:div>
    <w:div w:id="1610549598">
      <w:bodyDiv w:val="1"/>
      <w:marLeft w:val="0"/>
      <w:marRight w:val="0"/>
      <w:marTop w:val="0"/>
      <w:marBottom w:val="0"/>
      <w:divBdr>
        <w:top w:val="none" w:sz="0" w:space="0" w:color="auto"/>
        <w:left w:val="none" w:sz="0" w:space="0" w:color="auto"/>
        <w:bottom w:val="none" w:sz="0" w:space="0" w:color="auto"/>
        <w:right w:val="none" w:sz="0" w:space="0" w:color="auto"/>
      </w:divBdr>
    </w:div>
    <w:div w:id="1615090051">
      <w:bodyDiv w:val="1"/>
      <w:marLeft w:val="0"/>
      <w:marRight w:val="0"/>
      <w:marTop w:val="0"/>
      <w:marBottom w:val="0"/>
      <w:divBdr>
        <w:top w:val="none" w:sz="0" w:space="0" w:color="auto"/>
        <w:left w:val="none" w:sz="0" w:space="0" w:color="auto"/>
        <w:bottom w:val="none" w:sz="0" w:space="0" w:color="auto"/>
        <w:right w:val="none" w:sz="0" w:space="0" w:color="auto"/>
      </w:divBdr>
    </w:div>
    <w:div w:id="1615285892">
      <w:bodyDiv w:val="1"/>
      <w:marLeft w:val="0"/>
      <w:marRight w:val="0"/>
      <w:marTop w:val="0"/>
      <w:marBottom w:val="0"/>
      <w:divBdr>
        <w:top w:val="none" w:sz="0" w:space="0" w:color="auto"/>
        <w:left w:val="none" w:sz="0" w:space="0" w:color="auto"/>
        <w:bottom w:val="none" w:sz="0" w:space="0" w:color="auto"/>
        <w:right w:val="none" w:sz="0" w:space="0" w:color="auto"/>
      </w:divBdr>
    </w:div>
    <w:div w:id="1624724619">
      <w:bodyDiv w:val="1"/>
      <w:marLeft w:val="0"/>
      <w:marRight w:val="0"/>
      <w:marTop w:val="0"/>
      <w:marBottom w:val="0"/>
      <w:divBdr>
        <w:top w:val="none" w:sz="0" w:space="0" w:color="auto"/>
        <w:left w:val="none" w:sz="0" w:space="0" w:color="auto"/>
        <w:bottom w:val="none" w:sz="0" w:space="0" w:color="auto"/>
        <w:right w:val="none" w:sz="0" w:space="0" w:color="auto"/>
      </w:divBdr>
    </w:div>
    <w:div w:id="1624995192">
      <w:bodyDiv w:val="1"/>
      <w:marLeft w:val="0"/>
      <w:marRight w:val="0"/>
      <w:marTop w:val="0"/>
      <w:marBottom w:val="0"/>
      <w:divBdr>
        <w:top w:val="none" w:sz="0" w:space="0" w:color="auto"/>
        <w:left w:val="none" w:sz="0" w:space="0" w:color="auto"/>
        <w:bottom w:val="none" w:sz="0" w:space="0" w:color="auto"/>
        <w:right w:val="none" w:sz="0" w:space="0" w:color="auto"/>
      </w:divBdr>
    </w:div>
    <w:div w:id="1633906651">
      <w:bodyDiv w:val="1"/>
      <w:marLeft w:val="0"/>
      <w:marRight w:val="0"/>
      <w:marTop w:val="0"/>
      <w:marBottom w:val="0"/>
      <w:divBdr>
        <w:top w:val="none" w:sz="0" w:space="0" w:color="auto"/>
        <w:left w:val="none" w:sz="0" w:space="0" w:color="auto"/>
        <w:bottom w:val="none" w:sz="0" w:space="0" w:color="auto"/>
        <w:right w:val="none" w:sz="0" w:space="0" w:color="auto"/>
      </w:divBdr>
    </w:div>
    <w:div w:id="1688410393">
      <w:bodyDiv w:val="1"/>
      <w:marLeft w:val="0"/>
      <w:marRight w:val="0"/>
      <w:marTop w:val="0"/>
      <w:marBottom w:val="0"/>
      <w:divBdr>
        <w:top w:val="none" w:sz="0" w:space="0" w:color="auto"/>
        <w:left w:val="none" w:sz="0" w:space="0" w:color="auto"/>
        <w:bottom w:val="none" w:sz="0" w:space="0" w:color="auto"/>
        <w:right w:val="none" w:sz="0" w:space="0" w:color="auto"/>
      </w:divBdr>
    </w:div>
    <w:div w:id="1696147959">
      <w:bodyDiv w:val="1"/>
      <w:marLeft w:val="0"/>
      <w:marRight w:val="0"/>
      <w:marTop w:val="0"/>
      <w:marBottom w:val="0"/>
      <w:divBdr>
        <w:top w:val="none" w:sz="0" w:space="0" w:color="auto"/>
        <w:left w:val="none" w:sz="0" w:space="0" w:color="auto"/>
        <w:bottom w:val="none" w:sz="0" w:space="0" w:color="auto"/>
        <w:right w:val="none" w:sz="0" w:space="0" w:color="auto"/>
      </w:divBdr>
    </w:div>
    <w:div w:id="1699357864">
      <w:bodyDiv w:val="1"/>
      <w:marLeft w:val="0"/>
      <w:marRight w:val="0"/>
      <w:marTop w:val="0"/>
      <w:marBottom w:val="0"/>
      <w:divBdr>
        <w:top w:val="none" w:sz="0" w:space="0" w:color="auto"/>
        <w:left w:val="none" w:sz="0" w:space="0" w:color="auto"/>
        <w:bottom w:val="none" w:sz="0" w:space="0" w:color="auto"/>
        <w:right w:val="none" w:sz="0" w:space="0" w:color="auto"/>
      </w:divBdr>
    </w:div>
    <w:div w:id="1708675522">
      <w:bodyDiv w:val="1"/>
      <w:marLeft w:val="0"/>
      <w:marRight w:val="0"/>
      <w:marTop w:val="0"/>
      <w:marBottom w:val="0"/>
      <w:divBdr>
        <w:top w:val="none" w:sz="0" w:space="0" w:color="auto"/>
        <w:left w:val="none" w:sz="0" w:space="0" w:color="auto"/>
        <w:bottom w:val="none" w:sz="0" w:space="0" w:color="auto"/>
        <w:right w:val="none" w:sz="0" w:space="0" w:color="auto"/>
      </w:divBdr>
    </w:div>
    <w:div w:id="1718237509">
      <w:bodyDiv w:val="1"/>
      <w:marLeft w:val="0"/>
      <w:marRight w:val="0"/>
      <w:marTop w:val="0"/>
      <w:marBottom w:val="0"/>
      <w:divBdr>
        <w:top w:val="none" w:sz="0" w:space="0" w:color="auto"/>
        <w:left w:val="none" w:sz="0" w:space="0" w:color="auto"/>
        <w:bottom w:val="none" w:sz="0" w:space="0" w:color="auto"/>
        <w:right w:val="none" w:sz="0" w:space="0" w:color="auto"/>
      </w:divBdr>
    </w:div>
    <w:div w:id="1764181530">
      <w:bodyDiv w:val="1"/>
      <w:marLeft w:val="0"/>
      <w:marRight w:val="0"/>
      <w:marTop w:val="0"/>
      <w:marBottom w:val="0"/>
      <w:divBdr>
        <w:top w:val="none" w:sz="0" w:space="0" w:color="auto"/>
        <w:left w:val="none" w:sz="0" w:space="0" w:color="auto"/>
        <w:bottom w:val="none" w:sz="0" w:space="0" w:color="auto"/>
        <w:right w:val="none" w:sz="0" w:space="0" w:color="auto"/>
      </w:divBdr>
    </w:div>
    <w:div w:id="1766266275">
      <w:bodyDiv w:val="1"/>
      <w:marLeft w:val="0"/>
      <w:marRight w:val="0"/>
      <w:marTop w:val="0"/>
      <w:marBottom w:val="0"/>
      <w:divBdr>
        <w:top w:val="none" w:sz="0" w:space="0" w:color="auto"/>
        <w:left w:val="none" w:sz="0" w:space="0" w:color="auto"/>
        <w:bottom w:val="none" w:sz="0" w:space="0" w:color="auto"/>
        <w:right w:val="none" w:sz="0" w:space="0" w:color="auto"/>
      </w:divBdr>
    </w:div>
    <w:div w:id="1776712650">
      <w:bodyDiv w:val="1"/>
      <w:marLeft w:val="0"/>
      <w:marRight w:val="0"/>
      <w:marTop w:val="0"/>
      <w:marBottom w:val="0"/>
      <w:divBdr>
        <w:top w:val="none" w:sz="0" w:space="0" w:color="auto"/>
        <w:left w:val="none" w:sz="0" w:space="0" w:color="auto"/>
        <w:bottom w:val="none" w:sz="0" w:space="0" w:color="auto"/>
        <w:right w:val="none" w:sz="0" w:space="0" w:color="auto"/>
      </w:divBdr>
    </w:div>
    <w:div w:id="1789665571">
      <w:bodyDiv w:val="1"/>
      <w:marLeft w:val="0"/>
      <w:marRight w:val="0"/>
      <w:marTop w:val="0"/>
      <w:marBottom w:val="0"/>
      <w:divBdr>
        <w:top w:val="none" w:sz="0" w:space="0" w:color="auto"/>
        <w:left w:val="none" w:sz="0" w:space="0" w:color="auto"/>
        <w:bottom w:val="none" w:sz="0" w:space="0" w:color="auto"/>
        <w:right w:val="none" w:sz="0" w:space="0" w:color="auto"/>
      </w:divBdr>
    </w:div>
    <w:div w:id="1797672655">
      <w:bodyDiv w:val="1"/>
      <w:marLeft w:val="0"/>
      <w:marRight w:val="0"/>
      <w:marTop w:val="0"/>
      <w:marBottom w:val="0"/>
      <w:divBdr>
        <w:top w:val="none" w:sz="0" w:space="0" w:color="auto"/>
        <w:left w:val="none" w:sz="0" w:space="0" w:color="auto"/>
        <w:bottom w:val="none" w:sz="0" w:space="0" w:color="auto"/>
        <w:right w:val="none" w:sz="0" w:space="0" w:color="auto"/>
      </w:divBdr>
    </w:div>
    <w:div w:id="1804928730">
      <w:bodyDiv w:val="1"/>
      <w:marLeft w:val="0"/>
      <w:marRight w:val="0"/>
      <w:marTop w:val="0"/>
      <w:marBottom w:val="0"/>
      <w:divBdr>
        <w:top w:val="none" w:sz="0" w:space="0" w:color="auto"/>
        <w:left w:val="none" w:sz="0" w:space="0" w:color="auto"/>
        <w:bottom w:val="none" w:sz="0" w:space="0" w:color="auto"/>
        <w:right w:val="none" w:sz="0" w:space="0" w:color="auto"/>
      </w:divBdr>
    </w:div>
    <w:div w:id="1811753023">
      <w:bodyDiv w:val="1"/>
      <w:marLeft w:val="0"/>
      <w:marRight w:val="0"/>
      <w:marTop w:val="0"/>
      <w:marBottom w:val="0"/>
      <w:divBdr>
        <w:top w:val="none" w:sz="0" w:space="0" w:color="auto"/>
        <w:left w:val="none" w:sz="0" w:space="0" w:color="auto"/>
        <w:bottom w:val="none" w:sz="0" w:space="0" w:color="auto"/>
        <w:right w:val="none" w:sz="0" w:space="0" w:color="auto"/>
      </w:divBdr>
    </w:div>
    <w:div w:id="1816407751">
      <w:bodyDiv w:val="1"/>
      <w:marLeft w:val="0"/>
      <w:marRight w:val="0"/>
      <w:marTop w:val="0"/>
      <w:marBottom w:val="0"/>
      <w:divBdr>
        <w:top w:val="none" w:sz="0" w:space="0" w:color="auto"/>
        <w:left w:val="none" w:sz="0" w:space="0" w:color="auto"/>
        <w:bottom w:val="none" w:sz="0" w:space="0" w:color="auto"/>
        <w:right w:val="none" w:sz="0" w:space="0" w:color="auto"/>
      </w:divBdr>
    </w:div>
    <w:div w:id="1850874893">
      <w:bodyDiv w:val="1"/>
      <w:marLeft w:val="0"/>
      <w:marRight w:val="0"/>
      <w:marTop w:val="0"/>
      <w:marBottom w:val="0"/>
      <w:divBdr>
        <w:top w:val="none" w:sz="0" w:space="0" w:color="auto"/>
        <w:left w:val="none" w:sz="0" w:space="0" w:color="auto"/>
        <w:bottom w:val="none" w:sz="0" w:space="0" w:color="auto"/>
        <w:right w:val="none" w:sz="0" w:space="0" w:color="auto"/>
      </w:divBdr>
    </w:div>
    <w:div w:id="1871413117">
      <w:bodyDiv w:val="1"/>
      <w:marLeft w:val="0"/>
      <w:marRight w:val="0"/>
      <w:marTop w:val="0"/>
      <w:marBottom w:val="0"/>
      <w:divBdr>
        <w:top w:val="none" w:sz="0" w:space="0" w:color="auto"/>
        <w:left w:val="none" w:sz="0" w:space="0" w:color="auto"/>
        <w:bottom w:val="none" w:sz="0" w:space="0" w:color="auto"/>
        <w:right w:val="none" w:sz="0" w:space="0" w:color="auto"/>
      </w:divBdr>
    </w:div>
    <w:div w:id="1875194686">
      <w:bodyDiv w:val="1"/>
      <w:marLeft w:val="0"/>
      <w:marRight w:val="0"/>
      <w:marTop w:val="0"/>
      <w:marBottom w:val="0"/>
      <w:divBdr>
        <w:top w:val="none" w:sz="0" w:space="0" w:color="auto"/>
        <w:left w:val="none" w:sz="0" w:space="0" w:color="auto"/>
        <w:bottom w:val="none" w:sz="0" w:space="0" w:color="auto"/>
        <w:right w:val="none" w:sz="0" w:space="0" w:color="auto"/>
      </w:divBdr>
    </w:div>
    <w:div w:id="1877500008">
      <w:bodyDiv w:val="1"/>
      <w:marLeft w:val="0"/>
      <w:marRight w:val="0"/>
      <w:marTop w:val="0"/>
      <w:marBottom w:val="0"/>
      <w:divBdr>
        <w:top w:val="none" w:sz="0" w:space="0" w:color="auto"/>
        <w:left w:val="none" w:sz="0" w:space="0" w:color="auto"/>
        <w:bottom w:val="none" w:sz="0" w:space="0" w:color="auto"/>
        <w:right w:val="none" w:sz="0" w:space="0" w:color="auto"/>
      </w:divBdr>
    </w:div>
    <w:div w:id="1882743216">
      <w:bodyDiv w:val="1"/>
      <w:marLeft w:val="0"/>
      <w:marRight w:val="0"/>
      <w:marTop w:val="0"/>
      <w:marBottom w:val="0"/>
      <w:divBdr>
        <w:top w:val="none" w:sz="0" w:space="0" w:color="auto"/>
        <w:left w:val="none" w:sz="0" w:space="0" w:color="auto"/>
        <w:bottom w:val="none" w:sz="0" w:space="0" w:color="auto"/>
        <w:right w:val="none" w:sz="0" w:space="0" w:color="auto"/>
      </w:divBdr>
    </w:div>
    <w:div w:id="1893736607">
      <w:bodyDiv w:val="1"/>
      <w:marLeft w:val="0"/>
      <w:marRight w:val="0"/>
      <w:marTop w:val="0"/>
      <w:marBottom w:val="0"/>
      <w:divBdr>
        <w:top w:val="none" w:sz="0" w:space="0" w:color="auto"/>
        <w:left w:val="none" w:sz="0" w:space="0" w:color="auto"/>
        <w:bottom w:val="none" w:sz="0" w:space="0" w:color="auto"/>
        <w:right w:val="none" w:sz="0" w:space="0" w:color="auto"/>
      </w:divBdr>
    </w:div>
    <w:div w:id="1906332694">
      <w:bodyDiv w:val="1"/>
      <w:marLeft w:val="0"/>
      <w:marRight w:val="0"/>
      <w:marTop w:val="0"/>
      <w:marBottom w:val="0"/>
      <w:divBdr>
        <w:top w:val="none" w:sz="0" w:space="0" w:color="auto"/>
        <w:left w:val="none" w:sz="0" w:space="0" w:color="auto"/>
        <w:bottom w:val="none" w:sz="0" w:space="0" w:color="auto"/>
        <w:right w:val="none" w:sz="0" w:space="0" w:color="auto"/>
      </w:divBdr>
    </w:div>
    <w:div w:id="1919441562">
      <w:bodyDiv w:val="1"/>
      <w:marLeft w:val="0"/>
      <w:marRight w:val="0"/>
      <w:marTop w:val="0"/>
      <w:marBottom w:val="0"/>
      <w:divBdr>
        <w:top w:val="none" w:sz="0" w:space="0" w:color="auto"/>
        <w:left w:val="none" w:sz="0" w:space="0" w:color="auto"/>
        <w:bottom w:val="none" w:sz="0" w:space="0" w:color="auto"/>
        <w:right w:val="none" w:sz="0" w:space="0" w:color="auto"/>
      </w:divBdr>
    </w:div>
    <w:div w:id="1922913217">
      <w:bodyDiv w:val="1"/>
      <w:marLeft w:val="0"/>
      <w:marRight w:val="0"/>
      <w:marTop w:val="0"/>
      <w:marBottom w:val="0"/>
      <w:divBdr>
        <w:top w:val="none" w:sz="0" w:space="0" w:color="auto"/>
        <w:left w:val="none" w:sz="0" w:space="0" w:color="auto"/>
        <w:bottom w:val="none" w:sz="0" w:space="0" w:color="auto"/>
        <w:right w:val="none" w:sz="0" w:space="0" w:color="auto"/>
      </w:divBdr>
    </w:div>
    <w:div w:id="1944604373">
      <w:bodyDiv w:val="1"/>
      <w:marLeft w:val="0"/>
      <w:marRight w:val="0"/>
      <w:marTop w:val="0"/>
      <w:marBottom w:val="0"/>
      <w:divBdr>
        <w:top w:val="none" w:sz="0" w:space="0" w:color="auto"/>
        <w:left w:val="none" w:sz="0" w:space="0" w:color="auto"/>
        <w:bottom w:val="none" w:sz="0" w:space="0" w:color="auto"/>
        <w:right w:val="none" w:sz="0" w:space="0" w:color="auto"/>
      </w:divBdr>
    </w:div>
    <w:div w:id="1965653092">
      <w:bodyDiv w:val="1"/>
      <w:marLeft w:val="0"/>
      <w:marRight w:val="0"/>
      <w:marTop w:val="0"/>
      <w:marBottom w:val="0"/>
      <w:divBdr>
        <w:top w:val="none" w:sz="0" w:space="0" w:color="auto"/>
        <w:left w:val="none" w:sz="0" w:space="0" w:color="auto"/>
        <w:bottom w:val="none" w:sz="0" w:space="0" w:color="auto"/>
        <w:right w:val="none" w:sz="0" w:space="0" w:color="auto"/>
      </w:divBdr>
    </w:div>
    <w:div w:id="2018919730">
      <w:bodyDiv w:val="1"/>
      <w:marLeft w:val="0"/>
      <w:marRight w:val="0"/>
      <w:marTop w:val="0"/>
      <w:marBottom w:val="0"/>
      <w:divBdr>
        <w:top w:val="none" w:sz="0" w:space="0" w:color="auto"/>
        <w:left w:val="none" w:sz="0" w:space="0" w:color="auto"/>
        <w:bottom w:val="none" w:sz="0" w:space="0" w:color="auto"/>
        <w:right w:val="none" w:sz="0" w:space="0" w:color="auto"/>
      </w:divBdr>
    </w:div>
    <w:div w:id="2063745394">
      <w:bodyDiv w:val="1"/>
      <w:marLeft w:val="0"/>
      <w:marRight w:val="0"/>
      <w:marTop w:val="0"/>
      <w:marBottom w:val="0"/>
      <w:divBdr>
        <w:top w:val="none" w:sz="0" w:space="0" w:color="auto"/>
        <w:left w:val="none" w:sz="0" w:space="0" w:color="auto"/>
        <w:bottom w:val="none" w:sz="0" w:space="0" w:color="auto"/>
        <w:right w:val="none" w:sz="0" w:space="0" w:color="auto"/>
      </w:divBdr>
    </w:div>
    <w:div w:id="2072314775">
      <w:bodyDiv w:val="1"/>
      <w:marLeft w:val="0"/>
      <w:marRight w:val="0"/>
      <w:marTop w:val="0"/>
      <w:marBottom w:val="0"/>
      <w:divBdr>
        <w:top w:val="none" w:sz="0" w:space="0" w:color="auto"/>
        <w:left w:val="none" w:sz="0" w:space="0" w:color="auto"/>
        <w:bottom w:val="none" w:sz="0" w:space="0" w:color="auto"/>
        <w:right w:val="none" w:sz="0" w:space="0" w:color="auto"/>
      </w:divBdr>
    </w:div>
    <w:div w:id="2081824780">
      <w:bodyDiv w:val="1"/>
      <w:marLeft w:val="0"/>
      <w:marRight w:val="0"/>
      <w:marTop w:val="0"/>
      <w:marBottom w:val="0"/>
      <w:divBdr>
        <w:top w:val="none" w:sz="0" w:space="0" w:color="auto"/>
        <w:left w:val="none" w:sz="0" w:space="0" w:color="auto"/>
        <w:bottom w:val="none" w:sz="0" w:space="0" w:color="auto"/>
        <w:right w:val="none" w:sz="0" w:space="0" w:color="auto"/>
      </w:divBdr>
    </w:div>
    <w:div w:id="2092698617">
      <w:bodyDiv w:val="1"/>
      <w:marLeft w:val="0"/>
      <w:marRight w:val="0"/>
      <w:marTop w:val="0"/>
      <w:marBottom w:val="0"/>
      <w:divBdr>
        <w:top w:val="none" w:sz="0" w:space="0" w:color="auto"/>
        <w:left w:val="none" w:sz="0" w:space="0" w:color="auto"/>
        <w:bottom w:val="none" w:sz="0" w:space="0" w:color="auto"/>
        <w:right w:val="none" w:sz="0" w:space="0" w:color="auto"/>
      </w:divBdr>
    </w:div>
    <w:div w:id="2093424846">
      <w:bodyDiv w:val="1"/>
      <w:marLeft w:val="0"/>
      <w:marRight w:val="0"/>
      <w:marTop w:val="0"/>
      <w:marBottom w:val="0"/>
      <w:divBdr>
        <w:top w:val="none" w:sz="0" w:space="0" w:color="auto"/>
        <w:left w:val="none" w:sz="0" w:space="0" w:color="auto"/>
        <w:bottom w:val="none" w:sz="0" w:space="0" w:color="auto"/>
        <w:right w:val="none" w:sz="0" w:space="0" w:color="auto"/>
      </w:divBdr>
    </w:div>
    <w:div w:id="210838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uoneduau-my.sharepoint.com/personal/c3399991_uon_edu_au/Documents/Desktop/Newly%20Structured%20Folder/Paper%201/Data/Paper%201%20SLR%20data%20and%20analysis%20(16%20Dec%202025)%20-%20Cop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sz="1400" b="0" i="0" u="none" strike="noStrike" baseline="0"/>
              <a:t>Figure 2. annual publication counts by major NFIA research </a:t>
            </a:r>
            <a:r>
              <a:rPr lang="en-US" sz="1400" b="0" i="0" u="none" strike="noStrike" baseline="0">
                <a:effectLst/>
              </a:rPr>
              <a:t>subject domainssubject domains</a:t>
            </a:r>
            <a:r>
              <a:rPr lang="en-AU" sz="1400" b="0" i="0" u="none" strike="noStrike" baseline="0"/>
              <a:t> in top accounting journals (1990 – 2025)</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areaChart>
        <c:grouping val="stacked"/>
        <c:varyColors val="0"/>
        <c:ser>
          <c:idx val="0"/>
          <c:order val="0"/>
          <c:tx>
            <c:strRef>
              <c:f>'Stacked area chart'!$B$1</c:f>
              <c:strCache>
                <c:ptCount val="1"/>
                <c:pt idx="0">
                  <c:v>CSR/ESG/Sustainability</c:v>
                </c:pt>
              </c:strCache>
            </c:strRef>
          </c:tx>
          <c:spPr>
            <a:solidFill>
              <a:schemeClr val="accent1"/>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chart'!$B$2:$B$37</c:f>
              <c:numCache>
                <c:formatCode>General</c:formatCode>
                <c:ptCount val="36"/>
                <c:pt idx="0">
                  <c:v>0</c:v>
                </c:pt>
                <c:pt idx="1">
                  <c:v>0</c:v>
                </c:pt>
                <c:pt idx="2">
                  <c:v>0</c:v>
                </c:pt>
                <c:pt idx="3">
                  <c:v>0</c:v>
                </c:pt>
                <c:pt idx="4">
                  <c:v>0</c:v>
                </c:pt>
                <c:pt idx="5">
                  <c:v>1</c:v>
                </c:pt>
                <c:pt idx="6">
                  <c:v>0</c:v>
                </c:pt>
                <c:pt idx="7">
                  <c:v>0</c:v>
                </c:pt>
                <c:pt idx="8">
                  <c:v>1</c:v>
                </c:pt>
                <c:pt idx="9">
                  <c:v>0</c:v>
                </c:pt>
                <c:pt idx="10">
                  <c:v>1</c:v>
                </c:pt>
                <c:pt idx="11">
                  <c:v>3</c:v>
                </c:pt>
                <c:pt idx="12">
                  <c:v>0</c:v>
                </c:pt>
                <c:pt idx="13">
                  <c:v>1</c:v>
                </c:pt>
                <c:pt idx="14">
                  <c:v>1</c:v>
                </c:pt>
                <c:pt idx="15">
                  <c:v>1</c:v>
                </c:pt>
                <c:pt idx="16">
                  <c:v>0</c:v>
                </c:pt>
                <c:pt idx="17">
                  <c:v>0</c:v>
                </c:pt>
                <c:pt idx="18">
                  <c:v>0</c:v>
                </c:pt>
                <c:pt idx="19">
                  <c:v>2</c:v>
                </c:pt>
                <c:pt idx="20">
                  <c:v>0</c:v>
                </c:pt>
                <c:pt idx="21">
                  <c:v>2</c:v>
                </c:pt>
                <c:pt idx="22">
                  <c:v>1</c:v>
                </c:pt>
                <c:pt idx="23">
                  <c:v>0</c:v>
                </c:pt>
                <c:pt idx="24">
                  <c:v>1</c:v>
                </c:pt>
                <c:pt idx="25">
                  <c:v>5</c:v>
                </c:pt>
                <c:pt idx="26">
                  <c:v>1</c:v>
                </c:pt>
                <c:pt idx="27">
                  <c:v>2</c:v>
                </c:pt>
                <c:pt idx="28">
                  <c:v>6</c:v>
                </c:pt>
                <c:pt idx="29">
                  <c:v>10</c:v>
                </c:pt>
                <c:pt idx="30">
                  <c:v>7</c:v>
                </c:pt>
                <c:pt idx="31">
                  <c:v>6</c:v>
                </c:pt>
                <c:pt idx="32">
                  <c:v>5</c:v>
                </c:pt>
                <c:pt idx="33">
                  <c:v>2</c:v>
                </c:pt>
                <c:pt idx="34">
                  <c:v>4</c:v>
                </c:pt>
                <c:pt idx="35">
                  <c:v>13</c:v>
                </c:pt>
              </c:numCache>
            </c:numRef>
          </c:val>
          <c:extLst>
            <c:ext xmlns:c16="http://schemas.microsoft.com/office/drawing/2014/chart" uri="{C3380CC4-5D6E-409C-BE32-E72D297353CC}">
              <c16:uniqueId val="{00000000-9DB2-424C-89A6-E89BDA0797EB}"/>
            </c:ext>
          </c:extLst>
        </c:ser>
        <c:ser>
          <c:idx val="1"/>
          <c:order val="1"/>
          <c:tx>
            <c:strRef>
              <c:f>'Stacked area chart'!$C$1</c:f>
              <c:strCache>
                <c:ptCount val="1"/>
                <c:pt idx="0">
                  <c:v>Performance Audit</c:v>
                </c:pt>
              </c:strCache>
            </c:strRef>
          </c:tx>
          <c:spPr>
            <a:solidFill>
              <a:schemeClr val="accent2"/>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chart'!$C$2:$C$37</c:f>
              <c:numCache>
                <c:formatCode>General</c:formatCode>
                <c:ptCount val="36"/>
                <c:pt idx="0">
                  <c:v>0</c:v>
                </c:pt>
                <c:pt idx="1">
                  <c:v>0</c:v>
                </c:pt>
                <c:pt idx="2">
                  <c:v>0</c:v>
                </c:pt>
                <c:pt idx="3">
                  <c:v>0</c:v>
                </c:pt>
                <c:pt idx="4">
                  <c:v>0</c:v>
                </c:pt>
                <c:pt idx="5">
                  <c:v>0</c:v>
                </c:pt>
                <c:pt idx="6">
                  <c:v>0</c:v>
                </c:pt>
                <c:pt idx="7">
                  <c:v>1</c:v>
                </c:pt>
                <c:pt idx="8">
                  <c:v>1</c:v>
                </c:pt>
                <c:pt idx="9">
                  <c:v>1</c:v>
                </c:pt>
                <c:pt idx="10">
                  <c:v>0</c:v>
                </c:pt>
                <c:pt idx="11">
                  <c:v>1</c:v>
                </c:pt>
                <c:pt idx="12">
                  <c:v>0</c:v>
                </c:pt>
                <c:pt idx="13">
                  <c:v>1</c:v>
                </c:pt>
                <c:pt idx="14">
                  <c:v>0</c:v>
                </c:pt>
                <c:pt idx="15">
                  <c:v>1</c:v>
                </c:pt>
                <c:pt idx="16">
                  <c:v>0</c:v>
                </c:pt>
                <c:pt idx="17">
                  <c:v>1</c:v>
                </c:pt>
                <c:pt idx="18">
                  <c:v>1</c:v>
                </c:pt>
                <c:pt idx="19">
                  <c:v>1</c:v>
                </c:pt>
                <c:pt idx="20">
                  <c:v>2</c:v>
                </c:pt>
                <c:pt idx="21">
                  <c:v>1</c:v>
                </c:pt>
                <c:pt idx="22">
                  <c:v>1</c:v>
                </c:pt>
                <c:pt idx="23">
                  <c:v>0</c:v>
                </c:pt>
                <c:pt idx="24">
                  <c:v>1</c:v>
                </c:pt>
                <c:pt idx="25">
                  <c:v>2</c:v>
                </c:pt>
                <c:pt idx="26">
                  <c:v>2</c:v>
                </c:pt>
                <c:pt idx="27">
                  <c:v>3</c:v>
                </c:pt>
                <c:pt idx="28">
                  <c:v>1</c:v>
                </c:pt>
                <c:pt idx="29">
                  <c:v>6</c:v>
                </c:pt>
                <c:pt idx="30">
                  <c:v>0</c:v>
                </c:pt>
                <c:pt idx="31">
                  <c:v>1</c:v>
                </c:pt>
                <c:pt idx="32">
                  <c:v>2</c:v>
                </c:pt>
                <c:pt idx="33">
                  <c:v>3</c:v>
                </c:pt>
                <c:pt idx="34">
                  <c:v>1</c:v>
                </c:pt>
                <c:pt idx="35">
                  <c:v>1</c:v>
                </c:pt>
              </c:numCache>
            </c:numRef>
          </c:val>
          <c:extLst>
            <c:ext xmlns:c16="http://schemas.microsoft.com/office/drawing/2014/chart" uri="{C3380CC4-5D6E-409C-BE32-E72D297353CC}">
              <c16:uniqueId val="{00000001-9DB2-424C-89A6-E89BDA0797EB}"/>
            </c:ext>
          </c:extLst>
        </c:ser>
        <c:ser>
          <c:idx val="2"/>
          <c:order val="2"/>
          <c:tx>
            <c:strRef>
              <c:f>'Stacked area chart'!$D$1</c:f>
              <c:strCache>
                <c:ptCount val="1"/>
                <c:pt idx="0">
                  <c:v>Carbon (GHG)</c:v>
                </c:pt>
              </c:strCache>
            </c:strRef>
          </c:tx>
          <c:spPr>
            <a:solidFill>
              <a:schemeClr val="accent3"/>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chart'!$D$2:$D$37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1</c:v>
                </c:pt>
                <c:pt idx="22">
                  <c:v>0</c:v>
                </c:pt>
                <c:pt idx="23">
                  <c:v>1</c:v>
                </c:pt>
                <c:pt idx="24">
                  <c:v>0</c:v>
                </c:pt>
                <c:pt idx="25">
                  <c:v>0</c:v>
                </c:pt>
                <c:pt idx="26">
                  <c:v>2</c:v>
                </c:pt>
                <c:pt idx="27">
                  <c:v>1</c:v>
                </c:pt>
                <c:pt idx="28">
                  <c:v>1</c:v>
                </c:pt>
                <c:pt idx="29">
                  <c:v>1</c:v>
                </c:pt>
                <c:pt idx="30">
                  <c:v>0</c:v>
                </c:pt>
                <c:pt idx="31">
                  <c:v>0</c:v>
                </c:pt>
                <c:pt idx="32">
                  <c:v>0</c:v>
                </c:pt>
                <c:pt idx="33">
                  <c:v>1</c:v>
                </c:pt>
                <c:pt idx="34">
                  <c:v>0</c:v>
                </c:pt>
                <c:pt idx="35">
                  <c:v>0</c:v>
                </c:pt>
              </c:numCache>
            </c:numRef>
          </c:val>
          <c:extLst>
            <c:ext xmlns:c16="http://schemas.microsoft.com/office/drawing/2014/chart" uri="{C3380CC4-5D6E-409C-BE32-E72D297353CC}">
              <c16:uniqueId val="{00000002-9DB2-424C-89A6-E89BDA0797EB}"/>
            </c:ext>
          </c:extLst>
        </c:ser>
        <c:ser>
          <c:idx val="3"/>
          <c:order val="3"/>
          <c:tx>
            <c:strRef>
              <c:f>'Stacked area chart'!$E$1</c:f>
              <c:strCache>
                <c:ptCount val="1"/>
                <c:pt idx="0">
                  <c:v>Other</c:v>
                </c:pt>
              </c:strCache>
            </c:strRef>
          </c:tx>
          <c:spPr>
            <a:solidFill>
              <a:schemeClr val="accent4"/>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chart'!$E$2:$E$37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1</c:v>
                </c:pt>
                <c:pt idx="13">
                  <c:v>0</c:v>
                </c:pt>
                <c:pt idx="14">
                  <c:v>1</c:v>
                </c:pt>
                <c:pt idx="15">
                  <c:v>0</c:v>
                </c:pt>
                <c:pt idx="16">
                  <c:v>1</c:v>
                </c:pt>
                <c:pt idx="17">
                  <c:v>0</c:v>
                </c:pt>
                <c:pt idx="18">
                  <c:v>0</c:v>
                </c:pt>
                <c:pt idx="19">
                  <c:v>0</c:v>
                </c:pt>
                <c:pt idx="20">
                  <c:v>0</c:v>
                </c:pt>
                <c:pt idx="21">
                  <c:v>0</c:v>
                </c:pt>
                <c:pt idx="22">
                  <c:v>0</c:v>
                </c:pt>
                <c:pt idx="23">
                  <c:v>0</c:v>
                </c:pt>
                <c:pt idx="24">
                  <c:v>1</c:v>
                </c:pt>
                <c:pt idx="25">
                  <c:v>0</c:v>
                </c:pt>
                <c:pt idx="26">
                  <c:v>0</c:v>
                </c:pt>
                <c:pt idx="27">
                  <c:v>0</c:v>
                </c:pt>
                <c:pt idx="28">
                  <c:v>0</c:v>
                </c:pt>
                <c:pt idx="29">
                  <c:v>0</c:v>
                </c:pt>
                <c:pt idx="30">
                  <c:v>0</c:v>
                </c:pt>
                <c:pt idx="31">
                  <c:v>0</c:v>
                </c:pt>
                <c:pt idx="32">
                  <c:v>0</c:v>
                </c:pt>
                <c:pt idx="33">
                  <c:v>0</c:v>
                </c:pt>
                <c:pt idx="34">
                  <c:v>0</c:v>
                </c:pt>
                <c:pt idx="35">
                  <c:v>0</c:v>
                </c:pt>
              </c:numCache>
            </c:numRef>
          </c:val>
          <c:extLst>
            <c:ext xmlns:c16="http://schemas.microsoft.com/office/drawing/2014/chart" uri="{C3380CC4-5D6E-409C-BE32-E72D297353CC}">
              <c16:uniqueId val="{00000003-9DB2-424C-89A6-E89BDA0797EB}"/>
            </c:ext>
          </c:extLst>
        </c:ser>
        <c:dLbls>
          <c:showLegendKey val="0"/>
          <c:showVal val="0"/>
          <c:showCatName val="0"/>
          <c:showSerName val="0"/>
          <c:showPercent val="0"/>
          <c:showBubbleSize val="0"/>
        </c:dLbls>
        <c:axId val="1264624448"/>
        <c:axId val="1172974399"/>
      </c:areaChart>
      <c:catAx>
        <c:axId val="1264624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2974399"/>
        <c:crosses val="autoZero"/>
        <c:auto val="1"/>
        <c:lblAlgn val="ctr"/>
        <c:lblOffset val="100"/>
        <c:noMultiLvlLbl val="0"/>
      </c:catAx>
      <c:valAx>
        <c:axId val="1172974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46244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55A97-091B-4263-AED5-AC6C7FB54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1113</TotalTime>
  <Pages>34</Pages>
  <Words>12258</Words>
  <Characters>76124</Characters>
  <Application>Microsoft Office Word</Application>
  <DocSecurity>0</DocSecurity>
  <Lines>2174</Lines>
  <Paragraphs>618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Li</dc:creator>
  <cp:keywords/>
  <dc:description/>
  <cp:lastModifiedBy>Barry Li</cp:lastModifiedBy>
  <cp:revision>189</cp:revision>
  <dcterms:created xsi:type="dcterms:W3CDTF">2026-01-04T22:24:00Z</dcterms:created>
  <dcterms:modified xsi:type="dcterms:W3CDTF">2026-01-07T11:32:00Z</dcterms:modified>
</cp:coreProperties>
</file>