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34919C7F" w14:textId="77777777" w:rsidTr="00B52966">
        <w:tc>
          <w:tcPr>
            <w:tcW w:w="1917" w:type="dxa"/>
          </w:tcPr>
          <w:p w14:paraId="17AF8837" w14:textId="77777777" w:rsidR="002C3759" w:rsidRPr="00433B11" w:rsidRDefault="002C3759" w:rsidP="00BD7BE6">
            <w:pPr>
              <w:pStyle w:val="Tableheading-leftaligned"/>
            </w:pPr>
            <w:r>
              <w:t>To:</w:t>
            </w:r>
          </w:p>
        </w:tc>
        <w:tc>
          <w:tcPr>
            <w:tcW w:w="7145" w:type="dxa"/>
            <w:gridSpan w:val="3"/>
            <w:tcBorders>
              <w:bottom w:val="single" w:sz="8" w:space="0" w:color="auto"/>
            </w:tcBorders>
          </w:tcPr>
          <w:p w14:paraId="440951BD" w14:textId="77777777" w:rsidR="002C3759" w:rsidRPr="009E1DBB" w:rsidRDefault="009B709E" w:rsidP="00BD7BE6">
            <w:pPr>
              <w:pStyle w:val="Tabletext"/>
            </w:pPr>
            <w:r>
              <w:t>Data and AI Governance Group</w:t>
            </w:r>
          </w:p>
        </w:tc>
      </w:tr>
      <w:tr w:rsidR="00EA427F" w14:paraId="19DB84C4" w14:textId="77777777" w:rsidTr="00D83C51">
        <w:tc>
          <w:tcPr>
            <w:tcW w:w="1917" w:type="dxa"/>
            <w:vAlign w:val="center"/>
          </w:tcPr>
          <w:p w14:paraId="512D9000" w14:textId="77777777" w:rsidR="002C3759" w:rsidRPr="00433B11" w:rsidRDefault="002C3759" w:rsidP="00BD7BE6">
            <w:pPr>
              <w:pStyle w:val="Tableheading-leftaligned"/>
            </w:pPr>
            <w:r>
              <w:t>Date:</w:t>
            </w:r>
          </w:p>
        </w:tc>
        <w:tc>
          <w:tcPr>
            <w:tcW w:w="3615" w:type="dxa"/>
            <w:tcBorders>
              <w:bottom w:val="single" w:sz="8" w:space="0" w:color="auto"/>
            </w:tcBorders>
            <w:vAlign w:val="center"/>
          </w:tcPr>
          <w:p w14:paraId="5BFA1E00" w14:textId="77777777" w:rsidR="002C3759" w:rsidRPr="009E1DBB" w:rsidRDefault="00492998" w:rsidP="00BD7BE6">
            <w:pPr>
              <w:pStyle w:val="Tabletext"/>
            </w:pPr>
            <w:r>
              <w:t>May 2026</w:t>
            </w:r>
          </w:p>
        </w:tc>
        <w:tc>
          <w:tcPr>
            <w:tcW w:w="566" w:type="dxa"/>
            <w:vAlign w:val="center"/>
          </w:tcPr>
          <w:p w14:paraId="255DC336" w14:textId="77777777" w:rsidR="002C3759" w:rsidRPr="009E1DBB" w:rsidRDefault="002C3759" w:rsidP="00BD7BE6">
            <w:pPr>
              <w:pStyle w:val="Tableheading-leftaligned"/>
            </w:pPr>
            <w:r>
              <w:t>Ref:</w:t>
            </w:r>
          </w:p>
        </w:tc>
        <w:tc>
          <w:tcPr>
            <w:tcW w:w="2964" w:type="dxa"/>
            <w:tcBorders>
              <w:bottom w:val="single" w:sz="8" w:space="0" w:color="auto"/>
            </w:tcBorders>
            <w:vAlign w:val="center"/>
          </w:tcPr>
          <w:p w14:paraId="1916C6F6" w14:textId="77777777" w:rsidR="002C3759" w:rsidRPr="009E1DBB" w:rsidRDefault="002C3759" w:rsidP="00BD7BE6">
            <w:pPr>
              <w:pStyle w:val="Tabletext"/>
            </w:pPr>
          </w:p>
        </w:tc>
      </w:tr>
      <w:tr w:rsidR="00EA427F" w14:paraId="032435D7" w14:textId="77777777" w:rsidTr="00B52966">
        <w:tc>
          <w:tcPr>
            <w:tcW w:w="1917" w:type="dxa"/>
          </w:tcPr>
          <w:p w14:paraId="15810BED" w14:textId="77777777" w:rsidR="002C3759" w:rsidRPr="00433B11" w:rsidRDefault="002C3759" w:rsidP="00BD7BE6">
            <w:pPr>
              <w:pStyle w:val="Tableheading-leftaligned"/>
            </w:pPr>
            <w:r>
              <w:t>Subject:</w:t>
            </w:r>
          </w:p>
        </w:tc>
        <w:tc>
          <w:tcPr>
            <w:tcW w:w="7145" w:type="dxa"/>
            <w:gridSpan w:val="3"/>
            <w:tcBorders>
              <w:top w:val="single" w:sz="8" w:space="0" w:color="auto"/>
              <w:bottom w:val="single" w:sz="8" w:space="0" w:color="auto"/>
            </w:tcBorders>
          </w:tcPr>
          <w:p w14:paraId="12B349D5" w14:textId="77777777" w:rsidR="002C3759" w:rsidRPr="009E1DBB" w:rsidRDefault="003B325B" w:rsidP="00BD7BE6">
            <w:pPr>
              <w:pStyle w:val="Tabletext"/>
            </w:pPr>
            <w:r>
              <w:t>Data Platform - data retention and lifecycle management</w:t>
            </w:r>
          </w:p>
        </w:tc>
      </w:tr>
      <w:tr w:rsidR="00EA427F" w14:paraId="150C1733" w14:textId="77777777" w:rsidTr="00B52966">
        <w:tc>
          <w:tcPr>
            <w:tcW w:w="1917" w:type="dxa"/>
          </w:tcPr>
          <w:p w14:paraId="1F323B32" w14:textId="77777777" w:rsidR="002C3759" w:rsidRPr="00433B11" w:rsidRDefault="00A66F43" w:rsidP="00BD7BE6">
            <w:pPr>
              <w:pStyle w:val="Tableheading-leftaligned"/>
            </w:pPr>
            <w:r>
              <w:t>Prepared by</w:t>
            </w:r>
          </w:p>
        </w:tc>
        <w:tc>
          <w:tcPr>
            <w:tcW w:w="7145" w:type="dxa"/>
            <w:gridSpan w:val="3"/>
            <w:tcBorders>
              <w:top w:val="single" w:sz="8" w:space="0" w:color="auto"/>
              <w:bottom w:val="single" w:sz="8" w:space="0" w:color="auto"/>
            </w:tcBorders>
          </w:tcPr>
          <w:p w14:paraId="6515A895" w14:textId="77777777" w:rsidR="002239B6" w:rsidRDefault="002239B6" w:rsidP="00BD7BE6">
            <w:pPr>
              <w:pStyle w:val="Tabletext"/>
            </w:pPr>
            <w:r>
              <w:t>Nathan Carter, Director, Accounting, Technical and Data</w:t>
            </w:r>
            <w:r>
              <w:br/>
              <w:t>Barry Li, Associate Director, Data</w:t>
            </w:r>
          </w:p>
          <w:p w14:paraId="0AF14E8C" w14:textId="77777777" w:rsidR="003C5CFC" w:rsidRDefault="003C5CFC" w:rsidP="00BD7BE6">
            <w:pPr>
              <w:pStyle w:val="Tabletext"/>
            </w:pPr>
          </w:p>
          <w:p w14:paraId="665F1258" w14:textId="77777777" w:rsidR="001A2D20" w:rsidRDefault="001A2D20" w:rsidP="00BD7BE6">
            <w:pPr>
              <w:pStyle w:val="Tabletext"/>
            </w:pPr>
          </w:p>
          <w:p w14:paraId="684FB0BA" w14:textId="77777777" w:rsidR="000445DF" w:rsidRDefault="000445DF" w:rsidP="00BD7BE6">
            <w:pPr>
              <w:pStyle w:val="Tabletext"/>
            </w:pPr>
          </w:p>
          <w:p w14:paraId="543BCBF3" w14:textId="77777777" w:rsidR="002239B6" w:rsidRPr="009E1DBB" w:rsidRDefault="002239B6" w:rsidP="00BD7BE6">
            <w:pPr>
              <w:pStyle w:val="Tabletext"/>
            </w:pPr>
          </w:p>
        </w:tc>
      </w:tr>
      <w:tr w:rsidR="00EA427F" w14:paraId="0F76B188" w14:textId="77777777" w:rsidTr="00B52966">
        <w:tc>
          <w:tcPr>
            <w:tcW w:w="1917" w:type="dxa"/>
          </w:tcPr>
          <w:p w14:paraId="0BE2C4EA" w14:textId="77777777" w:rsidR="00CB7063" w:rsidRDefault="00CB7063" w:rsidP="00BD7BE6">
            <w:pPr>
              <w:pStyle w:val="Tableheading-leftaligned"/>
            </w:pPr>
            <w:r>
              <w:t>Presented by</w:t>
            </w:r>
          </w:p>
        </w:tc>
        <w:tc>
          <w:tcPr>
            <w:tcW w:w="7145" w:type="dxa"/>
            <w:gridSpan w:val="3"/>
            <w:tcBorders>
              <w:top w:val="single" w:sz="8" w:space="0" w:color="auto"/>
              <w:bottom w:val="single" w:sz="8" w:space="0" w:color="auto"/>
            </w:tcBorders>
          </w:tcPr>
          <w:p w14:paraId="15A90021" w14:textId="77777777" w:rsidR="00CB7063" w:rsidRPr="009E1DBB" w:rsidRDefault="002239B6" w:rsidP="00BD7BE6">
            <w:pPr>
              <w:pStyle w:val="Tabletext"/>
            </w:pPr>
            <w:r>
              <w:t>Nathan Carter, Director, Accounting, Technical and Data</w:t>
            </w:r>
          </w:p>
        </w:tc>
      </w:tr>
      <w:tr w:rsidR="00EA427F" w14:paraId="5CD6DF91" w14:textId="77777777" w:rsidTr="00B52966">
        <w:tc>
          <w:tcPr>
            <w:tcW w:w="1917" w:type="dxa"/>
          </w:tcPr>
          <w:p w14:paraId="57856314" w14:textId="77777777" w:rsidR="00C82257" w:rsidRPr="00433B11" w:rsidRDefault="00C82257" w:rsidP="00BD7BE6">
            <w:pPr>
              <w:pStyle w:val="Tableheading-leftaligned"/>
            </w:pPr>
            <w:r>
              <w:t>Response to:</w:t>
            </w:r>
          </w:p>
        </w:tc>
        <w:tc>
          <w:tcPr>
            <w:tcW w:w="7145" w:type="dxa"/>
            <w:gridSpan w:val="3"/>
            <w:tcBorders>
              <w:top w:val="single" w:sz="8" w:space="0" w:color="auto"/>
              <w:bottom w:val="single" w:sz="8" w:space="0" w:color="auto"/>
            </w:tcBorders>
          </w:tcPr>
          <w:p w14:paraId="3336EAB5" w14:textId="77777777" w:rsidR="009245EA" w:rsidRPr="00433B11" w:rsidRDefault="002239B6" w:rsidP="008107D7">
            <w:pPr>
              <w:pStyle w:val="Tabletext"/>
            </w:pPr>
            <w:r>
              <w:t>Data Zen project and Audit Office information lifecycle management requirements</w:t>
            </w:r>
          </w:p>
        </w:tc>
      </w:tr>
    </w:tbl>
    <w:p w14:paraId="3A4BB842" w14:textId="77777777" w:rsidR="0055646B" w:rsidRDefault="00726872">
      <w:pPr>
        <w:pStyle w:val="Heading2Red"/>
      </w:pPr>
      <w:r>
        <w:t>Purpose</w:t>
      </w:r>
    </w:p>
    <w:p w14:paraId="05E89C1D" w14:textId="77777777" w:rsidR="0055646B" w:rsidRDefault="00726872">
      <w:pPr>
        <w:pStyle w:val="Heading3"/>
      </w:pPr>
      <w:r>
        <w:t>To seek endorsement of a revised data retention practice for the Audit Office data platform, and to outline how the proposal supports broader information lifecycle management work being progressed through Data Zen.</w:t>
      </w:r>
    </w:p>
    <w:p w14:paraId="47B9B9BC" w14:textId="77777777" w:rsidR="0055646B" w:rsidRDefault="00726872">
      <w:pPr>
        <w:pStyle w:val="Heading3"/>
      </w:pPr>
      <w:r>
        <w:t>What is proposed and why it matters</w:t>
      </w:r>
    </w:p>
    <w:p w14:paraId="3B1739CA" w14:textId="77777777" w:rsidR="0055646B" w:rsidRDefault="00726872">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0510C1B8" w14:textId="77777777" w:rsidR="0055646B" w:rsidRDefault="00726872">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6EE46052" w14:textId="77777777" w:rsidR="0055646B" w:rsidRDefault="00726872">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4A5017A2" w14:textId="77777777" w:rsidR="0055646B" w:rsidRDefault="00726872">
      <w:pPr>
        <w:pStyle w:val="Heading3"/>
      </w:pPr>
      <w:r>
        <w:t>Current context</w:t>
      </w:r>
    </w:p>
    <w:p w14:paraId="7DA786C7" w14:textId="77777777" w:rsidR="0055646B" w:rsidRDefault="00726872">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1EEA73D6" w14:textId="77777777" w:rsidR="0055646B" w:rsidRDefault="00726872">
      <w:pPr>
        <w:pStyle w:val="Bullet1stlevel"/>
      </w:pPr>
      <w:r>
        <w:t>current one-year retention limits analysis across multiple audit cycles</w:t>
      </w:r>
    </w:p>
    <w:p w14:paraId="236A8FD1" w14:textId="77777777" w:rsidR="0055646B" w:rsidRDefault="00726872">
      <w:pPr>
        <w:pStyle w:val="Bullet1stlevel"/>
      </w:pPr>
      <w:r>
        <w:t>trend, risk and benchmarking insights are constrained</w:t>
      </w:r>
    </w:p>
    <w:p w14:paraId="4A1C0BCF" w14:textId="77777777" w:rsidR="0055646B" w:rsidRDefault="00726872">
      <w:pPr>
        <w:pStyle w:val="Bullet1stlevel"/>
      </w:pPr>
      <w:r>
        <w:t>data is often re-requested, creating avoidable effort and operational risk</w:t>
      </w:r>
    </w:p>
    <w:p w14:paraId="30FDD798" w14:textId="77777777" w:rsidR="0055646B" w:rsidRDefault="00726872">
      <w:pPr>
        <w:pStyle w:val="Bullet1stlevel"/>
      </w:pPr>
      <w:r>
        <w:t>the value of data already collected for audit purposes is reduced</w:t>
      </w:r>
    </w:p>
    <w:p w14:paraId="1544C26E" w14:textId="77777777" w:rsidR="0055646B" w:rsidRDefault="00726872">
      <w:pPr>
        <w:pStyle w:val="Heading3"/>
      </w:pPr>
      <w:r>
        <w:t>Legal, policy and privacy considerations</w:t>
      </w:r>
    </w:p>
    <w:p w14:paraId="09E3B222" w14:textId="77777777" w:rsidR="0055646B" w:rsidRDefault="00726872">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7F35705B" w14:textId="77777777" w:rsidR="0055646B" w:rsidRDefault="00726872">
      <w:pPr>
        <w:pStyle w:val="Bullet1stlevel"/>
      </w:pPr>
      <w:r>
        <w:t>collection remains limited to data required for audit purposes</w:t>
      </w:r>
    </w:p>
    <w:p w14:paraId="40244121" w14:textId="77777777" w:rsidR="0055646B" w:rsidRDefault="00726872">
      <w:pPr>
        <w:pStyle w:val="Bullet1stlevel"/>
      </w:pPr>
      <w:r>
        <w:t>particularly sensitive fields continue to be excluded or processed transiently where appropriate</w:t>
      </w:r>
    </w:p>
    <w:p w14:paraId="49E36262" w14:textId="77777777" w:rsidR="0055646B" w:rsidRDefault="00726872">
      <w:pPr>
        <w:pStyle w:val="Bullet1stlevel"/>
      </w:pPr>
      <w:r>
        <w:t>encryption, de-identification, access controls and monitoring continue to apply</w:t>
      </w:r>
    </w:p>
    <w:p w14:paraId="334229D0" w14:textId="77777777" w:rsidR="0055646B" w:rsidRDefault="00726872">
      <w:pPr>
        <w:pStyle w:val="Bullet1stlevel"/>
      </w:pPr>
      <w:r>
        <w:t>retention and disposal decisions are managed under approved records management requirements</w:t>
      </w:r>
    </w:p>
    <w:p w14:paraId="0C4ACCBC" w14:textId="77777777" w:rsidR="0055646B" w:rsidRDefault="00726872">
      <w:pPr>
        <w:pStyle w:val="Heading3"/>
      </w:pPr>
      <w:r>
        <w:lastRenderedPageBreak/>
        <w:t>What is in scope</w:t>
      </w:r>
    </w:p>
    <w:p w14:paraId="2C9CF64E" w14:textId="77777777" w:rsidR="0055646B" w:rsidRDefault="00726872">
      <w:pPr>
        <w:pStyle w:val="Bullet1stlevel"/>
      </w:pPr>
      <w:r>
        <w:t>A standard five-year retention period for standard audit datasets, including financial, payroll and user access data.</w:t>
      </w:r>
    </w:p>
    <w:p w14:paraId="1CA1D60B" w14:textId="77777777" w:rsidR="0055646B" w:rsidRDefault="00726872">
      <w:pPr>
        <w:pStyle w:val="Bullet1stlevel"/>
      </w:pPr>
      <w:r>
        <w:t>Continued use strictly for audit, assurance and approved analytics purposes.</w:t>
      </w:r>
    </w:p>
    <w:p w14:paraId="079D3752" w14:textId="77777777" w:rsidR="0055646B" w:rsidRDefault="00726872">
      <w:pPr>
        <w:pStyle w:val="Bullet1stlevel"/>
      </w:pPr>
      <w:r>
        <w:t>Secure destruction of data older than five years unless a legal hold or specific retention obligation applies.</w:t>
      </w:r>
    </w:p>
    <w:p w14:paraId="355FF7AB" w14:textId="77777777" w:rsidR="0055646B" w:rsidRDefault="00726872">
      <w:pPr>
        <w:pStyle w:val="Bullet1stlevel"/>
      </w:pPr>
      <w:r>
        <w:t>Using this decision as an early practical step toward clearer lifecycle management across Audit Office systems.</w:t>
      </w:r>
    </w:p>
    <w:p w14:paraId="3DAD1B69" w14:textId="77777777" w:rsidR="0055646B" w:rsidRDefault="00726872">
      <w:pPr>
        <w:pStyle w:val="Heading3"/>
      </w:pPr>
      <w:r>
        <w:t>What is out of scope</w:t>
      </w:r>
    </w:p>
    <w:p w14:paraId="35015F24" w14:textId="77777777" w:rsidR="0055646B" w:rsidRDefault="00726872">
      <w:pPr>
        <w:pStyle w:val="Bullet1stlevel"/>
      </w:pPr>
      <w:r>
        <w:t>Expanding the Audit Office's legislative authority or changing the types of data collected.</w:t>
      </w:r>
    </w:p>
    <w:p w14:paraId="10ABB34F" w14:textId="77777777" w:rsidR="0055646B" w:rsidRDefault="00726872">
      <w:pPr>
        <w:pStyle w:val="Bullet1stlevel"/>
      </w:pPr>
      <w:r>
        <w:t>Weakening existing privacy, security, secrecy or confidentiality obligations.</w:t>
      </w:r>
    </w:p>
    <w:p w14:paraId="260A9F43" w14:textId="77777777" w:rsidR="0055646B" w:rsidRDefault="00726872">
      <w:pPr>
        <w:pStyle w:val="Bullet1stlevel"/>
      </w:pPr>
      <w:r>
        <w:t>Making final lifecycle decisions for Nuix or other Data Zen systems through this paper.</w:t>
      </w:r>
    </w:p>
    <w:p w14:paraId="008CA4B6" w14:textId="77777777" w:rsidR="0055646B" w:rsidRDefault="00726872">
      <w:pPr>
        <w:pStyle w:val="Bullet1stlevel"/>
      </w:pPr>
      <w:r>
        <w:t>Changing DAC's technical hosting responsibilities or Audit Office accountability for retention decisions.</w:t>
      </w:r>
    </w:p>
    <w:p w14:paraId="2E9785A7" w14:textId="77777777" w:rsidR="0055646B" w:rsidRDefault="00726872">
      <w:pPr>
        <w:pStyle w:val="Heading3"/>
      </w:pPr>
      <w:r>
        <w:t>Strategic Alignment</w:t>
      </w:r>
    </w:p>
    <w:p w14:paraId="05EF1F9B" w14:textId="77777777" w:rsidR="0055646B" w:rsidRDefault="00726872">
      <w:pPr>
        <w:pStyle w:val="Heading3"/>
      </w:pPr>
      <w:r>
        <w:t>Lifecycle management for Nuix and DAC-hosted environments</w:t>
      </w:r>
    </w:p>
    <w:p w14:paraId="419C244F" w14:textId="77777777" w:rsidR="0055646B" w:rsidRDefault="00726872">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1E29C63A" w14:textId="77777777" w:rsidR="0055646B" w:rsidRDefault="00726872">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43A660DC" w14:textId="77777777" w:rsidR="0055646B" w:rsidRDefault="00726872">
      <w:pPr>
        <w:pStyle w:val="Heading3"/>
      </w:pPr>
      <w:r>
        <w:t>Benefits of the proposed approach</w:t>
      </w:r>
    </w:p>
    <w:p w14:paraId="60DE9DD4" w14:textId="77777777" w:rsidR="0055646B" w:rsidRDefault="00726872">
      <w:pPr>
        <w:pStyle w:val="Bullet1stlevel"/>
      </w:pPr>
      <w:r>
        <w:t>enables long-term financial and audit analytics, including trends in government spending and payroll</w:t>
      </w:r>
    </w:p>
    <w:p w14:paraId="5759B9E9" w14:textId="77777777" w:rsidR="0055646B" w:rsidRDefault="00726872">
      <w:pPr>
        <w:pStyle w:val="Bullet1stlevel"/>
      </w:pPr>
      <w:r>
        <w:t>supports sector-wide benchmarking and comparative analysis</w:t>
      </w:r>
    </w:p>
    <w:p w14:paraId="283E0F11" w14:textId="77777777" w:rsidR="0055646B" w:rsidRDefault="00726872">
      <w:pPr>
        <w:pStyle w:val="Bullet1stlevel"/>
      </w:pPr>
      <w:r>
        <w:t>enhances audit quality by assessing current-year results in historical context</w:t>
      </w:r>
    </w:p>
    <w:p w14:paraId="6FD4B678" w14:textId="77777777" w:rsidR="0055646B" w:rsidRDefault="00726872">
      <w:pPr>
        <w:pStyle w:val="Bullet1stlevel"/>
      </w:pPr>
      <w:r>
        <w:t>reduces repeated data acquisition effort and associated operational risk</w:t>
      </w:r>
    </w:p>
    <w:p w14:paraId="4E691BBE" w14:textId="77777777" w:rsidR="0055646B" w:rsidRDefault="00726872">
      <w:pPr>
        <w:pStyle w:val="Bullet1stlevel"/>
      </w:pPr>
      <w:r>
        <w:t>strengthens return on investment in the data platform</w:t>
      </w:r>
    </w:p>
    <w:p w14:paraId="315A357F" w14:textId="77777777" w:rsidR="0055646B" w:rsidRDefault="00726872">
      <w:pPr>
        <w:pStyle w:val="Heading3"/>
      </w:pPr>
      <w:r>
        <w:t>Risks and mitigations</w:t>
      </w:r>
    </w:p>
    <w:tbl>
      <w:tblPr>
        <w:tblW w:w="0" w:type="auto"/>
        <w:tblLook w:val="04A0" w:firstRow="1" w:lastRow="0" w:firstColumn="1" w:lastColumn="0" w:noHBand="0" w:noVBand="1"/>
      </w:tblPr>
      <w:tblGrid>
        <w:gridCol w:w="4535"/>
        <w:gridCol w:w="4535"/>
      </w:tblGrid>
      <w:tr w:rsidR="0055646B" w14:paraId="5CA5A21D" w14:textId="77777777">
        <w:trPr>
          <w:cantSplit/>
          <w:tblHeader/>
        </w:trPr>
        <w:tc>
          <w:tcPr>
            <w:tcW w:w="4535" w:type="dxa"/>
          </w:tcPr>
          <w:p w14:paraId="6CC30B12" w14:textId="77777777" w:rsidR="0055646B" w:rsidRDefault="00726872">
            <w:pPr>
              <w:pStyle w:val="BodyText"/>
            </w:pPr>
            <w:r>
              <w:rPr>
                <w:b/>
              </w:rPr>
              <w:t>Risk</w:t>
            </w:r>
          </w:p>
        </w:tc>
        <w:tc>
          <w:tcPr>
            <w:tcW w:w="4535" w:type="dxa"/>
          </w:tcPr>
          <w:p w14:paraId="118CABC0" w14:textId="77777777" w:rsidR="0055646B" w:rsidRDefault="00726872">
            <w:pPr>
              <w:pStyle w:val="BodyText"/>
            </w:pPr>
            <w:r>
              <w:rPr>
                <w:b/>
              </w:rPr>
              <w:t>Mitigation</w:t>
            </w:r>
          </w:p>
        </w:tc>
      </w:tr>
      <w:tr w:rsidR="0055646B" w14:paraId="677DDF7F" w14:textId="77777777">
        <w:trPr>
          <w:cantSplit/>
        </w:trPr>
        <w:tc>
          <w:tcPr>
            <w:tcW w:w="4535" w:type="dxa"/>
          </w:tcPr>
          <w:p w14:paraId="594929AB" w14:textId="77777777" w:rsidR="0055646B" w:rsidRDefault="00726872">
            <w:pPr>
              <w:pStyle w:val="BodyText"/>
            </w:pPr>
            <w:r>
              <w:t>Increased volume of data held</w:t>
            </w:r>
          </w:p>
        </w:tc>
        <w:tc>
          <w:tcPr>
            <w:tcW w:w="4535" w:type="dxa"/>
          </w:tcPr>
          <w:p w14:paraId="66D07DFA" w14:textId="77777777" w:rsidR="0055646B" w:rsidRDefault="00726872">
            <w:pPr>
              <w:pStyle w:val="BodyText"/>
            </w:pPr>
            <w:r>
              <w:t>Maintain access controls, encryption, monitoring and non-retention of high-risk fields where appropriate.</w:t>
            </w:r>
          </w:p>
        </w:tc>
      </w:tr>
      <w:tr w:rsidR="0055646B" w14:paraId="08831A4D" w14:textId="77777777">
        <w:trPr>
          <w:cantSplit/>
        </w:trPr>
        <w:tc>
          <w:tcPr>
            <w:tcW w:w="4535" w:type="dxa"/>
          </w:tcPr>
          <w:p w14:paraId="62F3F8C1" w14:textId="77777777" w:rsidR="0055646B" w:rsidRDefault="00726872">
            <w:pPr>
              <w:pStyle w:val="BodyText"/>
            </w:pPr>
            <w:r>
              <w:t>Privacy concerns</w:t>
            </w:r>
          </w:p>
        </w:tc>
        <w:tc>
          <w:tcPr>
            <w:tcW w:w="4535" w:type="dxa"/>
          </w:tcPr>
          <w:p w14:paraId="449AFA5A" w14:textId="77777777" w:rsidR="0055646B" w:rsidRDefault="00726872">
            <w:pPr>
              <w:pStyle w:val="BodyText"/>
            </w:pPr>
            <w:r>
              <w:t>Maintain existing privacy controls and confirm there is no expansion in data types or approved uses.</w:t>
            </w:r>
          </w:p>
        </w:tc>
      </w:tr>
      <w:tr w:rsidR="0055646B" w14:paraId="5AAF87C0" w14:textId="77777777">
        <w:trPr>
          <w:cantSplit/>
        </w:trPr>
        <w:tc>
          <w:tcPr>
            <w:tcW w:w="4535" w:type="dxa"/>
          </w:tcPr>
          <w:p w14:paraId="2894BA04" w14:textId="77777777" w:rsidR="0055646B" w:rsidRDefault="00726872">
            <w:pPr>
              <w:pStyle w:val="BodyText"/>
            </w:pPr>
            <w:r>
              <w:t>Security risk</w:t>
            </w:r>
          </w:p>
        </w:tc>
        <w:tc>
          <w:tcPr>
            <w:tcW w:w="4535" w:type="dxa"/>
          </w:tcPr>
          <w:p w14:paraId="6CB0EE36" w14:textId="77777777" w:rsidR="0055646B" w:rsidRDefault="00726872">
            <w:pPr>
              <w:pStyle w:val="BodyText"/>
            </w:pPr>
            <w:r>
              <w:t>Continue operating within established security governance, monitoring and approved access arrangements.</w:t>
            </w:r>
          </w:p>
        </w:tc>
      </w:tr>
      <w:tr w:rsidR="0055646B" w14:paraId="4FE4840F" w14:textId="77777777">
        <w:trPr>
          <w:cantSplit/>
        </w:trPr>
        <w:tc>
          <w:tcPr>
            <w:tcW w:w="4535" w:type="dxa"/>
          </w:tcPr>
          <w:p w14:paraId="1AF7AD97" w14:textId="77777777" w:rsidR="0055646B" w:rsidRDefault="00726872">
            <w:pPr>
              <w:pStyle w:val="BodyText"/>
            </w:pPr>
            <w:r>
              <w:t>Inconsistent lifecycle decisions</w:t>
            </w:r>
          </w:p>
        </w:tc>
        <w:tc>
          <w:tcPr>
            <w:tcW w:w="4535" w:type="dxa"/>
          </w:tcPr>
          <w:p w14:paraId="2ACB2F5B" w14:textId="77777777" w:rsidR="0055646B" w:rsidRDefault="00726872">
            <w:pPr>
              <w:pStyle w:val="BodyText"/>
            </w:pPr>
            <w:r>
              <w:t>Use this decision as a baseline and align future Nuix and DAC-hosted environment work through Data Zen.</w:t>
            </w:r>
          </w:p>
        </w:tc>
      </w:tr>
    </w:tbl>
    <w:p w14:paraId="0CAB10AA" w14:textId="77777777" w:rsidR="0055646B" w:rsidRDefault="00726872">
      <w:pPr>
        <w:pStyle w:val="Heading3"/>
      </w:pPr>
      <w:r>
        <w:t>Recommendation</w:t>
      </w:r>
    </w:p>
    <w:p w14:paraId="19AAFBBD" w14:textId="77777777" w:rsidR="0055646B" w:rsidRDefault="00726872">
      <w:pPr>
        <w:pStyle w:val="BodyText"/>
      </w:pPr>
      <w:r>
        <w:t>That the Data and AI Governance Group:</w:t>
      </w:r>
    </w:p>
    <w:p w14:paraId="4F883B0E" w14:textId="77777777" w:rsidR="0055646B" w:rsidRDefault="00726872">
      <w:pPr>
        <w:pStyle w:val="Bullet1stlevel"/>
      </w:pPr>
      <w:r>
        <w:lastRenderedPageBreak/>
        <w:t>endorse the adoption of a standard five-year data retention policy for the Audit Office data platform; and</w:t>
      </w:r>
    </w:p>
    <w:p w14:paraId="384E672C" w14:textId="77777777" w:rsidR="0055646B" w:rsidRDefault="00726872">
      <w:pPr>
        <w:pStyle w:val="Bullet1stlevel"/>
      </w:pPr>
      <w:r>
        <w:t>note the alignment of this approach with broader lifecycle management work under Data Zen, including future consideration of Nuix and DAC-hosted environments.</w:t>
      </w: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900384" w:rsidRPr="0092534E" w14:paraId="5DD38004" w14:textId="77777777" w:rsidTr="00F7219B">
        <w:trPr>
          <w:cantSplit/>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32D8C9B8" w14:textId="77777777" w:rsidR="0092534E" w:rsidRPr="0092534E" w:rsidRDefault="0092534E" w:rsidP="0092534E">
            <w:pPr>
              <w:pStyle w:val="BodyText"/>
              <w:rPr>
                <w:rFonts w:asciiTheme="majorHAnsi" w:hAnsiTheme="majorHAnsi" w:cstheme="majorHAnsi"/>
              </w:rPr>
            </w:pPr>
            <w:r>
              <w:rPr>
                <w:b/>
              </w:rPr>
              <w:t>Strategy / program</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1BF5D4D" w14:textId="77777777" w:rsidR="0092534E" w:rsidRPr="0092534E" w:rsidRDefault="0092534E" w:rsidP="0092534E">
            <w:pPr>
              <w:pStyle w:val="BodyText"/>
              <w:rPr>
                <w:rFonts w:asciiTheme="majorHAnsi" w:hAnsiTheme="majorHAnsi" w:cstheme="majorHAnsi"/>
              </w:rPr>
            </w:pPr>
            <w:r>
              <w:rPr>
                <w: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56B3B6C" w14:textId="77777777" w:rsidR="0092534E" w:rsidRPr="0092534E" w:rsidRDefault="0092534E" w:rsidP="0092534E">
            <w:pPr>
              <w:pStyle w:val="BodyText"/>
              <w:rPr>
                <w:rFonts w:asciiTheme="majorHAnsi" w:hAnsiTheme="majorHAnsi" w:cstheme="majorHAnsi"/>
              </w:rPr>
            </w:pPr>
            <w:r>
              <w:rPr>
                <w:b/>
              </w:rPr>
              <w:t>Notes</w:t>
            </w:r>
          </w:p>
        </w:tc>
      </w:tr>
      <w:tr w:rsidR="0055646B" w14:paraId="61C22852" w14:textId="77777777">
        <w:trPr>
          <w:cantSplit/>
        </w:trPr>
        <w:tc>
          <w:tcPr>
            <w:tcW w:w="2152" w:type="dxa"/>
          </w:tcPr>
          <w:p w14:paraId="15E2F4DE" w14:textId="77777777" w:rsidR="0055646B" w:rsidRDefault="00726872">
            <w:pPr>
              <w:pStyle w:val="BodyText"/>
            </w:pPr>
            <w:r>
              <w:t>Data Zen project</w:t>
            </w:r>
          </w:p>
        </w:tc>
        <w:tc>
          <w:tcPr>
            <w:tcW w:w="1170" w:type="dxa"/>
          </w:tcPr>
          <w:p w14:paraId="3ED8B334" w14:textId="77777777" w:rsidR="0055646B" w:rsidRDefault="00726872">
            <w:pPr>
              <w:pStyle w:val="BodyText"/>
            </w:pPr>
            <w:r>
              <w:t>Yes</w:t>
            </w:r>
          </w:p>
        </w:tc>
        <w:tc>
          <w:tcPr>
            <w:tcW w:w="5732" w:type="dxa"/>
          </w:tcPr>
          <w:p w14:paraId="1A5FA178" w14:textId="77777777" w:rsidR="0055646B" w:rsidRDefault="00726872">
            <w:pPr>
              <w:pStyle w:val="BodyText"/>
            </w:pPr>
            <w:r>
              <w:t>Creates clearer lifecycle definitions for analytical and audit data and reduces ad hoc retention practices.</w:t>
            </w:r>
          </w:p>
        </w:tc>
      </w:tr>
      <w:tr w:rsidR="0055646B" w14:paraId="7F6E56CF" w14:textId="77777777">
        <w:trPr>
          <w:cantSplit/>
        </w:trPr>
        <w:tc>
          <w:tcPr>
            <w:tcW w:w="2152" w:type="dxa"/>
          </w:tcPr>
          <w:p w14:paraId="7091C6AD" w14:textId="77777777" w:rsidR="0055646B" w:rsidRDefault="00726872">
            <w:pPr>
              <w:pStyle w:val="BodyText"/>
            </w:pPr>
            <w:r>
              <w:t>Digital audit strategy</w:t>
            </w:r>
          </w:p>
        </w:tc>
        <w:tc>
          <w:tcPr>
            <w:tcW w:w="1170" w:type="dxa"/>
          </w:tcPr>
          <w:p w14:paraId="237FC27A" w14:textId="77777777" w:rsidR="0055646B" w:rsidRDefault="00726872">
            <w:pPr>
              <w:pStyle w:val="BodyText"/>
            </w:pPr>
            <w:r>
              <w:t>Yes</w:t>
            </w:r>
          </w:p>
        </w:tc>
        <w:tc>
          <w:tcPr>
            <w:tcW w:w="5732" w:type="dxa"/>
          </w:tcPr>
          <w:p w14:paraId="77547DE3" w14:textId="77777777" w:rsidR="0055646B" w:rsidRDefault="00726872">
            <w:pPr>
              <w:pStyle w:val="BodyText"/>
            </w:pPr>
            <w:r>
              <w:t>Supports continuous, consistent and data-driven audit approaches.</w:t>
            </w:r>
          </w:p>
        </w:tc>
      </w:tr>
      <w:tr w:rsidR="0055646B" w14:paraId="39BA170E" w14:textId="77777777">
        <w:trPr>
          <w:cantSplit/>
        </w:trPr>
        <w:tc>
          <w:tcPr>
            <w:tcW w:w="2152" w:type="dxa"/>
          </w:tcPr>
          <w:p w14:paraId="47055263" w14:textId="77777777" w:rsidR="0055646B" w:rsidRDefault="00726872">
            <w:pPr>
              <w:pStyle w:val="BodyText"/>
            </w:pPr>
            <w:r>
              <w:t>Audit quality and insight</w:t>
            </w:r>
          </w:p>
        </w:tc>
        <w:tc>
          <w:tcPr>
            <w:tcW w:w="1170" w:type="dxa"/>
          </w:tcPr>
          <w:p w14:paraId="32367E4D" w14:textId="77777777" w:rsidR="0055646B" w:rsidRDefault="00726872">
            <w:pPr>
              <w:pStyle w:val="BodyText"/>
            </w:pPr>
            <w:r>
              <w:t>Yes</w:t>
            </w:r>
          </w:p>
        </w:tc>
        <w:tc>
          <w:tcPr>
            <w:tcW w:w="5732" w:type="dxa"/>
          </w:tcPr>
          <w:p w14:paraId="6F981DBF" w14:textId="77777777" w:rsidR="0055646B" w:rsidRDefault="00726872">
            <w:pPr>
              <w:pStyle w:val="BodyText"/>
            </w:pPr>
            <w:r>
              <w:t>Allows current-year results to be assessed in historical context and supports trend, risk and benchmarking analysis.</w:t>
            </w:r>
          </w:p>
        </w:tc>
      </w:tr>
      <w:tr w:rsidR="0055646B" w14:paraId="224BA6D6" w14:textId="77777777">
        <w:trPr>
          <w:cantSplit/>
        </w:trPr>
        <w:tc>
          <w:tcPr>
            <w:tcW w:w="2152" w:type="dxa"/>
          </w:tcPr>
          <w:p w14:paraId="331358DE" w14:textId="77777777" w:rsidR="0055646B" w:rsidRDefault="00726872">
            <w:pPr>
              <w:pStyle w:val="BodyText"/>
            </w:pPr>
            <w:r>
              <w:t>Records and information management</w:t>
            </w:r>
          </w:p>
        </w:tc>
        <w:tc>
          <w:tcPr>
            <w:tcW w:w="1170" w:type="dxa"/>
          </w:tcPr>
          <w:p w14:paraId="0844FBE4" w14:textId="77777777" w:rsidR="0055646B" w:rsidRDefault="00726872">
            <w:pPr>
              <w:pStyle w:val="BodyText"/>
            </w:pPr>
            <w:r>
              <w:t>Yes</w:t>
            </w:r>
          </w:p>
        </w:tc>
        <w:tc>
          <w:tcPr>
            <w:tcW w:w="5732" w:type="dxa"/>
          </w:tcPr>
          <w:p w14:paraId="598018FE" w14:textId="77777777" w:rsidR="0055646B" w:rsidRDefault="00726872">
            <w:pPr>
              <w:pStyle w:val="BodyText"/>
            </w:pPr>
            <w:r>
              <w:t>Provides a documented baseline for retention and disposal decisions.</w:t>
            </w:r>
          </w:p>
        </w:tc>
      </w:tr>
      <w:tr w:rsidR="0055646B" w14:paraId="3A02539F" w14:textId="77777777">
        <w:trPr>
          <w:cantSplit/>
        </w:trPr>
        <w:tc>
          <w:tcPr>
            <w:tcW w:w="2152" w:type="dxa"/>
          </w:tcPr>
          <w:p w14:paraId="4B4C1C0F" w14:textId="77777777" w:rsidR="0055646B" w:rsidRDefault="00726872">
            <w:pPr>
              <w:pStyle w:val="BodyText"/>
            </w:pPr>
            <w:r>
              <w:t>DAC-hosted environments</w:t>
            </w:r>
          </w:p>
        </w:tc>
        <w:tc>
          <w:tcPr>
            <w:tcW w:w="1170" w:type="dxa"/>
          </w:tcPr>
          <w:p w14:paraId="41DD4DC1" w14:textId="77777777" w:rsidR="0055646B" w:rsidRDefault="00726872">
            <w:pPr>
              <w:pStyle w:val="BodyText"/>
            </w:pPr>
            <w:r>
              <w:t>Future</w:t>
            </w:r>
          </w:p>
        </w:tc>
        <w:tc>
          <w:tcPr>
            <w:tcW w:w="5732" w:type="dxa"/>
          </w:tcPr>
          <w:p w14:paraId="61FCCAF0" w14:textId="77777777" w:rsidR="0055646B" w:rsidRDefault="00726872">
            <w:pPr>
              <w:pStyle w:val="BodyText"/>
            </w:pPr>
            <w:r>
              <w:t>Confirms the Audit Office remains accountable for what is retained, for how long, and when it is disposed of.</w:t>
            </w:r>
          </w:p>
        </w:tc>
      </w:tr>
    </w:tbl>
    <w:p w14:paraId="064ECCF6" w14:textId="77777777" w:rsidR="00726872" w:rsidRDefault="00726872"/>
    <w:sectPr w:rsidR="00726872"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7C1E9" w14:textId="77777777" w:rsidR="00726872" w:rsidRDefault="00726872" w:rsidP="00211AED">
      <w:r>
        <w:separator/>
      </w:r>
    </w:p>
  </w:endnote>
  <w:endnote w:type="continuationSeparator" w:id="0">
    <w:p w14:paraId="24EC3964" w14:textId="77777777" w:rsidR="00726872" w:rsidRDefault="00726872" w:rsidP="00211AED">
      <w:r>
        <w:continuationSeparator/>
      </w:r>
    </w:p>
  </w:endnote>
  <w:endnote w:type="continuationNotice" w:id="1">
    <w:p w14:paraId="7E067EDF" w14:textId="77777777" w:rsidR="00726872" w:rsidRDefault="00726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DE76"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EFDD21"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6468"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1B9CD8"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052C" w14:textId="77777777" w:rsidR="00726872" w:rsidRDefault="00726872" w:rsidP="00211AED">
      <w:r>
        <w:separator/>
      </w:r>
    </w:p>
  </w:footnote>
  <w:footnote w:type="continuationSeparator" w:id="0">
    <w:p w14:paraId="73C0B4ED" w14:textId="77777777" w:rsidR="00726872" w:rsidRDefault="00726872" w:rsidP="00211AED">
      <w:r>
        <w:continuationSeparator/>
      </w:r>
    </w:p>
  </w:footnote>
  <w:footnote w:type="continuationNotice" w:id="1">
    <w:p w14:paraId="2156B12C" w14:textId="77777777" w:rsidR="00726872" w:rsidRDefault="007268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C193"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8CB79B"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A452"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E11F16"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6B2EC75C"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7CA31200"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3A1"/>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46B"/>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26872"/>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6D1"/>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FC14D"/>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868</Words>
  <Characters>5344</Characters>
  <Application>Microsoft Office Word</Application>
  <DocSecurity>0</DocSecurity>
  <Lines>134</Lines>
  <Paragraphs>84</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2026-05-04T04:51:00Z</cp:lastPrinted>
  <dcterms:created xsi:type="dcterms:W3CDTF">2026-05-01T01:24:00Z</dcterms:created>
  <dcterms:modified xsi:type="dcterms:W3CDTF">2026-05-04T04:51:00Z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