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Christopher Ogle, Peiyun(Seed) Zeng, Menga Lin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626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Yes, after checking the slide and comparing against our result all rules were obeyed.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2578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this we notice that all the pointers are of size 4 bytes. Which makes sense since a pointer will be holding an address. Although our machine is 64bits, each address is 32 bits.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5720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see the relationship that we would expect.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have an array of ints we see after each incrementation that the pointer moves by 4 bytes, this makes sense since the C++ standard defines an integer to take up 4 bytes.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have a double we see that the value of the pointer moves by 8 bytes. This again makes sense since a double occupies 8 bytes in memory.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have a float we see that the memory increases by 4 bytes since it is specified in the C++ Standard to be of size 4 bytes.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the characters increment by one byte. This is because the characters are of size one byte, thus to access the next element we must increment it by a single byte.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86075" cy="51816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(1)Every recursive call initialize a new stack frame that is further down in memory. Thus, the unsinged int that is on the stack from is also further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(2) /(3) : yes,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668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we realize that Struct’s size is the sum of the sizes of all member variables Plus necessary paddings.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6.png"/><Relationship Id="rId6" Type="http://schemas.openxmlformats.org/officeDocument/2006/relationships/image" Target="media/image03.png"/><Relationship Id="rId7" Type="http://schemas.openxmlformats.org/officeDocument/2006/relationships/image" Target="media/image08.png"/><Relationship Id="rId8" Type="http://schemas.openxmlformats.org/officeDocument/2006/relationships/image" Target="media/image07.png"/></Relationships>
</file>