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0D2137" w:val="clear"/>
            <w:tcMar>
              <w:top w:type="dxa" w:w="480"/>
              <w:left w:type="dxa" w:w="400"/>
              <w:bottom w:type="dxa" w:w="440"/>
              <w:right w:type="dxa" w:w="400"/>
            </w:tcMar>
          </w:tcPr>
          <w:p>
            <w:pPr>
              <w:jc w:val="center"/>
            </w:pPr>
            <w:r>
              <w:rPr>
                <w:rFonts w:ascii="Arial" w:cs="Arial" w:eastAsia="Arial" w:hAnsi="Arial"/>
                <w:b/>
                <w:bCs/>
                <w:color w:val="FFFFFF"/>
                <w:sz w:val="52"/>
                <w:szCs w:val="52"/>
              </w:rPr>
              <w:t xml:space="preserve">CERTIFICATE OF OCCUPANCY</w:t>
            </w:r>
          </w:p>
          <w:p>
            <w:pPr>
              <w:spacing w:before="80"/>
              <w:jc w:val="center"/>
            </w:pPr>
            <w:r>
              <w:rPr>
                <w:rFonts w:ascii="Arial" w:cs="Arial" w:eastAsia="Arial" w:hAnsi="Arial"/>
                <w:b/>
                <w:bCs/>
                <w:color w:val="D6E9F8"/>
                <w:sz w:val="36"/>
                <w:szCs w:val="36"/>
              </w:rPr>
              <w:t xml:space="preserve">C  of  O</w:t>
            </w:r>
          </w:p>
          <w:p>
            <w:pPr>
              <w:pBdr>
                <w:top w:val="single" w:color="B8860B" w:sz="6" w:space="8"/>
              </w:pBdr>
              <w:spacing w:before="140"/>
              <w:jc w:val="center"/>
            </w:pPr>
            <w:r>
              <w:rPr>
                <w:rFonts w:ascii="Arial" w:cs="Arial" w:eastAsia="Arial" w:hAnsi="Arial"/>
                <w:i/>
                <w:iCs/>
                <w:color w:val="D0DFF0"/>
                <w:sz w:val="24"/>
                <w:szCs w:val="24"/>
              </w:rPr>
              <w:t xml:space="preserve">Comprehensive Step-by-Step Processing Guide</w:t>
            </w:r>
          </w:p>
          <w:p>
            <w:pPr>
              <w:spacing w:before="80"/>
              <w:jc w:val="center"/>
            </w:pPr>
            <w:r>
              <w:rPr>
                <w:rFonts w:ascii="Arial" w:cs="Arial" w:eastAsia="Arial" w:hAnsi="Arial"/>
                <w:color w:val="90AAC0"/>
                <w:sz w:val="20"/>
                <w:szCs w:val="20"/>
              </w:rPr>
              <w:t xml:space="preserve">Ministry of Lands and Survey  •  Federal Republic of Nigeria</w:t>
            </w:r>
          </w:p>
        </w:tc>
      </w:tr>
      <w:tr>
        <w:tc>
          <w:tcPr>
            <w:tcW w:type="dxa" w:w="9360"/>
            <w:tcBorders>
              <w:top w:val="single" w:color="C8D8E8" w:sz="1"/>
              <w:left w:val="single" w:color="C8D8E8" w:sz="1"/>
              <w:bottom w:val="single" w:color="C8D8E8" w:sz="1"/>
              <w:right w:val="single" w:color="C8D8E8" w:sz="1"/>
            </w:tcBorders>
            <w:shd w:fill="B8860B" w:val="clear"/>
            <w:tcMar>
              <w:top w:type="dxa" w:w="100"/>
              <w:left w:type="dxa" w:w="400"/>
              <w:bottom w:type="dxa" w:w="100"/>
              <w:right w:type="dxa" w:w="400"/>
            </w:tcMar>
          </w:tcPr>
          <w:p>
            <w:pPr>
              <w:jc w:val="center"/>
            </w:pPr>
            <w:r>
              <w:rPr>
                <w:rFonts w:ascii="Arial" w:cs="Arial" w:eastAsia="Arial" w:hAnsi="Arial"/>
                <w:i/>
                <w:iCs/>
                <w:color w:val="FFFFFF"/>
                <w:sz w:val="19"/>
                <w:szCs w:val="19"/>
              </w:rPr>
              <w:t xml:space="preserve">Established under the Land Use Act, Cap. L5, Laws of the Federation of Nigeria 1978</w:t>
            </w:r>
          </w:p>
        </w:tc>
      </w:tr>
    </w:tbl>
    <w:p>
      <w:pPr>
        <w:spacing w:before="160"/>
      </w:pPr>
      <w:r>
        <w:t xml:space="preserve"/>
      </w:r>
    </w:p>
    <w:p>
      <w:pPr>
        <w:pStyle w:val="Heading1"/>
        <w:spacing w:before="420" w:after="60"/>
      </w:pPr>
      <w:r>
        <w:rPr>
          <w:rFonts w:ascii="Arial" w:cs="Arial" w:eastAsia="Arial" w:hAnsi="Arial"/>
          <w:b/>
          <w:bCs/>
          <w:color w:val="0D2137"/>
          <w:sz w:val="30"/>
          <w:szCs w:val="30"/>
        </w:rPr>
        <w:t xml:space="preserve">1.  OVERVIEW — WHAT IS A CERTIFICATE OF OCCUPANCY?</w:t>
      </w:r>
    </w:p>
    <w:p>
      <w:pPr>
        <w:pBdr>
          <w:bottom w:val="single" w:color="1A4878" w:sz="10" w:space="1"/>
        </w:pBdr>
        <w:spacing w:before="0" w:after="0"/>
      </w:pPr>
      <w:r>
        <w:t xml:space="preserve"/>
      </w:r>
    </w:p>
    <w:p>
      <w:pPr>
        <w:spacing w:before="80"/>
      </w:pPr>
      <w:r>
        <w:t xml:space="preserve"/>
      </w:r>
    </w:p>
    <w:p>
      <w:pPr>
        <w:spacing w:before="80" w:after="80"/>
        <w:jc w:val="both"/>
      </w:pPr>
      <w:r>
        <w:rPr>
          <w:rFonts w:ascii="Arial" w:cs="Arial" w:eastAsia="Arial" w:hAnsi="Arial"/>
          <w:color w:val="1C1C1C"/>
          <w:sz w:val="22"/>
          <w:szCs w:val="22"/>
        </w:rPr>
        <w:t xml:space="preserve">A Certificate of Occupancy (C of O) is the premier legal document issued by a State Government in Nigeria, certifying an individual's or organisation's right to occupy and use a parcel of land for a specified period — typically 99 years. Established under the Land Use Act of 1978 (Cap. L5, LFN), this document serves as conclusive proof of legal interest in land and is essential for protecting property rights, accessing bank loans, and facilitating real estate transactions.</w:t>
      </w:r>
    </w:p>
    <w:p>
      <w:pPr>
        <w:spacing w:before="80"/>
      </w:pPr>
      <w:r>
        <w:t xml:space="preserve"/>
      </w:r>
    </w:p>
    <w:p>
      <w:pPr>
        <w:spacing w:before="80" w:after="80"/>
        <w:jc w:val="both"/>
      </w:pPr>
      <w:r>
        <w:rPr>
          <w:rFonts w:ascii="Arial" w:cs="Arial" w:eastAsia="Arial" w:hAnsi="Arial"/>
          <w:color w:val="1C1C1C"/>
          <w:sz w:val="22"/>
          <w:szCs w:val="22"/>
        </w:rPr>
        <w:t xml:space="preserve">Under the Land Use Act, all land in every state is vested in the Governor of that state. The C of O is therefore the Governor's formal grant of statutory occupancy rights to the applicant — making it the highest and most defensible form of land title available in Nigeria.</w:t>
      </w:r>
    </w:p>
    <w:p>
      <w:pPr>
        <w:spacing w:before="80"/>
      </w:pPr>
      <w:r>
        <w:t xml:space="preserve"/>
      </w:r>
    </w:p>
    <w:p>
      <w:pPr>
        <w:pStyle w:val="Heading2"/>
        <w:spacing w:before="280" w:after="80"/>
      </w:pPr>
      <w:r>
        <w:rPr>
          <w:rFonts w:ascii="Arial" w:cs="Arial" w:eastAsia="Arial" w:hAnsi="Arial"/>
          <w:b/>
          <w:bCs/>
          <w:color w:val="1A4878"/>
          <w:sz w:val="24"/>
          <w:szCs w:val="24"/>
        </w:rPr>
        <w:t xml:space="preserve">Why the C of O Is Essential</w:t>
      </w:r>
    </w:p>
    <w:p>
      <w:pPr>
        <w:pStyle w:val="ListParagraph"/>
        <w:numPr>
          <w:ilvl w:val="0"/>
          <w:numId w:val="2"/>
        </w:numPr>
        <w:spacing w:before="60" w:after="60"/>
      </w:pPr>
      <w:r>
        <w:rPr>
          <w:rFonts w:ascii="Arial" w:cs="Arial" w:eastAsia="Arial" w:hAnsi="Arial"/>
          <w:color w:val="1C1C1C"/>
          <w:sz w:val="22"/>
          <w:szCs w:val="22"/>
        </w:rPr>
        <w:t xml:space="preserve">Legal proof of ownership — recognised and enforceable in any court of law</w:t>
      </w:r>
    </w:p>
    <w:p>
      <w:pPr>
        <w:pStyle w:val="ListParagraph"/>
        <w:numPr>
          <w:ilvl w:val="0"/>
          <w:numId w:val="2"/>
        </w:numPr>
        <w:spacing w:before="60" w:after="60"/>
      </w:pPr>
      <w:r>
        <w:rPr>
          <w:rFonts w:ascii="Arial" w:cs="Arial" w:eastAsia="Arial" w:hAnsi="Arial"/>
          <w:color w:val="1C1C1C"/>
          <w:sz w:val="22"/>
          <w:szCs w:val="22"/>
        </w:rPr>
        <w:t xml:space="preserve">Protection from government land acquisition without compensation</w:t>
      </w:r>
    </w:p>
    <w:p>
      <w:pPr>
        <w:pStyle w:val="ListParagraph"/>
        <w:numPr>
          <w:ilvl w:val="0"/>
          <w:numId w:val="2"/>
        </w:numPr>
        <w:spacing w:before="60" w:after="60"/>
      </w:pPr>
      <w:r>
        <w:rPr>
          <w:rFonts w:ascii="Arial" w:cs="Arial" w:eastAsia="Arial" w:hAnsi="Arial"/>
          <w:color w:val="1C1C1C"/>
          <w:sz w:val="22"/>
          <w:szCs w:val="22"/>
        </w:rPr>
        <w:t xml:space="preserve">Mandatory collateral requirement for bank loans, mortgages, and financing</w:t>
      </w:r>
    </w:p>
    <w:p>
      <w:pPr>
        <w:pStyle w:val="ListParagraph"/>
        <w:numPr>
          <w:ilvl w:val="0"/>
          <w:numId w:val="2"/>
        </w:numPr>
        <w:spacing w:before="60" w:after="60"/>
      </w:pPr>
      <w:r>
        <w:rPr>
          <w:rFonts w:ascii="Arial" w:cs="Arial" w:eastAsia="Arial" w:hAnsi="Arial"/>
          <w:color w:val="1C1C1C"/>
          <w:sz w:val="22"/>
          <w:szCs w:val="22"/>
        </w:rPr>
        <w:t xml:space="preserve">Significantly increases the market value and resale potential of the property</w:t>
      </w:r>
    </w:p>
    <w:p>
      <w:pPr>
        <w:pStyle w:val="ListParagraph"/>
        <w:numPr>
          <w:ilvl w:val="0"/>
          <w:numId w:val="2"/>
        </w:numPr>
        <w:spacing w:before="60" w:after="60"/>
      </w:pPr>
      <w:r>
        <w:rPr>
          <w:rFonts w:ascii="Arial" w:cs="Arial" w:eastAsia="Arial" w:hAnsi="Arial"/>
          <w:color w:val="1C1C1C"/>
          <w:sz w:val="22"/>
          <w:szCs w:val="22"/>
        </w:rPr>
        <w:t xml:space="preserve">Required for building plan approvals, development permits, and construction sign-off</w:t>
      </w:r>
    </w:p>
    <w:p>
      <w:pPr>
        <w:pStyle w:val="ListParagraph"/>
        <w:numPr>
          <w:ilvl w:val="0"/>
          <w:numId w:val="2"/>
        </w:numPr>
        <w:spacing w:before="60" w:after="60"/>
      </w:pPr>
      <w:r>
        <w:rPr>
          <w:rFonts w:ascii="Arial" w:cs="Arial" w:eastAsia="Arial" w:hAnsi="Arial"/>
          <w:color w:val="1C1C1C"/>
          <w:sz w:val="22"/>
          <w:szCs w:val="22"/>
        </w:rPr>
        <w:t xml:space="preserve">Enables lawful transfer, sale, lease, gift, or inheritance of the land</w:t>
      </w:r>
    </w:p>
    <w:p>
      <w:pPr>
        <w:pStyle w:val="ListParagraph"/>
        <w:numPr>
          <w:ilvl w:val="0"/>
          <w:numId w:val="2"/>
        </w:numPr>
        <w:spacing w:before="60" w:after="60"/>
      </w:pPr>
      <w:r>
        <w:rPr>
          <w:rFonts w:ascii="Arial" w:cs="Arial" w:eastAsia="Arial" w:hAnsi="Arial"/>
          <w:color w:val="1C1C1C"/>
          <w:sz w:val="22"/>
          <w:szCs w:val="22"/>
        </w:rPr>
        <w:t xml:space="preserve">Permanently resolves boundary disputes and encroachment claims</w:t>
      </w:r>
    </w:p>
    <w:p>
      <w:pPr>
        <w:pStyle w:val="ListParagraph"/>
        <w:numPr>
          <w:ilvl w:val="0"/>
          <w:numId w:val="2"/>
        </w:numPr>
        <w:spacing w:before="60" w:after="60"/>
      </w:pPr>
      <w:r>
        <w:rPr>
          <w:rFonts w:ascii="Arial" w:cs="Arial" w:eastAsia="Arial" w:hAnsi="Arial"/>
          <w:color w:val="1C1C1C"/>
          <w:sz w:val="22"/>
          <w:szCs w:val="22"/>
        </w:rPr>
        <w:t xml:space="preserve">Qualifies the land for corporate investment and institutional transactions</w:t>
      </w:r>
    </w:p>
    <w:p>
      <w:pPr>
        <w:spacing w:before="160"/>
      </w:pPr>
      <w:r>
        <w:t xml:space="preserve"/>
      </w:r>
    </w:p>
    <w:p>
      <w:pPr>
        <w:pStyle w:val="Heading1"/>
        <w:spacing w:before="420" w:after="60"/>
      </w:pPr>
      <w:r>
        <w:rPr>
          <w:rFonts w:ascii="Arial" w:cs="Arial" w:eastAsia="Arial" w:hAnsi="Arial"/>
          <w:b/>
          <w:bCs/>
          <w:color w:val="0D2137"/>
          <w:sz w:val="30"/>
          <w:szCs w:val="30"/>
        </w:rPr>
        <w:t xml:space="preserve">2.  DOCUMENTATION REQUIREMENTS</w:t>
      </w:r>
    </w:p>
    <w:p>
      <w:pPr>
        <w:pBdr>
          <w:bottom w:val="single" w:color="1A4878" w:sz="10" w:space="1"/>
        </w:pBdr>
        <w:spacing w:before="0" w:after="0"/>
      </w:pPr>
      <w:r>
        <w:t xml:space="preserve"/>
      </w:r>
    </w:p>
    <w:p>
      <w:pPr>
        <w:spacing w:before="80"/>
      </w:pPr>
      <w:r>
        <w:t xml:space="preserve"/>
      </w:r>
    </w:p>
    <w:p>
      <w:pPr>
        <w:spacing w:before="80" w:after="80"/>
        <w:jc w:val="both"/>
      </w:pPr>
      <w:r>
        <w:rPr>
          <w:rFonts w:ascii="Arial" w:cs="Arial" w:eastAsia="Arial" w:hAnsi="Arial"/>
          <w:color w:val="1C1C1C"/>
          <w:sz w:val="22"/>
          <w:szCs w:val="22"/>
        </w:rPr>
        <w:t xml:space="preserve">Before initiating any C of O application, all documents listed below must be fully prepared and verified. Submitting an incomplete or defective file is the most common cause of rejection and delay. Applicants are strongly advised to assemble every item before approaching the Ministry.</w:t>
      </w:r>
    </w:p>
    <w:p>
      <w:pPr>
        <w:spacing w:before="80"/>
      </w:pPr>
      <w:r>
        <w:t xml:space="preserve"/>
      </w:r>
    </w:p>
    <w:p>
      <w:pPr>
        <w:pStyle w:val="Heading2"/>
        <w:spacing w:before="280" w:after="80"/>
      </w:pPr>
      <w:r>
        <w:rPr>
          <w:rFonts w:ascii="Arial" w:cs="Arial" w:eastAsia="Arial" w:hAnsi="Arial"/>
          <w:b/>
          <w:bCs/>
          <w:color w:val="1A4878"/>
          <w:sz w:val="24"/>
          <w:szCs w:val="24"/>
        </w:rPr>
        <w:t xml:space="preserve">2.1  Mandatory Documents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4480"/>
        <w:gridCol w:w="1600"/>
      </w:tblGrid>
      <w:tr>
        <w:tc>
          <w:tcPr>
            <w:tcW w:type="dxa" w:w="48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No.</w:t>
            </w:r>
          </w:p>
        </w:tc>
        <w:tc>
          <w:tcPr>
            <w:tcW w:type="dxa" w:w="280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Document</w:t>
            </w:r>
          </w:p>
        </w:tc>
        <w:tc>
          <w:tcPr>
            <w:tcW w:type="dxa" w:w="448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Specification &amp; Details</w:t>
            </w:r>
          </w:p>
        </w:tc>
        <w:tc>
          <w:tcPr>
            <w:tcW w:type="dxa" w:w="160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Status</w:t>
            </w:r>
          </w:p>
        </w:tc>
      </w:tr>
      <w:tr>
        <w:tc>
          <w:tcPr>
            <w:tcW w:type="dxa" w:w="480"/>
            <w:tcBorders>
              <w:top w:val="single" w:color="C8D8E8" w:sz="1"/>
              <w:left w:val="single" w:color="C8D8E8" w:sz="1"/>
              <w:bottom w:val="single" w:color="C8D8E8" w:sz="1"/>
              <w:right w:val="single" w:color="C8D8E8" w:sz="1"/>
            </w:tcBorders>
            <w:shd w:fill="EBF4FB"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1</w:t>
            </w:r>
          </w:p>
        </w:tc>
        <w:tc>
          <w:tcPr>
            <w:tcW w:type="dxa" w:w="2800"/>
            <w:tcBorders>
              <w:top w:val="single" w:color="C8D8E8" w:sz="1"/>
              <w:left w:val="single" w:color="C8D8E8" w:sz="1"/>
              <w:bottom w:val="single" w:color="C8D8E8" w:sz="1"/>
              <w:right w:val="single" w:color="C8D8E8" w:sz="1"/>
            </w:tcBorders>
            <w:shd w:fill="EBF4FB" w:val="clear"/>
            <w:tcMar>
              <w:top w:type="dxa" w:w="110"/>
              <w:left w:type="dxa" w:w="150"/>
              <w:bottom w:type="dxa" w:w="110"/>
              <w:right w:type="dxa" w:w="120"/>
            </w:tcMar>
            <w:vAlign w:val="center"/>
          </w:tcPr>
          <w:p>
            <w:pPr>
              <w:jc w:val="left"/>
            </w:pPr>
            <w:r>
              <w:rPr>
                <w:rFonts w:ascii="Arial" w:cs="Arial" w:eastAsia="Arial" w:hAnsi="Arial"/>
                <w:b/>
                <w:bCs/>
                <w:color w:val="1C1C1C"/>
                <w:sz w:val="21"/>
                <w:szCs w:val="21"/>
              </w:rPr>
              <w:t xml:space="preserve">Passport Photographs</w:t>
            </w:r>
          </w:p>
        </w:tc>
        <w:tc>
          <w:tcPr>
            <w:tcW w:type="dxa" w:w="448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Two (2) recent colour passport-sized photographs (2" x 2") with a white or red background depending on state requirements. Must be clear, current, and taken within the last 6 months. Have extras available as some states require additional copies.</w:t>
            </w:r>
          </w:p>
        </w:tc>
        <w:tc>
          <w:tcPr>
            <w:tcW w:type="dxa" w:w="1600"/>
            <w:tcBorders>
              <w:top w:val="single" w:color="C8D8E8" w:sz="1"/>
              <w:left w:val="single" w:color="C8D8E8" w:sz="1"/>
              <w:bottom w:val="single" w:color="C8D8E8" w:sz="1"/>
              <w:right w:val="single" w:color="C8D8E8" w:sz="1"/>
            </w:tcBorders>
            <w:shd w:fill="E8F8EE" w:val="clear"/>
            <w:tcMar>
              <w:top w:type="dxa" w:w="110"/>
              <w:left w:type="dxa" w:w="150"/>
              <w:bottom w:type="dxa" w:w="110"/>
              <w:right w:type="dxa" w:w="120"/>
            </w:tcMar>
            <w:vAlign w:val="center"/>
          </w:tcPr>
          <w:p>
            <w:pPr>
              <w:jc w:val="center"/>
            </w:pPr>
            <w:r>
              <w:rPr>
                <w:rFonts w:ascii="Arial" w:cs="Arial" w:eastAsia="Arial" w:hAnsi="Arial"/>
                <w:b/>
                <w:bCs/>
                <w:color w:val="1A6B3C"/>
                <w:sz w:val="21"/>
                <w:szCs w:val="21"/>
              </w:rPr>
              <w:t xml:space="preserve">MANDATORY</w:t>
            </w:r>
          </w:p>
        </w:tc>
      </w:tr>
      <w:tr>
        <w:tc>
          <w:tcPr>
            <w:tcW w:type="dxa" w:w="480"/>
            <w:tcBorders>
              <w:top w:val="single" w:color="C8D8E8" w:sz="1"/>
              <w:left w:val="single" w:color="C8D8E8" w:sz="1"/>
              <w:bottom w:val="single" w:color="C8D8E8" w:sz="1"/>
              <w:right w:val="single" w:color="C8D8E8" w:sz="1"/>
            </w:tcBorders>
            <w:shd w:fill="EBF4FB"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2</w:t>
            </w:r>
          </w:p>
        </w:tc>
        <w:tc>
          <w:tcPr>
            <w:tcW w:type="dxa" w:w="2800"/>
            <w:tcBorders>
              <w:top w:val="single" w:color="C8D8E8" w:sz="1"/>
              <w:left w:val="single" w:color="C8D8E8" w:sz="1"/>
              <w:bottom w:val="single" w:color="C8D8E8" w:sz="1"/>
              <w:right w:val="single" w:color="C8D8E8" w:sz="1"/>
            </w:tcBorders>
            <w:shd w:fill="EBF4FB" w:val="clear"/>
            <w:tcMar>
              <w:top w:type="dxa" w:w="110"/>
              <w:left w:type="dxa" w:w="150"/>
              <w:bottom w:type="dxa" w:w="110"/>
              <w:right w:type="dxa" w:w="120"/>
            </w:tcMar>
            <w:vAlign w:val="center"/>
          </w:tcPr>
          <w:p>
            <w:pPr>
              <w:jc w:val="left"/>
            </w:pPr>
            <w:r>
              <w:rPr>
                <w:rFonts w:ascii="Arial" w:cs="Arial" w:eastAsia="Arial" w:hAnsi="Arial"/>
                <w:b/>
                <w:bCs/>
                <w:color w:val="1C1C1C"/>
                <w:sz w:val="21"/>
                <w:szCs w:val="21"/>
              </w:rPr>
              <w:t xml:space="preserve">Survey Plan</w:t>
            </w:r>
          </w:p>
        </w:tc>
        <w:tc>
          <w:tcPr>
            <w:tcW w:type="dxa" w:w="448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Two (2) copies — prepared and certified by a Registered Surveyor licensed by the Surveyors Council of Nigeria (SURCON). The plan must detail exact land dimensions, beacon numbers, coordinates, and adjacent properties. It must be duly numbered and registered with the state's survey department. Some states also require a cloth copy.</w:t>
            </w:r>
          </w:p>
        </w:tc>
        <w:tc>
          <w:tcPr>
            <w:tcW w:type="dxa" w:w="1600"/>
            <w:tcBorders>
              <w:top w:val="single" w:color="C8D8E8" w:sz="1"/>
              <w:left w:val="single" w:color="C8D8E8" w:sz="1"/>
              <w:bottom w:val="single" w:color="C8D8E8" w:sz="1"/>
              <w:right w:val="single" w:color="C8D8E8" w:sz="1"/>
            </w:tcBorders>
            <w:shd w:fill="E8F8EE" w:val="clear"/>
            <w:tcMar>
              <w:top w:type="dxa" w:w="110"/>
              <w:left w:type="dxa" w:w="150"/>
              <w:bottom w:type="dxa" w:w="110"/>
              <w:right w:type="dxa" w:w="120"/>
            </w:tcMar>
            <w:vAlign w:val="center"/>
          </w:tcPr>
          <w:p>
            <w:pPr>
              <w:jc w:val="center"/>
            </w:pPr>
            <w:r>
              <w:rPr>
                <w:rFonts w:ascii="Arial" w:cs="Arial" w:eastAsia="Arial" w:hAnsi="Arial"/>
                <w:b/>
                <w:bCs/>
                <w:color w:val="1A6B3C"/>
                <w:sz w:val="21"/>
                <w:szCs w:val="21"/>
              </w:rPr>
              <w:t xml:space="preserve">MANDATORY</w:t>
            </w:r>
          </w:p>
        </w:tc>
      </w:tr>
      <w:tr>
        <w:tc>
          <w:tcPr>
            <w:tcW w:type="dxa" w:w="480"/>
            <w:tcBorders>
              <w:top w:val="single" w:color="C8D8E8" w:sz="1"/>
              <w:left w:val="single" w:color="C8D8E8" w:sz="1"/>
              <w:bottom w:val="single" w:color="C8D8E8" w:sz="1"/>
              <w:right w:val="single" w:color="C8D8E8" w:sz="1"/>
            </w:tcBorders>
            <w:shd w:fill="EBF4FB"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3</w:t>
            </w:r>
          </w:p>
        </w:tc>
        <w:tc>
          <w:tcPr>
            <w:tcW w:type="dxa" w:w="2800"/>
            <w:tcBorders>
              <w:top w:val="single" w:color="C8D8E8" w:sz="1"/>
              <w:left w:val="single" w:color="C8D8E8" w:sz="1"/>
              <w:bottom w:val="single" w:color="C8D8E8" w:sz="1"/>
              <w:right w:val="single" w:color="C8D8E8" w:sz="1"/>
            </w:tcBorders>
            <w:shd w:fill="EBF4FB" w:val="clear"/>
            <w:tcMar>
              <w:top w:type="dxa" w:w="110"/>
              <w:left w:type="dxa" w:w="150"/>
              <w:bottom w:type="dxa" w:w="110"/>
              <w:right w:type="dxa" w:w="120"/>
            </w:tcMar>
            <w:vAlign w:val="center"/>
          </w:tcPr>
          <w:p>
            <w:pPr>
              <w:jc w:val="left"/>
            </w:pPr>
            <w:r>
              <w:rPr>
                <w:rFonts w:ascii="Arial" w:cs="Arial" w:eastAsia="Arial" w:hAnsi="Arial"/>
                <w:b/>
                <w:bCs/>
                <w:color w:val="1C1C1C"/>
                <w:sz w:val="21"/>
                <w:szCs w:val="21"/>
              </w:rPr>
              <w:t xml:space="preserve">Land Purchase Receipt or Agreement of Sale</w:t>
            </w:r>
          </w:p>
        </w:tc>
        <w:tc>
          <w:tcPr>
            <w:tcW w:type="dxa" w:w="448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Original receipt of land purchase OR signed Agreement/Deed of Assignment between buyer and seller. CRITICAL: This document must carry a valid Stamp Duty seal issued by the Federal Inland Revenue Service (FIRS) or State Board of Internal Revenue. Stamp Duty is a government tax that legally validates the transaction. Without it, the document is inadmissible and the application will be rejected.</w:t>
            </w:r>
          </w:p>
        </w:tc>
        <w:tc>
          <w:tcPr>
            <w:tcW w:type="dxa" w:w="1600"/>
            <w:tcBorders>
              <w:top w:val="single" w:color="C8D8E8" w:sz="1"/>
              <w:left w:val="single" w:color="C8D8E8" w:sz="1"/>
              <w:bottom w:val="single" w:color="C8D8E8" w:sz="1"/>
              <w:right w:val="single" w:color="C8D8E8" w:sz="1"/>
            </w:tcBorders>
            <w:shd w:fill="FFF0F0" w:val="clear"/>
            <w:tcMar>
              <w:top w:type="dxa" w:w="110"/>
              <w:left w:type="dxa" w:w="150"/>
              <w:bottom w:type="dxa" w:w="110"/>
              <w:right w:type="dxa" w:w="120"/>
            </w:tcMar>
            <w:vAlign w:val="center"/>
          </w:tcPr>
          <w:p>
            <w:pPr>
              <w:jc w:val="center"/>
            </w:pPr>
            <w:r>
              <w:rPr>
                <w:rFonts w:ascii="Arial" w:cs="Arial" w:eastAsia="Arial" w:hAnsi="Arial"/>
                <w:b/>
                <w:bCs/>
                <w:color w:val="9B1C1C"/>
                <w:sz w:val="21"/>
                <w:szCs w:val="21"/>
              </w:rPr>
              <w:t xml:space="preserve">MANDATORY — STAMP DUTY REQUIRED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C1C" w:sz="12"/>
              <w:left w:val="single" w:color="9B1C1C" w:sz="20"/>
              <w:bottom w:val="single" w:color="9B1C1C" w:sz="4"/>
              <w:right w:val="single" w:color="9B1C1C" w:sz="4"/>
            </w:tcBorders>
            <w:shd w:fill="FFF0F0" w:val="clear"/>
            <w:tcMar>
              <w:top w:type="dxa" w:w="140"/>
              <w:left w:type="dxa" w:w="220"/>
              <w:bottom w:type="dxa" w:w="140"/>
              <w:right w:type="dxa" w:w="200"/>
            </w:tcMar>
          </w:tcPr>
          <w:p>
            <w:pPr>
              <w:spacing w:after="40"/>
            </w:pPr>
            <w:r>
              <w:rPr>
                <w:rFonts w:ascii="Arial" w:cs="Arial" w:eastAsia="Arial" w:hAnsi="Arial"/>
                <w:b/>
                <w:bCs/>
                <w:color w:val="9B1C1C"/>
                <w:sz w:val="22"/>
                <w:szCs w:val="22"/>
              </w:rPr>
              <w:t xml:space="preserve">⚠  STAMP DUTY — NON-NEGOTIABLE REQUIREMENT</w:t>
            </w:r>
          </w:p>
          <w:p>
            <w:r>
              <w:rPr>
                <w:rFonts w:ascii="Arial" w:cs="Arial" w:eastAsia="Arial" w:hAnsi="Arial"/>
                <w:color w:val="6B0000"/>
                <w:sz w:val="21"/>
                <w:szCs w:val="21"/>
              </w:rPr>
              <w:t xml:space="preserve">Any land receipt or sale agreement submitted WITHOUT a valid Stamp Duty impression will be rejected outright. Stamp Duty must be obtained BEFORE submission from the Federal Inland Revenue Service (FIRS) or the relevant State Board of Internal Revenue. It cannot be added retrospectively to a document already submitted. Do not proceed to the Ministry without this.</w:t>
            </w:r>
          </w:p>
        </w:tc>
      </w:tr>
    </w:tbl>
    <w:p>
      <w:pPr>
        <w:spacing w:before="80"/>
      </w:pPr>
      <w:r>
        <w:t xml:space="preserve"/>
      </w:r>
    </w:p>
    <w:p>
      <w:pPr>
        <w:pStyle w:val="Heading2"/>
        <w:spacing w:before="280" w:after="80"/>
      </w:pPr>
      <w:r>
        <w:rPr>
          <w:rFonts w:ascii="Arial" w:cs="Arial" w:eastAsia="Arial" w:hAnsi="Arial"/>
          <w:b/>
          <w:bCs/>
          <w:color w:val="1A4878"/>
          <w:sz w:val="24"/>
          <w:szCs w:val="24"/>
        </w:rPr>
        <w:t xml:space="preserve">2.2  Supplementary Documents (Frequently Required)</w:t>
      </w:r>
    </w:p>
    <w:p>
      <w:pPr>
        <w:spacing w:before="80" w:after="80"/>
        <w:jc w:val="both"/>
      </w:pPr>
      <w:r>
        <w:rPr>
          <w:rFonts w:ascii="Arial" w:cs="Arial" w:eastAsia="Arial" w:hAnsi="Arial"/>
          <w:color w:val="1C1C1C"/>
          <w:sz w:val="22"/>
          <w:szCs w:val="22"/>
        </w:rPr>
        <w:t xml:space="preserve">While the three documents above are the core mandatory requirements, the following are commonly requested across various states and should be prepared in advance to avoid delays:</w:t>
      </w:r>
    </w:p>
    <w:p>
      <w:pPr>
        <w:spacing w:before="80"/>
      </w:pPr>
      <w:r>
        <w:t xml:space="preserve"/>
      </w:r>
    </w:p>
    <w:p>
      <w:pPr>
        <w:pStyle w:val="ListParagraph"/>
        <w:numPr>
          <w:ilvl w:val="0"/>
          <w:numId w:val="2"/>
        </w:numPr>
        <w:spacing w:before="60" w:after="60"/>
      </w:pPr>
      <w:r>
        <w:rPr>
          <w:rFonts w:ascii="Arial" w:cs="Arial" w:eastAsia="Arial" w:hAnsi="Arial"/>
          <w:color w:val="1C1C1C"/>
          <w:sz w:val="22"/>
          <w:szCs w:val="22"/>
        </w:rPr>
        <w:t xml:space="preserve">Tax Clearance Certificate — usually covering the preceding three (3) years, for both individual and corporate applicants</w:t>
      </w:r>
    </w:p>
    <w:p>
      <w:pPr>
        <w:pStyle w:val="ListParagraph"/>
        <w:numPr>
          <w:ilvl w:val="0"/>
          <w:numId w:val="2"/>
        </w:numPr>
        <w:spacing w:before="60" w:after="60"/>
      </w:pPr>
      <w:r>
        <w:rPr>
          <w:rFonts w:ascii="Arial" w:cs="Arial" w:eastAsia="Arial" w:hAnsi="Arial"/>
          <w:color w:val="1C1C1C"/>
          <w:sz w:val="22"/>
          <w:szCs w:val="22"/>
        </w:rPr>
        <w:t xml:space="preserve">Valid Means of Identification — National ID Card, International Passport, or Driver's Licence</w:t>
      </w:r>
    </w:p>
    <w:p>
      <w:pPr>
        <w:pStyle w:val="ListParagraph"/>
        <w:numPr>
          <w:ilvl w:val="0"/>
          <w:numId w:val="2"/>
        </w:numPr>
        <w:spacing w:before="60" w:after="60"/>
      </w:pPr>
      <w:r>
        <w:rPr>
          <w:rFonts w:ascii="Arial" w:cs="Arial" w:eastAsia="Arial" w:hAnsi="Arial"/>
          <w:color w:val="1C1C1C"/>
          <w:sz w:val="22"/>
          <w:szCs w:val="22"/>
        </w:rPr>
        <w:t xml:space="preserve">Affidavit — a court-sworn affidavit confirming the land transaction or explaining any missing documents</w:t>
      </w:r>
    </w:p>
    <w:p>
      <w:pPr>
        <w:pStyle w:val="ListParagraph"/>
        <w:numPr>
          <w:ilvl w:val="0"/>
          <w:numId w:val="2"/>
        </w:numPr>
        <w:spacing w:before="60" w:after="60"/>
      </w:pPr>
      <w:r>
        <w:rPr>
          <w:rFonts w:ascii="Arial" w:cs="Arial" w:eastAsia="Arial" w:hAnsi="Arial"/>
          <w:color w:val="1C1C1C"/>
          <w:sz w:val="22"/>
          <w:szCs w:val="22"/>
        </w:rPr>
        <w:t xml:space="preserve">CAC Documents (Corporate Applicants only) — Certified True Copies of Certificate of Incorporation, Form CAC 1.1 or 2.3, and other company registration documents</w:t>
      </w:r>
    </w:p>
    <w:p>
      <w:pPr>
        <w:pStyle w:val="ListParagraph"/>
        <w:numPr>
          <w:ilvl w:val="0"/>
          <w:numId w:val="2"/>
        </w:numPr>
        <w:spacing w:before="60" w:after="60"/>
      </w:pPr>
      <w:r>
        <w:rPr>
          <w:rFonts w:ascii="Arial" w:cs="Arial" w:eastAsia="Arial" w:hAnsi="Arial"/>
          <w:color w:val="1C1C1C"/>
          <w:sz w:val="22"/>
          <w:szCs w:val="22"/>
        </w:rPr>
        <w:t xml:space="preserve">Current Photographs of the Property — showing the present state of the land and any existing developments or structures on it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2"/>
              <w:left w:val="single" w:color="2E6DA4" w:sz="20"/>
              <w:bottom w:val="single" w:color="2E6DA4" w:sz="4"/>
              <w:right w:val="single" w:color="2E6DA4" w:sz="4"/>
            </w:tcBorders>
            <w:shd w:fill="EBF4FB" w:val="clear"/>
            <w:tcMar>
              <w:top w:type="dxa" w:w="140"/>
              <w:left w:type="dxa" w:w="220"/>
              <w:bottom w:type="dxa" w:w="140"/>
              <w:right w:type="dxa" w:w="200"/>
            </w:tcMar>
          </w:tcPr>
          <w:p>
            <w:pPr>
              <w:spacing w:after="40"/>
            </w:pPr>
            <w:r>
              <w:rPr>
                <w:rFonts w:ascii="Arial" w:cs="Arial" w:eastAsia="Arial" w:hAnsi="Arial"/>
                <w:b/>
                <w:bCs/>
                <w:color w:val="2E6DA4"/>
                <w:sz w:val="22"/>
                <w:szCs w:val="22"/>
              </w:rPr>
              <w:t xml:space="preserve">ℹ  NOTE ON STATE VARIATIONS</w:t>
            </w:r>
          </w:p>
          <w:p>
            <w:r>
              <w:rPr>
                <w:rFonts w:ascii="Arial" w:cs="Arial" w:eastAsia="Arial" w:hAnsi="Arial"/>
                <w:color w:val="0C2D5E"/>
                <w:sz w:val="21"/>
                <w:szCs w:val="21"/>
              </w:rPr>
              <w:t xml:space="preserve">Requirements vary between states. Lagos, Abuja FCT, Oyo, Anambra, and other states may have additional or different documentation demands. Always confirm the current checklist with your specific state's Ministry of Lands or Land Bureau before submitting your application.</w:t>
            </w:r>
          </w:p>
        </w:tc>
      </w:tr>
    </w:tbl>
    <w:p>
      <w:pPr>
        <w:spacing w:before="160"/>
      </w:pPr>
      <w:r>
        <w:t xml:space="preserve"/>
      </w:r>
    </w:p>
    <w:p>
      <w:pPr>
        <w:pStyle w:val="Heading1"/>
        <w:spacing w:before="420" w:after="60"/>
      </w:pPr>
      <w:r>
        <w:rPr>
          <w:rFonts w:ascii="Arial" w:cs="Arial" w:eastAsia="Arial" w:hAnsi="Arial"/>
          <w:b/>
          <w:bCs/>
          <w:color w:val="0D2137"/>
          <w:sz w:val="30"/>
          <w:szCs w:val="30"/>
        </w:rPr>
        <w:t xml:space="preserve">3.  OFFICIAL GOVERNMENT FEES — PRE-PROCESSING STAGE</w:t>
      </w:r>
    </w:p>
    <w:p>
      <w:pPr>
        <w:pBdr>
          <w:bottom w:val="single" w:color="1A4878" w:sz="10" w:space="1"/>
        </w:pBdr>
        <w:spacing w:before="0" w:after="0"/>
      </w:pPr>
      <w:r>
        <w:t xml:space="preserve"/>
      </w:r>
    </w:p>
    <w:p>
      <w:pPr>
        <w:spacing w:before="80"/>
      </w:pPr>
      <w:r>
        <w:t xml:space="preserve"/>
      </w:r>
    </w:p>
    <w:p>
      <w:pPr>
        <w:spacing w:before="80" w:after="80"/>
        <w:jc w:val="both"/>
      </w:pPr>
      <w:r>
        <w:rPr>
          <w:rFonts w:ascii="Arial" w:cs="Arial" w:eastAsia="Arial" w:hAnsi="Arial"/>
          <w:color w:val="1C1C1C"/>
          <w:sz w:val="22"/>
          <w:szCs w:val="22"/>
        </w:rPr>
        <w:t xml:space="preserve">Once all required documents are assembled and verified, the applicant proceeds to the Ministry of Lands to pay the initial official fees and formally submit the application. All payments must be made through official government channels — designated banks, state treasury, or government payment portals. Always obtain stamped and signed receipts for every payment. The specific amount for each fee is determined by the relevant government agency at the time of application.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5880"/>
      </w:tblGrid>
      <w:tr>
        <w:tc>
          <w:tcPr>
            <w:tcW w:type="dxa" w:w="48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w:t>
            </w:r>
          </w:p>
        </w:tc>
        <w:tc>
          <w:tcPr>
            <w:tcW w:type="dxa" w:w="300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Fee Description</w:t>
            </w:r>
          </w:p>
        </w:tc>
        <w:tc>
          <w:tcPr>
            <w:tcW w:type="dxa" w:w="588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Purpose</w:t>
            </w:r>
          </w:p>
        </w:tc>
      </w:tr>
      <w:tr>
        <w:tc>
          <w:tcPr>
            <w:tcW w:type="dxa" w:w="48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1</w:t>
            </w:r>
          </w:p>
        </w:tc>
        <w:tc>
          <w:tcPr>
            <w:tcW w:type="dxa" w:w="300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left"/>
            </w:pPr>
            <w:r>
              <w:rPr>
                <w:rFonts w:ascii="Arial" w:cs="Arial" w:eastAsia="Arial" w:hAnsi="Arial"/>
                <w:b/>
                <w:bCs/>
                <w:color w:val="1C1C1C"/>
                <w:sz w:val="21"/>
                <w:szCs w:val="21"/>
              </w:rPr>
              <w:t xml:space="preserve">Application / Form Fee</w:t>
            </w:r>
          </w:p>
        </w:tc>
        <w:tc>
          <w:tcPr>
            <w:tcW w:type="dxa" w:w="5880"/>
            <w:tcBorders>
              <w:top w:val="single" w:color="C8D8E8" w:sz="1"/>
              <w:left w:val="single" w:color="C8D8E8" w:sz="1"/>
              <w:bottom w:val="single" w:color="C8D8E8" w:sz="1"/>
              <w:right w:val="single" w:color="C8D8E8" w:sz="1"/>
            </w:tcBorders>
            <w:shd w:fill="F5F9FC"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0"/>
                <w:szCs w:val="20"/>
              </w:rPr>
              <w:t xml:space="preserve">Official cost of purchasing the C of O application form and processing docket from the Ministry of Lands.</w:t>
            </w:r>
          </w:p>
        </w:tc>
      </w:tr>
      <w:tr>
        <w:tc>
          <w:tcPr>
            <w:tcW w:type="dxa" w:w="48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2</w:t>
            </w:r>
          </w:p>
        </w:tc>
        <w:tc>
          <w:tcPr>
            <w:tcW w:type="dxa" w:w="300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left"/>
            </w:pPr>
            <w:r>
              <w:rPr>
                <w:rFonts w:ascii="Arial" w:cs="Arial" w:eastAsia="Arial" w:hAnsi="Arial"/>
                <w:b/>
                <w:bCs/>
                <w:color w:val="1C1C1C"/>
                <w:sz w:val="21"/>
                <w:szCs w:val="21"/>
              </w:rPr>
              <w:t xml:space="preserve">Administrative Charge Fee</w:t>
            </w:r>
          </w:p>
        </w:tc>
        <w:tc>
          <w:tcPr>
            <w:tcW w:type="dxa" w:w="5880"/>
            <w:tcBorders>
              <w:top w:val="single" w:color="C8D8E8" w:sz="1"/>
              <w:left w:val="single" w:color="C8D8E8" w:sz="1"/>
              <w:bottom w:val="single" w:color="C8D8E8" w:sz="1"/>
              <w:right w:val="single" w:color="C8D8E8" w:sz="1"/>
            </w:tcBorders>
            <w:shd w:fill="FAFEFF"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0"/>
                <w:szCs w:val="20"/>
              </w:rPr>
              <w:t xml:space="preserve">Covers clerical processing, file opening, and documentation at the land registry upon submission.</w:t>
            </w:r>
          </w:p>
        </w:tc>
      </w:tr>
      <w:tr>
        <w:tc>
          <w:tcPr>
            <w:tcW w:type="dxa" w:w="48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3</w:t>
            </w:r>
          </w:p>
        </w:tc>
        <w:tc>
          <w:tcPr>
            <w:tcW w:type="dxa" w:w="300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left"/>
            </w:pPr>
            <w:r>
              <w:rPr>
                <w:rFonts w:ascii="Arial" w:cs="Arial" w:eastAsia="Arial" w:hAnsi="Arial"/>
                <w:b/>
                <w:bCs/>
                <w:color w:val="1C1C1C"/>
                <w:sz w:val="21"/>
                <w:szCs w:val="21"/>
              </w:rPr>
              <w:t xml:space="preserve">Inspection Fee</w:t>
            </w:r>
          </w:p>
        </w:tc>
        <w:tc>
          <w:tcPr>
            <w:tcW w:type="dxa" w:w="5880"/>
            <w:tcBorders>
              <w:top w:val="single" w:color="C8D8E8" w:sz="1"/>
              <w:left w:val="single" w:color="C8D8E8" w:sz="1"/>
              <w:bottom w:val="single" w:color="C8D8E8" w:sz="1"/>
              <w:right w:val="single" w:color="C8D8E8" w:sz="1"/>
            </w:tcBorders>
            <w:shd w:fill="F5F9FC"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0"/>
                <w:szCs w:val="20"/>
              </w:rPr>
              <w:t xml:space="preserve">Government fee for the logistical cost of dispatching officials to schedule and conduct the physical site verification.</w:t>
            </w:r>
          </w:p>
        </w:tc>
      </w:tr>
      <w:tr>
        <w:tc>
          <w:tcPr>
            <w:tcW w:type="dxa" w:w="48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4</w:t>
            </w:r>
          </w:p>
        </w:tc>
        <w:tc>
          <w:tcPr>
            <w:tcW w:type="dxa" w:w="300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left"/>
            </w:pPr>
            <w:r>
              <w:rPr>
                <w:rFonts w:ascii="Arial" w:cs="Arial" w:eastAsia="Arial" w:hAnsi="Arial"/>
                <w:b/>
                <w:bCs/>
                <w:color w:val="1C1C1C"/>
                <w:sz w:val="21"/>
                <w:szCs w:val="21"/>
              </w:rPr>
              <w:t xml:space="preserve">Charting Fee</w:t>
            </w:r>
          </w:p>
        </w:tc>
        <w:tc>
          <w:tcPr>
            <w:tcW w:type="dxa" w:w="5880"/>
            <w:tcBorders>
              <w:top w:val="single" w:color="C8D8E8" w:sz="1"/>
              <w:left w:val="single" w:color="C8D8E8" w:sz="1"/>
              <w:bottom w:val="single" w:color="C8D8E8" w:sz="1"/>
              <w:right w:val="single" w:color="C8D8E8" w:sz="1"/>
            </w:tcBorders>
            <w:shd w:fill="FAFEFF"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0"/>
                <w:szCs w:val="20"/>
              </w:rPr>
              <w:t xml:space="preserve">Payment for updating the state master plan and officially charting the land on the government's survey and registry map.</w:t>
            </w:r>
          </w:p>
        </w:tc>
      </w:tr>
      <w:tr>
        <w:tc>
          <w:tcPr>
            <w:tcW w:type="dxa" w:w="480"/>
            <w:tcBorders>
              <w:top w:val="single" w:color="C8D8E8" w:sz="1"/>
              <w:left w:val="single" w:color="C8D8E8" w:sz="1"/>
              <w:bottom w:val="single" w:color="C8D8E8" w:sz="1"/>
              <w:right w:val="single" w:color="C8D8E8" w:sz="1"/>
            </w:tcBorders>
            <w:shd w:fill="D6E9F8"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
            </w:r>
          </w:p>
        </w:tc>
        <w:tc>
          <w:tcPr>
            <w:tcW w:type="dxa" w:w="3000"/>
            <w:tcBorders>
              <w:top w:val="single" w:color="C8D8E8" w:sz="1"/>
              <w:left w:val="single" w:color="C8D8E8" w:sz="1"/>
              <w:bottom w:val="single" w:color="C8D8E8" w:sz="1"/>
              <w:right w:val="single" w:color="C8D8E8" w:sz="1"/>
            </w:tcBorders>
            <w:shd w:fill="D6E9F8" w:val="clear"/>
            <w:tcMar>
              <w:top w:type="dxa" w:w="110"/>
              <w:left w:type="dxa" w:w="150"/>
              <w:bottom w:type="dxa" w:w="110"/>
              <w:right w:type="dxa" w:w="120"/>
            </w:tcMar>
            <w:vAlign w:val="center"/>
          </w:tcPr>
          <w:p>
            <w:pPr>
              <w:jc w:val="left"/>
            </w:pPr>
            <w:r>
              <w:rPr>
                <w:rFonts w:ascii="Arial" w:cs="Arial" w:eastAsia="Arial" w:hAnsi="Arial"/>
                <w:b/>
                <w:bCs/>
                <w:color w:val="0D2137"/>
                <w:sz w:val="21"/>
                <w:szCs w:val="21"/>
              </w:rPr>
              <w:t xml:space="preserve">ALL FEE AMOUNTS</w:t>
            </w:r>
          </w:p>
        </w:tc>
        <w:tc>
          <w:tcPr>
            <w:tcW w:type="dxa" w:w="5880"/>
            <w:tcBorders>
              <w:top w:val="single" w:color="C8D8E8" w:sz="1"/>
              <w:left w:val="single" w:color="C8D8E8" w:sz="1"/>
              <w:bottom w:val="single" w:color="C8D8E8" w:sz="1"/>
              <w:right w:val="single" w:color="C8D8E8" w:sz="1"/>
            </w:tcBorders>
            <w:shd w:fill="D6E9F8" w:val="clear"/>
            <w:tcMar>
              <w:top w:type="dxa" w:w="110"/>
              <w:left w:type="dxa" w:w="150"/>
              <w:bottom w:type="dxa" w:w="110"/>
              <w:right w:type="dxa" w:w="120"/>
            </w:tcMar>
            <w:vAlign w:val="center"/>
          </w:tcPr>
          <w:p>
            <w:pPr>
              <w:jc w:val="left"/>
            </w:pPr>
            <w:r>
              <w:rPr>
                <w:rFonts w:ascii="Arial" w:cs="Arial" w:eastAsia="Arial" w:hAnsi="Arial"/>
                <w:b/>
                <w:bCs/>
                <w:color w:val="2E6DA4"/>
                <w:sz w:val="21"/>
                <w:szCs w:val="21"/>
              </w:rPr>
              <w:t xml:space="preserve">Determined and communicated by the Government at the time of application</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single" w:color="1A6B3C" w:sz="20"/>
              <w:bottom w:val="single" w:color="1A6B3C" w:sz="4"/>
              <w:right w:val="single" w:color="1A6B3C" w:sz="4"/>
            </w:tcBorders>
            <w:shd w:fill="E8F8EE" w:val="clear"/>
            <w:tcMar>
              <w:top w:type="dxa" w:w="140"/>
              <w:left w:type="dxa" w:w="220"/>
              <w:bottom w:type="dxa" w:w="140"/>
              <w:right w:type="dxa" w:w="200"/>
            </w:tcMar>
          </w:tcPr>
          <w:p>
            <w:pPr>
              <w:spacing w:after="40"/>
            </w:pPr>
            <w:r>
              <w:rPr>
                <w:rFonts w:ascii="Arial" w:cs="Arial" w:eastAsia="Arial" w:hAnsi="Arial"/>
                <w:b/>
                <w:bCs/>
                <w:color w:val="1A6B3C"/>
                <w:sz w:val="22"/>
                <w:szCs w:val="22"/>
              </w:rPr>
              <w:t xml:space="preserve">✔  AFTER PAYMENT — PROCESSING BEGINS</w:t>
            </w:r>
          </w:p>
          <w:p>
            <w:r>
              <w:rPr>
                <w:rFonts w:ascii="Arial" w:cs="Arial" w:eastAsia="Arial" w:hAnsi="Arial"/>
                <w:color w:val="0A3E1E"/>
                <w:sz w:val="21"/>
                <w:szCs w:val="21"/>
              </w:rPr>
              <w:t xml:space="preserve">Once all four fees above are paid and receipts presented to the Ministry, the formal C of O processing officially commences. An official processing file is opened, a reference number is assigned to your application, and the Scheme Officer begins the administrative review of your documents. Keep your reference number safe — you will need it for all follow-up enquiries.</w:t>
            </w:r>
          </w:p>
        </w:tc>
      </w:tr>
    </w:tbl>
    <w:p>
      <w:pPr>
        <w:spacing w:before="160"/>
      </w:pPr>
      <w:r>
        <w:t xml:space="preserve"/>
      </w:r>
    </w:p>
    <w:p>
      <w:pPr>
        <w:pStyle w:val="Heading1"/>
        <w:spacing w:before="420" w:after="60"/>
      </w:pPr>
      <w:r>
        <w:rPr>
          <w:rFonts w:ascii="Arial" w:cs="Arial" w:eastAsia="Arial" w:hAnsi="Arial"/>
          <w:b/>
          <w:bCs/>
          <w:color w:val="0D2137"/>
          <w:sz w:val="30"/>
          <w:szCs w:val="30"/>
        </w:rPr>
        <w:t xml:space="preserve">4.  STEP-BY-STEP PROCESSING STAGES</w:t>
      </w:r>
    </w:p>
    <w:p>
      <w:pPr>
        <w:pBdr>
          <w:bottom w:val="single" w:color="1A4878" w:sz="10" w:space="1"/>
        </w:pBdr>
        <w:spacing w:before="0" w:after="0"/>
      </w:pPr>
      <w:r>
        <w:t xml:space="preserve"/>
      </w:r>
    </w:p>
    <w:p>
      <w:pPr>
        <w:spacing w:before="80"/>
      </w:pPr>
      <w:r>
        <w:t xml:space="preserve"/>
      </w:r>
    </w:p>
    <w:p>
      <w:pPr>
        <w:spacing w:before="80" w:after="80"/>
        <w:jc w:val="both"/>
      </w:pPr>
      <w:r>
        <w:rPr>
          <w:rFonts w:ascii="Arial" w:cs="Arial" w:eastAsia="Arial" w:hAnsi="Arial"/>
          <w:color w:val="1C1C1C"/>
          <w:sz w:val="22"/>
          <w:szCs w:val="22"/>
        </w:rPr>
        <w:t xml:space="preserve">The C of O processing passes through a formal, multi-stage sequence within the Ministry. Each stage must be fully completed before the next begins. No stage can be skipped. The seven stages below cover the complete journey from document submission to final collection of the Certificate.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8D8E8" w:sz="1"/>
              <w:left w:val="single" w:color="C8D8E8" w:sz="1"/>
              <w:bottom w:val="single" w:color="C8D8E8" w:sz="1"/>
              <w:right w:val="single" w:color="C8D8E8" w:sz="1"/>
            </w:tcBorders>
            <w:shd w:fill="0D2137" w:val="clear"/>
            <w:tcMar>
              <w:top w:type="dxa" w:w="160"/>
              <w:left w:type="dxa" w:w="100"/>
              <w:bottom w:type="dxa" w:w="160"/>
              <w:right w:type="dxa" w:w="100"/>
            </w:tcMar>
            <w:vAlign w:val="center"/>
          </w:tcPr>
          <w:p>
            <w:pPr>
              <w:jc w:val="center"/>
            </w:pPr>
            <w:r>
              <w:rPr>
                <w:rFonts w:ascii="Arial" w:cs="Arial" w:eastAsia="Arial" w:hAnsi="Arial"/>
                <w:b/>
                <w:bCs/>
                <w:color w:val="AACCEE"/>
                <w:sz w:val="18"/>
                <w:szCs w:val="18"/>
              </w:rPr>
              <w:t xml:space="preserve">STEP</w:t>
            </w:r>
          </w:p>
          <w:p>
            <w:pPr>
              <w:jc w:val="center"/>
            </w:pPr>
            <w:r>
              <w:rPr>
                <w:rFonts w:ascii="Arial" w:cs="Arial" w:eastAsia="Arial" w:hAnsi="Arial"/>
                <w:b/>
                <w:bCs/>
                <w:color w:val="FFFFFF"/>
                <w:sz w:val="40"/>
                <w:szCs w:val="40"/>
              </w:rPr>
              <w:t xml:space="preserve">1</w:t>
            </w:r>
          </w:p>
        </w:tc>
        <w:tc>
          <w:tcPr>
            <w:tcW w:type="dxa" w:w="8360"/>
            <w:tcBorders>
              <w:top w:val="single" w:color="C8D8E8" w:sz="1"/>
              <w:left w:val="single" w:color="C8D8E8" w:sz="1"/>
              <w:bottom w:val="single" w:color="C8D8E8" w:sz="1"/>
              <w:right w:val="single" w:color="C8D8E8" w:sz="1"/>
            </w:tcBorders>
            <w:shd w:fill="EBF4FB" w:val="clear"/>
            <w:tcMar>
              <w:top w:type="dxa" w:w="160"/>
              <w:left w:type="dxa" w:w="240"/>
              <w:bottom w:type="dxa" w:w="160"/>
              <w:right w:type="dxa" w:w="180"/>
            </w:tcMar>
          </w:tcPr>
          <w:p>
            <w:pPr>
              <w:spacing w:after="80"/>
            </w:pPr>
            <w:r>
              <w:rPr>
                <w:rFonts w:ascii="Arial" w:cs="Arial" w:eastAsia="Arial" w:hAnsi="Arial"/>
                <w:b/>
                <w:bCs/>
                <w:color w:val="0D2137"/>
                <w:sz w:val="25"/>
                <w:szCs w:val="25"/>
              </w:rPr>
              <w:t xml:space="preserve">Document Submission &amp; File Opening</w:t>
            </w:r>
          </w:p>
          <w:p>
            <w:r>
              <w:rPr>
                <w:rFonts w:ascii="Arial" w:cs="Arial" w:eastAsia="Arial" w:hAnsi="Arial"/>
                <w:color w:val="1C1C1C"/>
                <w:sz w:val="21"/>
                <w:szCs w:val="21"/>
              </w:rPr>
              <w:t xml:space="preserve">Submit all mandatory documents — 2 passport photographs, 2 survey plan copies, and your stamped land receipt or agreement — together with evidence of payment of the four official fees. The Ministry opens an official file, assigns a reference number, and an administrative officer conducts an initial completeness check.</w:t>
            </w:r>
          </w:p>
          <w:p>
            <w:pPr>
              <w:spacing w:before="120"/>
            </w:pPr>
            <w:r>
              <w:rPr>
                <w:rFonts w:ascii="Arial" w:cs="Arial" w:eastAsia="Arial" w:hAnsi="Arial"/>
                <w:i/>
                <w:iCs/>
                <w:color w:val="2E6DA4"/>
                <w:sz w:val="20"/>
                <w:szCs w:val="20"/>
              </w:rPr>
              <w:t xml:space="preserve">Tip: Always bring originals AND certified photocopies of all documents. Originals may be sighted and returned; copies are retained on file.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8D8E8" w:sz="1"/>
              <w:left w:val="single" w:color="C8D8E8" w:sz="1"/>
              <w:bottom w:val="single" w:color="C8D8E8" w:sz="1"/>
              <w:right w:val="single" w:color="C8D8E8" w:sz="1"/>
            </w:tcBorders>
            <w:shd w:fill="0D2137" w:val="clear"/>
            <w:tcMar>
              <w:top w:type="dxa" w:w="160"/>
              <w:left w:type="dxa" w:w="100"/>
              <w:bottom w:type="dxa" w:w="160"/>
              <w:right w:type="dxa" w:w="100"/>
            </w:tcMar>
            <w:vAlign w:val="center"/>
          </w:tcPr>
          <w:p>
            <w:pPr>
              <w:jc w:val="center"/>
            </w:pPr>
            <w:r>
              <w:rPr>
                <w:rFonts w:ascii="Arial" w:cs="Arial" w:eastAsia="Arial" w:hAnsi="Arial"/>
                <w:b/>
                <w:bCs/>
                <w:color w:val="AACCEE"/>
                <w:sz w:val="18"/>
                <w:szCs w:val="18"/>
              </w:rPr>
              <w:t xml:space="preserve">STEP</w:t>
            </w:r>
          </w:p>
          <w:p>
            <w:pPr>
              <w:jc w:val="center"/>
            </w:pPr>
            <w:r>
              <w:rPr>
                <w:rFonts w:ascii="Arial" w:cs="Arial" w:eastAsia="Arial" w:hAnsi="Arial"/>
                <w:b/>
                <w:bCs/>
                <w:color w:val="FFFFFF"/>
                <w:sz w:val="40"/>
                <w:szCs w:val="40"/>
              </w:rPr>
              <w:t xml:space="preserve">2</w:t>
            </w:r>
          </w:p>
        </w:tc>
        <w:tc>
          <w:tcPr>
            <w:tcW w:type="dxa" w:w="8360"/>
            <w:tcBorders>
              <w:top w:val="single" w:color="C8D8E8" w:sz="1"/>
              <w:left w:val="single" w:color="C8D8E8" w:sz="1"/>
              <w:bottom w:val="single" w:color="C8D8E8" w:sz="1"/>
              <w:right w:val="single" w:color="C8D8E8" w:sz="1"/>
            </w:tcBorders>
            <w:shd w:fill="EBF4FB" w:val="clear"/>
            <w:tcMar>
              <w:top w:type="dxa" w:w="160"/>
              <w:left w:type="dxa" w:w="240"/>
              <w:bottom w:type="dxa" w:w="160"/>
              <w:right w:type="dxa" w:w="180"/>
            </w:tcMar>
          </w:tcPr>
          <w:p>
            <w:pPr>
              <w:spacing w:after="80"/>
            </w:pPr>
            <w:r>
              <w:rPr>
                <w:rFonts w:ascii="Arial" w:cs="Arial" w:eastAsia="Arial" w:hAnsi="Arial"/>
                <w:b/>
                <w:bCs/>
                <w:color w:val="0D2137"/>
                <w:sz w:val="25"/>
                <w:szCs w:val="25"/>
              </w:rPr>
              <w:t xml:space="preserve">Administrative Review &amp; Charting</w:t>
            </w:r>
          </w:p>
          <w:p>
            <w:r>
              <w:rPr>
                <w:rFonts w:ascii="Arial" w:cs="Arial" w:eastAsia="Arial" w:hAnsi="Arial"/>
                <w:color w:val="1C1C1C"/>
                <w:sz w:val="21"/>
                <w:szCs w:val="21"/>
              </w:rPr>
              <w:t xml:space="preserve">The Scheme Officer assigned to your file reviews all documents in detail for accuracy and validity. The survey plan is forwarded to the Surveyor General's office where it is digitised, verified, and charted against existing government records to confirm there are no conflicting titles, overlapping claims, or encumbrances on the land. If a query is raised — such as conflicting boundaries or missing information — a written notice is issued and the issue must be resolved before processing continues.</w:t>
            </w:r>
          </w:p>
          <w:p>
            <w:pPr>
              <w:spacing w:before="120"/>
            </w:pPr>
            <w:r>
              <w:rPr>
                <w:rFonts w:ascii="Arial" w:cs="Arial" w:eastAsia="Arial" w:hAnsi="Arial"/>
                <w:i/>
                <w:iCs/>
                <w:color w:val="2E6DA4"/>
                <w:sz w:val="20"/>
                <w:szCs w:val="20"/>
              </w:rPr>
              <w:t xml:space="preserve">This stage can take several weeks depending on the workload of the Surveyor General's office.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8D8E8" w:sz="1"/>
              <w:left w:val="single" w:color="C8D8E8" w:sz="1"/>
              <w:bottom w:val="single" w:color="C8D8E8" w:sz="1"/>
              <w:right w:val="single" w:color="C8D8E8" w:sz="1"/>
            </w:tcBorders>
            <w:shd w:fill="0D2137" w:val="clear"/>
            <w:tcMar>
              <w:top w:type="dxa" w:w="160"/>
              <w:left w:type="dxa" w:w="100"/>
              <w:bottom w:type="dxa" w:w="160"/>
              <w:right w:type="dxa" w:w="100"/>
            </w:tcMar>
            <w:vAlign w:val="center"/>
          </w:tcPr>
          <w:p>
            <w:pPr>
              <w:jc w:val="center"/>
            </w:pPr>
            <w:r>
              <w:rPr>
                <w:rFonts w:ascii="Arial" w:cs="Arial" w:eastAsia="Arial" w:hAnsi="Arial"/>
                <w:b/>
                <w:bCs/>
                <w:color w:val="AACCEE"/>
                <w:sz w:val="18"/>
                <w:szCs w:val="18"/>
              </w:rPr>
              <w:t xml:space="preserve">STEP</w:t>
            </w:r>
          </w:p>
          <w:p>
            <w:pPr>
              <w:jc w:val="center"/>
            </w:pPr>
            <w:r>
              <w:rPr>
                <w:rFonts w:ascii="Arial" w:cs="Arial" w:eastAsia="Arial" w:hAnsi="Arial"/>
                <w:b/>
                <w:bCs/>
                <w:color w:val="FFFFFF"/>
                <w:sz w:val="40"/>
                <w:szCs w:val="40"/>
              </w:rPr>
              <w:t xml:space="preserve">3</w:t>
            </w:r>
          </w:p>
        </w:tc>
        <w:tc>
          <w:tcPr>
            <w:tcW w:type="dxa" w:w="8360"/>
            <w:tcBorders>
              <w:top w:val="single" w:color="C8D8E8" w:sz="1"/>
              <w:left w:val="single" w:color="C8D8E8" w:sz="1"/>
              <w:bottom w:val="single" w:color="C8D8E8" w:sz="1"/>
              <w:right w:val="single" w:color="C8D8E8" w:sz="1"/>
            </w:tcBorders>
            <w:shd w:fill="EBF4FB" w:val="clear"/>
            <w:tcMar>
              <w:top w:type="dxa" w:w="160"/>
              <w:left w:type="dxa" w:w="240"/>
              <w:bottom w:type="dxa" w:w="160"/>
              <w:right w:type="dxa" w:w="180"/>
            </w:tcMar>
          </w:tcPr>
          <w:p>
            <w:pPr>
              <w:spacing w:after="80"/>
            </w:pPr>
            <w:r>
              <w:rPr>
                <w:rFonts w:ascii="Arial" w:cs="Arial" w:eastAsia="Arial" w:hAnsi="Arial"/>
                <w:b/>
                <w:bCs/>
                <w:color w:val="0D2137"/>
                <w:sz w:val="25"/>
                <w:szCs w:val="25"/>
              </w:rPr>
              <w:t xml:space="preserve">Site Inspection — Physical Visit to the Land</w:t>
            </w:r>
          </w:p>
          <w:p>
            <w:r>
              <w:rPr>
                <w:rFonts w:ascii="Arial" w:cs="Arial" w:eastAsia="Arial" w:hAnsi="Arial"/>
                <w:color w:val="1C1C1C"/>
                <w:sz w:val="21"/>
                <w:szCs w:val="21"/>
              </w:rPr>
              <w:t xml:space="preserve">A government inspection team physically visits the land for field verification. The team typically comprises: a Surveyor (to verify boundary beacons and survey accuracy), a Town Planner (to assess land use and zoning compliance), and a Land Officer (to verify occupancy and check for encroachments). During the visit, they confirm that the land physically exists and matches the survey plan, check that survey beacons are correctly placed, verify the land is not in a flood plain, under a power line, or subject to government acquisition, and may take notes from adjoining landowners.</w:t>
            </w:r>
          </w:p>
          <w:p>
            <w:pPr>
              <w:spacing w:before="120"/>
            </w:pPr>
            <w:r>
              <w:rPr>
                <w:rFonts w:ascii="Arial" w:cs="Arial" w:eastAsia="Arial" w:hAnsi="Arial"/>
                <w:i/>
                <w:iCs/>
                <w:color w:val="2E6DA4"/>
                <w:sz w:val="20"/>
                <w:szCs w:val="20"/>
              </w:rPr>
              <w:t xml:space="preserve">NOTE: The inspection team charges a logistics and sitting fee for this visit. This amount is separate from the earlier Inspection Fee paid at application stage and will be determined and communicated during the inspection scheduling process. Ensure the land is fully accessible and boundary beacons are clearly visible on the inspection day.</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8D8E8" w:sz="1"/>
              <w:left w:val="single" w:color="C8D8E8" w:sz="1"/>
              <w:bottom w:val="single" w:color="C8D8E8" w:sz="1"/>
              <w:right w:val="single" w:color="C8D8E8" w:sz="1"/>
            </w:tcBorders>
            <w:shd w:fill="0D2137" w:val="clear"/>
            <w:tcMar>
              <w:top w:type="dxa" w:w="160"/>
              <w:left w:type="dxa" w:w="100"/>
              <w:bottom w:type="dxa" w:w="160"/>
              <w:right w:type="dxa" w:w="100"/>
            </w:tcMar>
            <w:vAlign w:val="center"/>
          </w:tcPr>
          <w:p>
            <w:pPr>
              <w:jc w:val="center"/>
            </w:pPr>
            <w:r>
              <w:rPr>
                <w:rFonts w:ascii="Arial" w:cs="Arial" w:eastAsia="Arial" w:hAnsi="Arial"/>
                <w:b/>
                <w:bCs/>
                <w:color w:val="AACCEE"/>
                <w:sz w:val="18"/>
                <w:szCs w:val="18"/>
              </w:rPr>
              <w:t xml:space="preserve">STEP</w:t>
            </w:r>
          </w:p>
          <w:p>
            <w:pPr>
              <w:jc w:val="center"/>
            </w:pPr>
            <w:r>
              <w:rPr>
                <w:rFonts w:ascii="Arial" w:cs="Arial" w:eastAsia="Arial" w:hAnsi="Arial"/>
                <w:b/>
                <w:bCs/>
                <w:color w:val="FFFFFF"/>
                <w:sz w:val="40"/>
                <w:szCs w:val="40"/>
              </w:rPr>
              <w:t xml:space="preserve">4</w:t>
            </w:r>
          </w:p>
        </w:tc>
        <w:tc>
          <w:tcPr>
            <w:tcW w:type="dxa" w:w="8360"/>
            <w:tcBorders>
              <w:top w:val="single" w:color="C8D8E8" w:sz="1"/>
              <w:left w:val="single" w:color="C8D8E8" w:sz="1"/>
              <w:bottom w:val="single" w:color="C8D8E8" w:sz="1"/>
              <w:right w:val="single" w:color="C8D8E8" w:sz="1"/>
            </w:tcBorders>
            <w:shd w:fill="EBF4FB" w:val="clear"/>
            <w:tcMar>
              <w:top w:type="dxa" w:w="160"/>
              <w:left w:type="dxa" w:w="240"/>
              <w:bottom w:type="dxa" w:w="160"/>
              <w:right w:type="dxa" w:w="180"/>
            </w:tcMar>
          </w:tcPr>
          <w:p>
            <w:pPr>
              <w:spacing w:after="80"/>
            </w:pPr>
            <w:r>
              <w:rPr>
                <w:rFonts w:ascii="Arial" w:cs="Arial" w:eastAsia="Arial" w:hAnsi="Arial"/>
                <w:b/>
                <w:bCs/>
                <w:color w:val="0D2137"/>
                <w:sz w:val="25"/>
                <w:szCs w:val="25"/>
              </w:rPr>
              <w:t xml:space="preserve">Inspection Report Preparation</w:t>
            </w:r>
          </w:p>
          <w:p>
            <w:r>
              <w:rPr>
                <w:rFonts w:ascii="Arial" w:cs="Arial" w:eastAsia="Arial" w:hAnsi="Arial"/>
                <w:color w:val="1C1C1C"/>
                <w:sz w:val="21"/>
                <w:szCs w:val="21"/>
              </w:rPr>
              <w:t xml:space="preserve">Following the site visit, the inspection officers prepare and submit a formal Inspection Report to the Ministry. This report captures the physical characteristics of the land — its size, location, current use, access roads, surrounding development, and physical condition. The Inspection Report is the official document that triggers the next stage: Land Assessment.</w:t>
            </w:r>
          </w:p>
          <w:p>
            <w:pPr>
              <w:spacing w:before="120"/>
            </w:pPr>
            <w:r>
              <w:rPr>
                <w:rFonts w:ascii="Arial" w:cs="Arial" w:eastAsia="Arial" w:hAnsi="Arial"/>
                <w:i/>
                <w:iCs/>
                <w:color w:val="2E6DA4"/>
                <w:sz w:val="20"/>
                <w:szCs w:val="20"/>
              </w:rPr>
              <w:t xml:space="preserve">The quality and completeness of the Inspection Report directly determines how quickly the Assessment stage can proceed.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8D8E8" w:sz="1"/>
              <w:left w:val="single" w:color="C8D8E8" w:sz="1"/>
              <w:bottom w:val="single" w:color="C8D8E8" w:sz="1"/>
              <w:right w:val="single" w:color="C8D8E8" w:sz="1"/>
            </w:tcBorders>
            <w:shd w:fill="0D2137" w:val="clear"/>
            <w:tcMar>
              <w:top w:type="dxa" w:w="160"/>
              <w:left w:type="dxa" w:w="100"/>
              <w:bottom w:type="dxa" w:w="160"/>
              <w:right w:type="dxa" w:w="100"/>
            </w:tcMar>
            <w:vAlign w:val="center"/>
          </w:tcPr>
          <w:p>
            <w:pPr>
              <w:jc w:val="center"/>
            </w:pPr>
            <w:r>
              <w:rPr>
                <w:rFonts w:ascii="Arial" w:cs="Arial" w:eastAsia="Arial" w:hAnsi="Arial"/>
                <w:b/>
                <w:bCs/>
                <w:color w:val="AACCEE"/>
                <w:sz w:val="18"/>
                <w:szCs w:val="18"/>
              </w:rPr>
              <w:t xml:space="preserve">STEP</w:t>
            </w:r>
          </w:p>
          <w:p>
            <w:pPr>
              <w:jc w:val="center"/>
            </w:pPr>
            <w:r>
              <w:rPr>
                <w:rFonts w:ascii="Arial" w:cs="Arial" w:eastAsia="Arial" w:hAnsi="Arial"/>
                <w:b/>
                <w:bCs/>
                <w:color w:val="FFFFFF"/>
                <w:sz w:val="40"/>
                <w:szCs w:val="40"/>
              </w:rPr>
              <w:t xml:space="preserve">5</w:t>
            </w:r>
          </w:p>
        </w:tc>
        <w:tc>
          <w:tcPr>
            <w:tcW w:type="dxa" w:w="8360"/>
            <w:tcBorders>
              <w:top w:val="single" w:color="C8D8E8" w:sz="1"/>
              <w:left w:val="single" w:color="C8D8E8" w:sz="1"/>
              <w:bottom w:val="single" w:color="C8D8E8" w:sz="1"/>
              <w:right w:val="single" w:color="C8D8E8" w:sz="1"/>
            </w:tcBorders>
            <w:shd w:fill="EBF4FB" w:val="clear"/>
            <w:tcMar>
              <w:top w:type="dxa" w:w="160"/>
              <w:left w:type="dxa" w:w="240"/>
              <w:bottom w:type="dxa" w:w="160"/>
              <w:right w:type="dxa" w:w="180"/>
            </w:tcMar>
          </w:tcPr>
          <w:p>
            <w:pPr>
              <w:spacing w:after="80"/>
            </w:pPr>
            <w:r>
              <w:rPr>
                <w:rFonts w:ascii="Arial" w:cs="Arial" w:eastAsia="Arial" w:hAnsi="Arial"/>
                <w:b/>
                <w:bCs/>
                <w:color w:val="0D2137"/>
                <w:sz w:val="25"/>
                <w:szCs w:val="25"/>
              </w:rPr>
              <w:t xml:space="preserve">Land Assessment — Government Valuation</w:t>
            </w:r>
          </w:p>
          <w:p>
            <w:r>
              <w:rPr>
                <w:rFonts w:ascii="Arial" w:cs="Arial" w:eastAsia="Arial" w:hAnsi="Arial"/>
                <w:color w:val="1C1C1C"/>
                <w:sz w:val="21"/>
                <w:szCs w:val="21"/>
              </w:rPr>
              <w:t xml:space="preserve">Based on the Inspection Report, the Ministry conducts an official Land Assessment — a statutory government valuation of the land. The Assessment determines the financial value of the land for C of O perfection purposes. Factors that influence the Assessment include: Location (urban, semi-urban, or rural), Land Size (total square metres or hectares), Land Use Classification (residential — virgin or developed, commercial, agricultural, or industrial), and Property Type (number of floors or building type for developed land). The outcome is issued as a formal Demand Notice stating the exact amount payable.</w:t>
            </w:r>
          </w:p>
          <w:p>
            <w:pPr>
              <w:spacing w:before="120"/>
            </w:pPr>
            <w:r>
              <w:rPr>
                <w:rFonts w:ascii="Arial" w:cs="Arial" w:eastAsia="Arial" w:hAnsi="Arial"/>
                <w:i/>
                <w:iCs/>
                <w:color w:val="2E6DA4"/>
                <w:sz w:val="20"/>
                <w:szCs w:val="20"/>
              </w:rPr>
              <w:t xml:space="preserve">The Assessment Fee is not fixed — it is calculated by the Government and varies for every plot. The amount cannot be known in advance.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8D8E8" w:sz="1"/>
              <w:left w:val="single" w:color="C8D8E8" w:sz="1"/>
              <w:bottom w:val="single" w:color="C8D8E8" w:sz="1"/>
              <w:right w:val="single" w:color="C8D8E8" w:sz="1"/>
            </w:tcBorders>
            <w:shd w:fill="0D2137" w:val="clear"/>
            <w:tcMar>
              <w:top w:type="dxa" w:w="160"/>
              <w:left w:type="dxa" w:w="100"/>
              <w:bottom w:type="dxa" w:w="160"/>
              <w:right w:type="dxa" w:w="100"/>
            </w:tcMar>
            <w:vAlign w:val="center"/>
          </w:tcPr>
          <w:p>
            <w:pPr>
              <w:jc w:val="center"/>
            </w:pPr>
            <w:r>
              <w:rPr>
                <w:rFonts w:ascii="Arial" w:cs="Arial" w:eastAsia="Arial" w:hAnsi="Arial"/>
                <w:b/>
                <w:bCs/>
                <w:color w:val="AACCEE"/>
                <w:sz w:val="18"/>
                <w:szCs w:val="18"/>
              </w:rPr>
              <w:t xml:space="preserve">STEP</w:t>
            </w:r>
          </w:p>
          <w:p>
            <w:pPr>
              <w:jc w:val="center"/>
            </w:pPr>
            <w:r>
              <w:rPr>
                <w:rFonts w:ascii="Arial" w:cs="Arial" w:eastAsia="Arial" w:hAnsi="Arial"/>
                <w:b/>
                <w:bCs/>
                <w:color w:val="FFFFFF"/>
                <w:sz w:val="40"/>
                <w:szCs w:val="40"/>
              </w:rPr>
              <w:t xml:space="preserve">6</w:t>
            </w:r>
          </w:p>
        </w:tc>
        <w:tc>
          <w:tcPr>
            <w:tcW w:type="dxa" w:w="8360"/>
            <w:tcBorders>
              <w:top w:val="single" w:color="C8D8E8" w:sz="1"/>
              <w:left w:val="single" w:color="C8D8E8" w:sz="1"/>
              <w:bottom w:val="single" w:color="C8D8E8" w:sz="1"/>
              <w:right w:val="single" w:color="C8D8E8" w:sz="1"/>
            </w:tcBorders>
            <w:shd w:fill="EBF4FB" w:val="clear"/>
            <w:tcMar>
              <w:top w:type="dxa" w:w="160"/>
              <w:left w:type="dxa" w:w="240"/>
              <w:bottom w:type="dxa" w:w="160"/>
              <w:right w:type="dxa" w:w="180"/>
            </w:tcMar>
          </w:tcPr>
          <w:p>
            <w:pPr>
              <w:spacing w:after="80"/>
            </w:pPr>
            <w:r>
              <w:rPr>
                <w:rFonts w:ascii="Arial" w:cs="Arial" w:eastAsia="Arial" w:hAnsi="Arial"/>
                <w:b/>
                <w:bCs/>
                <w:color w:val="0D2137"/>
                <w:sz w:val="25"/>
                <w:szCs w:val="25"/>
              </w:rPr>
              <w:t xml:space="preserve">Assessment Payment &amp; Publication</w:t>
            </w:r>
          </w:p>
          <w:p>
            <w:r>
              <w:rPr>
                <w:rFonts w:ascii="Arial" w:cs="Arial" w:eastAsia="Arial" w:hAnsi="Arial"/>
                <w:color w:val="1C1C1C"/>
                <w:sz w:val="21"/>
                <w:szCs w:val="21"/>
              </w:rPr>
              <w:t xml:space="preserve">Upon receiving the Demand Notice, the applicant must pay the assessed amount. Some states allow payment in instalments (e.g. 50% upfront and 50% upon collection) — confirm this option with your state's land bureau. After payment is confirmed, the state government typically publishes the application in a national newspaper, allowing a statutory period (usually 21 days) for the public to raise any objections regarding land ownership. If no valid objections are raised within this period, processing advances to final approval.</w:t>
            </w:r>
          </w:p>
          <w:p>
            <w:pPr>
              <w:spacing w:before="120"/>
            </w:pPr>
            <w:r>
              <w:rPr>
                <w:rFonts w:ascii="Arial" w:cs="Arial" w:eastAsia="Arial" w:hAnsi="Arial"/>
                <w:i/>
                <w:iCs/>
                <w:color w:val="2E6DA4"/>
                <w:sz w:val="20"/>
                <w:szCs w:val="20"/>
              </w:rPr>
              <w:t xml:space="preserve">Pay promptly upon receipt of the Demand Notice — delays at this stage are one of the most common causes of extended processing timelines.</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8D8E8" w:sz="1"/>
              <w:left w:val="single" w:color="C8D8E8" w:sz="1"/>
              <w:bottom w:val="single" w:color="C8D8E8" w:sz="1"/>
              <w:right w:val="single" w:color="C8D8E8" w:sz="1"/>
            </w:tcBorders>
            <w:shd w:fill="0D2137" w:val="clear"/>
            <w:tcMar>
              <w:top w:type="dxa" w:w="160"/>
              <w:left w:type="dxa" w:w="100"/>
              <w:bottom w:type="dxa" w:w="160"/>
              <w:right w:type="dxa" w:w="100"/>
            </w:tcMar>
            <w:vAlign w:val="center"/>
          </w:tcPr>
          <w:p>
            <w:pPr>
              <w:jc w:val="center"/>
            </w:pPr>
            <w:r>
              <w:rPr>
                <w:rFonts w:ascii="Arial" w:cs="Arial" w:eastAsia="Arial" w:hAnsi="Arial"/>
                <w:b/>
                <w:bCs/>
                <w:color w:val="AACCEE"/>
                <w:sz w:val="18"/>
                <w:szCs w:val="18"/>
              </w:rPr>
              <w:t xml:space="preserve">STEP</w:t>
            </w:r>
          </w:p>
          <w:p>
            <w:pPr>
              <w:jc w:val="center"/>
            </w:pPr>
            <w:r>
              <w:rPr>
                <w:rFonts w:ascii="Arial" w:cs="Arial" w:eastAsia="Arial" w:hAnsi="Arial"/>
                <w:b/>
                <w:bCs/>
                <w:color w:val="FFFFFF"/>
                <w:sz w:val="40"/>
                <w:szCs w:val="40"/>
              </w:rPr>
              <w:t xml:space="preserve">7</w:t>
            </w:r>
          </w:p>
        </w:tc>
        <w:tc>
          <w:tcPr>
            <w:tcW w:type="dxa" w:w="8360"/>
            <w:tcBorders>
              <w:top w:val="single" w:color="C8D8E8" w:sz="1"/>
              <w:left w:val="single" w:color="C8D8E8" w:sz="1"/>
              <w:bottom w:val="single" w:color="C8D8E8" w:sz="1"/>
              <w:right w:val="single" w:color="C8D8E8" w:sz="1"/>
            </w:tcBorders>
            <w:shd w:fill="EBF4FB" w:val="clear"/>
            <w:tcMar>
              <w:top w:type="dxa" w:w="160"/>
              <w:left w:type="dxa" w:w="240"/>
              <w:bottom w:type="dxa" w:w="160"/>
              <w:right w:type="dxa" w:w="180"/>
            </w:tcMar>
          </w:tcPr>
          <w:p>
            <w:pPr>
              <w:spacing w:after="80"/>
            </w:pPr>
            <w:r>
              <w:rPr>
                <w:rFonts w:ascii="Arial" w:cs="Arial" w:eastAsia="Arial" w:hAnsi="Arial"/>
                <w:b/>
                <w:bCs/>
                <w:color w:val="0D2137"/>
                <w:sz w:val="25"/>
                <w:szCs w:val="25"/>
              </w:rPr>
              <w:t xml:space="preserve">Final Approval, Signing &amp; Registration</w:t>
            </w:r>
          </w:p>
          <w:p>
            <w:r>
              <w:rPr>
                <w:rFonts w:ascii="Arial" w:cs="Arial" w:eastAsia="Arial" w:hAnsi="Arial"/>
                <w:color w:val="1C1C1C"/>
                <w:sz w:val="21"/>
                <w:szCs w:val="21"/>
              </w:rPr>
              <w:t xml:space="preserve">With all fees paid and the Inspection Report on file, the application moves through the Ministry's final approval chain: the Permanent Secretary of Lands reviews and endorses the file, which is forwarded to the Governor's office. The Governor — as custodian of all land under the Land Use Act — or a duly authorised representative formally approves and signs the Certificate of Occupancy. The signed C of O is then forwarded to the Deputy Registrar and Registrar of Titles for final registration in the state land registry, where it is assigned a unique title number.</w:t>
            </w:r>
          </w:p>
          <w:p>
            <w:pPr>
              <w:spacing w:before="120"/>
            </w:pPr>
            <w:r>
              <w:rPr>
                <w:rFonts w:ascii="Arial" w:cs="Arial" w:eastAsia="Arial" w:hAnsi="Arial"/>
                <w:i/>
                <w:iCs/>
                <w:color w:val="2E6DA4"/>
                <w:sz w:val="20"/>
                <w:szCs w:val="20"/>
              </w:rPr>
              <w:t xml:space="preserve">After registration, the applicant is officially notified to collect their Certificate of Occupancy from the land registry.</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8D8E8" w:sz="1"/>
              <w:left w:val="single" w:color="C8D8E8" w:sz="1"/>
              <w:bottom w:val="single" w:color="C8D8E8" w:sz="1"/>
              <w:right w:val="single" w:color="C8D8E8" w:sz="1"/>
            </w:tcBorders>
            <w:shd w:fill="0D2137" w:val="clear"/>
            <w:tcMar>
              <w:top w:type="dxa" w:w="160"/>
              <w:left w:type="dxa" w:w="100"/>
              <w:bottom w:type="dxa" w:w="160"/>
              <w:right w:type="dxa" w:w="100"/>
            </w:tcMar>
            <w:vAlign w:val="center"/>
          </w:tcPr>
          <w:p>
            <w:pPr>
              <w:jc w:val="center"/>
            </w:pPr>
            <w:r>
              <w:rPr>
                <w:rFonts w:ascii="Arial" w:cs="Arial" w:eastAsia="Arial" w:hAnsi="Arial"/>
                <w:b/>
                <w:bCs/>
                <w:color w:val="AACCEE"/>
                <w:sz w:val="18"/>
                <w:szCs w:val="18"/>
              </w:rPr>
              <w:t xml:space="preserve">STEP</w:t>
            </w:r>
          </w:p>
          <w:p>
            <w:pPr>
              <w:jc w:val="center"/>
            </w:pPr>
            <w:r>
              <w:rPr>
                <w:rFonts w:ascii="Arial" w:cs="Arial" w:eastAsia="Arial" w:hAnsi="Arial"/>
                <w:b/>
                <w:bCs/>
                <w:color w:val="FFFFFF"/>
                <w:sz w:val="40"/>
                <w:szCs w:val="40"/>
              </w:rPr>
              <w:t xml:space="preserve">8</w:t>
            </w:r>
          </w:p>
        </w:tc>
        <w:tc>
          <w:tcPr>
            <w:tcW w:type="dxa" w:w="8360"/>
            <w:tcBorders>
              <w:top w:val="single" w:color="C8D8E8" w:sz="1"/>
              <w:left w:val="single" w:color="C8D8E8" w:sz="1"/>
              <w:bottom w:val="single" w:color="C8D8E8" w:sz="1"/>
              <w:right w:val="single" w:color="C8D8E8" w:sz="1"/>
            </w:tcBorders>
            <w:shd w:fill="EBF4FB" w:val="clear"/>
            <w:tcMar>
              <w:top w:type="dxa" w:w="160"/>
              <w:left w:type="dxa" w:w="240"/>
              <w:bottom w:type="dxa" w:w="160"/>
              <w:right w:type="dxa" w:w="180"/>
            </w:tcMar>
          </w:tcPr>
          <w:p>
            <w:pPr>
              <w:spacing w:after="80"/>
            </w:pPr>
            <w:r>
              <w:rPr>
                <w:rFonts w:ascii="Arial" w:cs="Arial" w:eastAsia="Arial" w:hAnsi="Arial"/>
                <w:b/>
                <w:bCs/>
                <w:color w:val="0D2137"/>
                <w:sz w:val="25"/>
                <w:szCs w:val="25"/>
              </w:rPr>
              <w:t xml:space="preserve">Collection</w:t>
            </w:r>
          </w:p>
          <w:p>
            <w:r>
              <w:rPr>
                <w:rFonts w:ascii="Arial" w:cs="Arial" w:eastAsia="Arial" w:hAnsi="Arial"/>
                <w:color w:val="1C1C1C"/>
                <w:sz w:val="21"/>
                <w:szCs w:val="21"/>
              </w:rPr>
              <w:t xml:space="preserve">The applicant collects the original Certificate of Occupancy from the land registry upon notification. Upon collection, carefully verify that all details on the face of the document are correct — full name, plot number, land dimensions, address, and date. Any errors must be reported and corrected immediately before leaving the office.</w:t>
            </w:r>
          </w:p>
          <w:p>
            <w:pPr>
              <w:spacing w:before="120"/>
            </w:pPr>
            <w:r>
              <w:rPr>
                <w:rFonts w:ascii="Arial" w:cs="Arial" w:eastAsia="Arial" w:hAnsi="Arial"/>
                <w:i/>
                <w:iCs/>
                <w:color w:val="2E6DA4"/>
                <w:sz w:val="20"/>
                <w:szCs w:val="20"/>
              </w:rPr>
              <w:t xml:space="preserve">After obtaining the C of O, note that landowners are typically required to pay annual Ground Rent to the Government to keep the title active and valid.</w:t>
            </w:r>
          </w:p>
        </w:tc>
      </w:tr>
    </w:tbl>
    <w:p>
      <w:pPr>
        <w:spacing w:before="160"/>
      </w:pPr>
      <w:r>
        <w:t xml:space="preserve"/>
      </w:r>
    </w:p>
    <w:p>
      <w:pPr>
        <w:pStyle w:val="Heading1"/>
        <w:spacing w:before="420" w:after="60"/>
      </w:pPr>
      <w:r>
        <w:rPr>
          <w:rFonts w:ascii="Arial" w:cs="Arial" w:eastAsia="Arial" w:hAnsi="Arial"/>
          <w:b/>
          <w:bCs/>
          <w:color w:val="0D2137"/>
          <w:sz w:val="30"/>
          <w:szCs w:val="30"/>
        </w:rPr>
        <w:t xml:space="preserve">5.  COMPLETE COST FLOW SUMMARY</w:t>
      </w:r>
    </w:p>
    <w:p>
      <w:pPr>
        <w:pBdr>
          <w:bottom w:val="single" w:color="1A4878" w:sz="10" w:space="1"/>
        </w:pBdr>
        <w:spacing w:before="0" w:after="0"/>
      </w:pPr>
      <w:r>
        <w:t xml:space="preserve"/>
      </w:r>
    </w:p>
    <w:p>
      <w:pPr>
        <w:spacing w:before="80"/>
      </w:pPr>
      <w:r>
        <w:t xml:space="preserve"/>
      </w:r>
    </w:p>
    <w:p>
      <w:pPr>
        <w:spacing w:before="80" w:after="80"/>
        <w:jc w:val="both"/>
      </w:pPr>
      <w:r>
        <w:rPr>
          <w:rFonts w:ascii="Arial" w:cs="Arial" w:eastAsia="Arial" w:hAnsi="Arial"/>
          <w:color w:val="1C1C1C"/>
          <w:sz w:val="22"/>
          <w:szCs w:val="22"/>
        </w:rPr>
        <w:t xml:space="preserve">The table below consolidates all financial obligations across the entire C of O journey, from initial application through to final issuance. All amounts are determined and communicated at each respective stage by the Government.</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3960"/>
        <w:gridCol w:w="2260"/>
        <w:gridCol w:w="1500"/>
        <w:gridCol w:w="1300"/>
      </w:tblGrid>
      <w:tr>
        <w:tc>
          <w:tcPr>
            <w:tcW w:type="dxa" w:w="34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w:t>
            </w:r>
          </w:p>
        </w:tc>
        <w:tc>
          <w:tcPr>
            <w:tcW w:type="dxa" w:w="396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Payment Item</w:t>
            </w:r>
          </w:p>
        </w:tc>
        <w:tc>
          <w:tcPr>
            <w:tcW w:type="dxa" w:w="226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Payable To / At</w:t>
            </w:r>
          </w:p>
        </w:tc>
        <w:tc>
          <w:tcPr>
            <w:tcW w:type="dxa" w:w="150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Stage</w:t>
            </w:r>
          </w:p>
        </w:tc>
        <w:tc>
          <w:tcPr>
            <w:tcW w:type="dxa" w:w="130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Amount</w:t>
            </w:r>
          </w:p>
        </w:tc>
      </w:tr>
      <w:tr>
        <w:tc>
          <w:tcPr>
            <w:tcW w:type="dxa" w:w="34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1</w:t>
            </w:r>
          </w:p>
        </w:tc>
        <w:tc>
          <w:tcPr>
            <w:tcW w:type="dxa" w:w="396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Application / Form Fee</w:t>
            </w:r>
          </w:p>
        </w:tc>
        <w:tc>
          <w:tcPr>
            <w:tcW w:type="dxa" w:w="226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0"/>
                <w:szCs w:val="20"/>
              </w:rPr>
              <w:t xml:space="preserve">Ministry of Lands</w:t>
            </w:r>
          </w:p>
        </w:tc>
        <w:tc>
          <w:tcPr>
            <w:tcW w:type="dxa" w:w="1500"/>
            <w:tcBorders>
              <w:top w:val="single" w:color="C8D8E8" w:sz="1"/>
              <w:left w:val="single" w:color="C8D8E8" w:sz="1"/>
              <w:bottom w:val="single" w:color="C8D8E8" w:sz="1"/>
              <w:right w:val="single" w:color="C8D8E8" w:sz="1"/>
            </w:tcBorders>
            <w:shd w:fill="F5F9FC" w:val="clear"/>
            <w:tcMar>
              <w:top w:type="dxa" w:w="110"/>
              <w:left w:type="dxa" w:w="150"/>
              <w:bottom w:type="dxa" w:w="110"/>
              <w:right w:type="dxa" w:w="120"/>
            </w:tcMar>
            <w:vAlign w:val="center"/>
          </w:tcPr>
          <w:p>
            <w:pPr>
              <w:jc w:val="left"/>
            </w:pPr>
            <w:r>
              <w:rPr>
                <w:rFonts w:ascii="Arial" w:cs="Arial" w:eastAsia="Arial" w:hAnsi="Arial"/>
                <w:b w:val="false"/>
                <w:bCs w:val="false"/>
                <w:color w:val="2E6DA4"/>
                <w:sz w:val="20"/>
                <w:szCs w:val="20"/>
              </w:rPr>
              <w:t xml:space="preserve">Stage 1</w:t>
            </w:r>
          </w:p>
        </w:tc>
        <w:tc>
          <w:tcPr>
            <w:tcW w:type="dxa" w:w="130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center"/>
            </w:pPr>
            <w:r>
              <w:rPr>
                <w:rFonts w:ascii="Arial" w:cs="Arial" w:eastAsia="Arial" w:hAnsi="Arial"/>
                <w:b/>
                <w:bCs/>
                <w:color w:val="B8860B"/>
                <w:sz w:val="20"/>
                <w:szCs w:val="20"/>
              </w:rPr>
              <w:t xml:space="preserve">To be determined</w:t>
            </w:r>
          </w:p>
        </w:tc>
      </w:tr>
      <w:tr>
        <w:tc>
          <w:tcPr>
            <w:tcW w:type="dxa" w:w="34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2</w:t>
            </w:r>
          </w:p>
        </w:tc>
        <w:tc>
          <w:tcPr>
            <w:tcW w:type="dxa" w:w="396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Administrative Charge Fee</w:t>
            </w:r>
          </w:p>
        </w:tc>
        <w:tc>
          <w:tcPr>
            <w:tcW w:type="dxa" w:w="226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0"/>
                <w:szCs w:val="20"/>
              </w:rPr>
              <w:t xml:space="preserve">Ministry of Lands</w:t>
            </w:r>
          </w:p>
        </w:tc>
        <w:tc>
          <w:tcPr>
            <w:tcW w:type="dxa" w:w="1500"/>
            <w:tcBorders>
              <w:top w:val="single" w:color="C8D8E8" w:sz="1"/>
              <w:left w:val="single" w:color="C8D8E8" w:sz="1"/>
              <w:bottom w:val="single" w:color="C8D8E8" w:sz="1"/>
              <w:right w:val="single" w:color="C8D8E8" w:sz="1"/>
            </w:tcBorders>
            <w:shd w:fill="FAFEFF" w:val="clear"/>
            <w:tcMar>
              <w:top w:type="dxa" w:w="110"/>
              <w:left w:type="dxa" w:w="150"/>
              <w:bottom w:type="dxa" w:w="110"/>
              <w:right w:type="dxa" w:w="120"/>
            </w:tcMar>
            <w:vAlign w:val="center"/>
          </w:tcPr>
          <w:p>
            <w:pPr>
              <w:jc w:val="left"/>
            </w:pPr>
            <w:r>
              <w:rPr>
                <w:rFonts w:ascii="Arial" w:cs="Arial" w:eastAsia="Arial" w:hAnsi="Arial"/>
                <w:b w:val="false"/>
                <w:bCs w:val="false"/>
                <w:color w:val="2E6DA4"/>
                <w:sz w:val="20"/>
                <w:szCs w:val="20"/>
              </w:rPr>
              <w:t xml:space="preserve">Stage 1</w:t>
            </w:r>
          </w:p>
        </w:tc>
        <w:tc>
          <w:tcPr>
            <w:tcW w:type="dxa" w:w="130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center"/>
            </w:pPr>
            <w:r>
              <w:rPr>
                <w:rFonts w:ascii="Arial" w:cs="Arial" w:eastAsia="Arial" w:hAnsi="Arial"/>
                <w:b/>
                <w:bCs/>
                <w:color w:val="B8860B"/>
                <w:sz w:val="20"/>
                <w:szCs w:val="20"/>
              </w:rPr>
              <w:t xml:space="preserve">To be determined</w:t>
            </w:r>
          </w:p>
        </w:tc>
      </w:tr>
      <w:tr>
        <w:tc>
          <w:tcPr>
            <w:tcW w:type="dxa" w:w="34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3</w:t>
            </w:r>
          </w:p>
        </w:tc>
        <w:tc>
          <w:tcPr>
            <w:tcW w:type="dxa" w:w="396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Inspection Fee</w:t>
            </w:r>
          </w:p>
        </w:tc>
        <w:tc>
          <w:tcPr>
            <w:tcW w:type="dxa" w:w="226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0"/>
                <w:szCs w:val="20"/>
              </w:rPr>
              <w:t xml:space="preserve">Ministry of Lands</w:t>
            </w:r>
          </w:p>
        </w:tc>
        <w:tc>
          <w:tcPr>
            <w:tcW w:type="dxa" w:w="1500"/>
            <w:tcBorders>
              <w:top w:val="single" w:color="C8D8E8" w:sz="1"/>
              <w:left w:val="single" w:color="C8D8E8" w:sz="1"/>
              <w:bottom w:val="single" w:color="C8D8E8" w:sz="1"/>
              <w:right w:val="single" w:color="C8D8E8" w:sz="1"/>
            </w:tcBorders>
            <w:shd w:fill="F5F9FC" w:val="clear"/>
            <w:tcMar>
              <w:top w:type="dxa" w:w="110"/>
              <w:left w:type="dxa" w:w="150"/>
              <w:bottom w:type="dxa" w:w="110"/>
              <w:right w:type="dxa" w:w="120"/>
            </w:tcMar>
            <w:vAlign w:val="center"/>
          </w:tcPr>
          <w:p>
            <w:pPr>
              <w:jc w:val="left"/>
            </w:pPr>
            <w:r>
              <w:rPr>
                <w:rFonts w:ascii="Arial" w:cs="Arial" w:eastAsia="Arial" w:hAnsi="Arial"/>
                <w:b w:val="false"/>
                <w:bCs w:val="false"/>
                <w:color w:val="2E6DA4"/>
                <w:sz w:val="20"/>
                <w:szCs w:val="20"/>
              </w:rPr>
              <w:t xml:space="preserve">Stage 1</w:t>
            </w:r>
          </w:p>
        </w:tc>
        <w:tc>
          <w:tcPr>
            <w:tcW w:type="dxa" w:w="130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center"/>
            </w:pPr>
            <w:r>
              <w:rPr>
                <w:rFonts w:ascii="Arial" w:cs="Arial" w:eastAsia="Arial" w:hAnsi="Arial"/>
                <w:b/>
                <w:bCs/>
                <w:color w:val="B8860B"/>
                <w:sz w:val="20"/>
                <w:szCs w:val="20"/>
              </w:rPr>
              <w:t xml:space="preserve">To be determined</w:t>
            </w:r>
          </w:p>
        </w:tc>
      </w:tr>
      <w:tr>
        <w:tc>
          <w:tcPr>
            <w:tcW w:type="dxa" w:w="34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4</w:t>
            </w:r>
          </w:p>
        </w:tc>
        <w:tc>
          <w:tcPr>
            <w:tcW w:type="dxa" w:w="396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Charting Fee</w:t>
            </w:r>
          </w:p>
        </w:tc>
        <w:tc>
          <w:tcPr>
            <w:tcW w:type="dxa" w:w="226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0"/>
                <w:szCs w:val="20"/>
              </w:rPr>
              <w:t xml:space="preserve">Ministry of Lands</w:t>
            </w:r>
          </w:p>
        </w:tc>
        <w:tc>
          <w:tcPr>
            <w:tcW w:type="dxa" w:w="1500"/>
            <w:tcBorders>
              <w:top w:val="single" w:color="C8D8E8" w:sz="1"/>
              <w:left w:val="single" w:color="C8D8E8" w:sz="1"/>
              <w:bottom w:val="single" w:color="C8D8E8" w:sz="1"/>
              <w:right w:val="single" w:color="C8D8E8" w:sz="1"/>
            </w:tcBorders>
            <w:shd w:fill="FAFEFF" w:val="clear"/>
            <w:tcMar>
              <w:top w:type="dxa" w:w="110"/>
              <w:left w:type="dxa" w:w="150"/>
              <w:bottom w:type="dxa" w:w="110"/>
              <w:right w:type="dxa" w:w="120"/>
            </w:tcMar>
            <w:vAlign w:val="center"/>
          </w:tcPr>
          <w:p>
            <w:pPr>
              <w:jc w:val="left"/>
            </w:pPr>
            <w:r>
              <w:rPr>
                <w:rFonts w:ascii="Arial" w:cs="Arial" w:eastAsia="Arial" w:hAnsi="Arial"/>
                <w:b w:val="false"/>
                <w:bCs w:val="false"/>
                <w:color w:val="2E6DA4"/>
                <w:sz w:val="20"/>
                <w:szCs w:val="20"/>
              </w:rPr>
              <w:t xml:space="preserve">Stage 1</w:t>
            </w:r>
          </w:p>
        </w:tc>
        <w:tc>
          <w:tcPr>
            <w:tcW w:type="dxa" w:w="130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center"/>
            </w:pPr>
            <w:r>
              <w:rPr>
                <w:rFonts w:ascii="Arial" w:cs="Arial" w:eastAsia="Arial" w:hAnsi="Arial"/>
                <w:b/>
                <w:bCs/>
                <w:color w:val="B8860B"/>
                <w:sz w:val="20"/>
                <w:szCs w:val="20"/>
              </w:rPr>
              <w:t xml:space="preserve">To be determined</w:t>
            </w:r>
          </w:p>
        </w:tc>
      </w:tr>
      <w:tr>
        <w:tc>
          <w:tcPr>
            <w:tcW w:type="dxa" w:w="34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5</w:t>
            </w:r>
          </w:p>
        </w:tc>
        <w:tc>
          <w:tcPr>
            <w:tcW w:type="dxa" w:w="396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Site Inspection Team Fee</w:t>
            </w:r>
          </w:p>
        </w:tc>
        <w:tc>
          <w:tcPr>
            <w:tcW w:type="dxa" w:w="226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0"/>
                <w:szCs w:val="20"/>
              </w:rPr>
              <w:t xml:space="preserve">Inspection Officers</w:t>
            </w:r>
          </w:p>
        </w:tc>
        <w:tc>
          <w:tcPr>
            <w:tcW w:type="dxa" w:w="1500"/>
            <w:tcBorders>
              <w:top w:val="single" w:color="C8D8E8" w:sz="1"/>
              <w:left w:val="single" w:color="C8D8E8" w:sz="1"/>
              <w:bottom w:val="single" w:color="C8D8E8" w:sz="1"/>
              <w:right w:val="single" w:color="C8D8E8" w:sz="1"/>
            </w:tcBorders>
            <w:shd w:fill="F5F9FC" w:val="clear"/>
            <w:tcMar>
              <w:top w:type="dxa" w:w="110"/>
              <w:left w:type="dxa" w:w="150"/>
              <w:bottom w:type="dxa" w:w="110"/>
              <w:right w:type="dxa" w:w="120"/>
            </w:tcMar>
            <w:vAlign w:val="center"/>
          </w:tcPr>
          <w:p>
            <w:pPr>
              <w:jc w:val="left"/>
            </w:pPr>
            <w:r>
              <w:rPr>
                <w:rFonts w:ascii="Arial" w:cs="Arial" w:eastAsia="Arial" w:hAnsi="Arial"/>
                <w:b w:val="false"/>
                <w:bCs w:val="false"/>
                <w:color w:val="2E6DA4"/>
                <w:sz w:val="20"/>
                <w:szCs w:val="20"/>
              </w:rPr>
              <w:t xml:space="preserve">Stage 3</w:t>
            </w:r>
          </w:p>
        </w:tc>
        <w:tc>
          <w:tcPr>
            <w:tcW w:type="dxa" w:w="1300"/>
            <w:tcBorders>
              <w:top w:val="single" w:color="C8D8E8" w:sz="1"/>
              <w:left w:val="single" w:color="C8D8E8" w:sz="1"/>
              <w:bottom w:val="single" w:color="C8D8E8" w:sz="1"/>
              <w:right w:val="single" w:color="C8D8E8" w:sz="1"/>
            </w:tcBorders>
            <w:shd w:fill="FAFAFA" w:val="clear"/>
            <w:tcMar>
              <w:top w:type="dxa" w:w="110"/>
              <w:left w:type="dxa" w:w="150"/>
              <w:bottom w:type="dxa" w:w="110"/>
              <w:right w:type="dxa" w:w="120"/>
            </w:tcMar>
            <w:vAlign w:val="center"/>
          </w:tcPr>
          <w:p>
            <w:pPr>
              <w:jc w:val="center"/>
            </w:pPr>
            <w:r>
              <w:rPr>
                <w:rFonts w:ascii="Arial" w:cs="Arial" w:eastAsia="Arial" w:hAnsi="Arial"/>
                <w:b/>
                <w:bCs/>
                <w:color w:val="B8860B"/>
                <w:sz w:val="20"/>
                <w:szCs w:val="20"/>
              </w:rPr>
              <w:t xml:space="preserve">To be determined</w:t>
            </w:r>
          </w:p>
        </w:tc>
      </w:tr>
      <w:tr>
        <w:tc>
          <w:tcPr>
            <w:tcW w:type="dxa" w:w="34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center"/>
            </w:pPr>
            <w:r>
              <w:rPr>
                <w:rFonts w:ascii="Arial" w:cs="Arial" w:eastAsia="Arial" w:hAnsi="Arial"/>
                <w:b/>
                <w:bCs/>
                <w:color w:val="1C1C1C"/>
                <w:sz w:val="21"/>
                <w:szCs w:val="21"/>
              </w:rPr>
              <w:t xml:space="preserve">6</w:t>
            </w:r>
          </w:p>
        </w:tc>
        <w:tc>
          <w:tcPr>
            <w:tcW w:type="dxa" w:w="396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Land Assessment Fee</w:t>
            </w:r>
          </w:p>
        </w:tc>
        <w:tc>
          <w:tcPr>
            <w:tcW w:type="dxa" w:w="226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0"/>
                <w:szCs w:val="20"/>
              </w:rPr>
              <w:t xml:space="preserve">Ministry of Lands</w:t>
            </w:r>
          </w:p>
        </w:tc>
        <w:tc>
          <w:tcPr>
            <w:tcW w:type="dxa" w:w="1500"/>
            <w:tcBorders>
              <w:top w:val="single" w:color="C8D8E8" w:sz="1"/>
              <w:left w:val="single" w:color="C8D8E8" w:sz="1"/>
              <w:bottom w:val="single" w:color="C8D8E8" w:sz="1"/>
              <w:right w:val="single" w:color="C8D8E8" w:sz="1"/>
            </w:tcBorders>
            <w:shd w:fill="FAFEFF" w:val="clear"/>
            <w:tcMar>
              <w:top w:type="dxa" w:w="110"/>
              <w:left w:type="dxa" w:w="150"/>
              <w:bottom w:type="dxa" w:w="110"/>
              <w:right w:type="dxa" w:w="120"/>
            </w:tcMar>
            <w:vAlign w:val="center"/>
          </w:tcPr>
          <w:p>
            <w:pPr>
              <w:jc w:val="left"/>
            </w:pPr>
            <w:r>
              <w:rPr>
                <w:rFonts w:ascii="Arial" w:cs="Arial" w:eastAsia="Arial" w:hAnsi="Arial"/>
                <w:b w:val="false"/>
                <w:bCs w:val="false"/>
                <w:color w:val="2E6DA4"/>
                <w:sz w:val="20"/>
                <w:szCs w:val="20"/>
              </w:rPr>
              <w:t xml:space="preserve">Stage 5</w:t>
            </w:r>
          </w:p>
        </w:tc>
        <w:tc>
          <w:tcPr>
            <w:tcW w:type="dxa" w:w="1300"/>
            <w:tcBorders>
              <w:top w:val="single" w:color="C8D8E8" w:sz="1"/>
              <w:left w:val="single" w:color="C8D8E8" w:sz="1"/>
              <w:bottom w:val="single" w:color="C8D8E8" w:sz="1"/>
              <w:right w:val="single" w:color="C8D8E8" w:sz="1"/>
            </w:tcBorders>
            <w:shd w:fill="FFFFFF" w:val="clear"/>
            <w:tcMar>
              <w:top w:type="dxa" w:w="110"/>
              <w:left w:type="dxa" w:w="150"/>
              <w:bottom w:type="dxa" w:w="110"/>
              <w:right w:type="dxa" w:w="120"/>
            </w:tcMar>
            <w:vAlign w:val="center"/>
          </w:tcPr>
          <w:p>
            <w:pPr>
              <w:jc w:val="center"/>
            </w:pPr>
            <w:r>
              <w:rPr>
                <w:rFonts w:ascii="Arial" w:cs="Arial" w:eastAsia="Arial" w:hAnsi="Arial"/>
                <w:b/>
                <w:bCs/>
                <w:color w:val="B8860B"/>
                <w:sz w:val="20"/>
                <w:szCs w:val="20"/>
              </w:rPr>
              <w:t xml:space="preserve">To be determined</w:t>
            </w:r>
          </w:p>
        </w:tc>
      </w:tr>
      <w:tr>
        <w:tc>
          <w:tcPr>
            <w:tcW w:type="dxa" w:w="340"/>
            <w:tcBorders>
              <w:top w:val="single" w:color="C8D8E8" w:sz="1"/>
              <w:left w:val="single" w:color="C8D8E8" w:sz="1"/>
              <w:bottom w:val="single" w:color="C8D8E8" w:sz="1"/>
              <w:right w:val="single" w:color="C8D8E8" w:sz="1"/>
            </w:tcBorders>
            <w:shd w:fill="D6E9F8"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
            </w:r>
          </w:p>
        </w:tc>
        <w:tc>
          <w:tcPr>
            <w:tcW w:type="dxa" w:w="9020"/>
            <w:gridSpan w:val="4"/>
            <w:tcBorders>
              <w:top w:val="single" w:color="C8D8E8" w:sz="1"/>
              <w:left w:val="single" w:color="C8D8E8" w:sz="1"/>
              <w:bottom w:val="single" w:color="C8D8E8" w:sz="1"/>
              <w:right w:val="single" w:color="C8D8E8" w:sz="1"/>
            </w:tcBorders>
            <w:shd w:fill="D6E9F8" w:val="clear"/>
            <w:tcMar>
              <w:top w:type="dxa" w:w="110"/>
              <w:left w:type="dxa" w:w="150"/>
              <w:bottom w:type="dxa" w:w="110"/>
              <w:right w:type="dxa" w:w="120"/>
            </w:tcMar>
          </w:tcPr>
          <w:p>
            <w:r>
              <w:rPr>
                <w:rFonts w:ascii="Arial" w:cs="Arial" w:eastAsia="Arial" w:hAnsi="Arial"/>
                <w:b/>
                <w:bCs/>
                <w:color w:val="0D2137"/>
                <w:sz w:val="21"/>
                <w:szCs w:val="21"/>
              </w:rPr>
              <w:t xml:space="preserve">All fee amounts are determined and communicated by the Government at each stage of the process. No amount is fixed in advance.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2"/>
              <w:left w:val="single" w:color="B8860B" w:sz="20"/>
              <w:bottom w:val="single" w:color="B8860B" w:sz="4"/>
              <w:right w:val="single" w:color="B8860B" w:sz="4"/>
            </w:tcBorders>
            <w:shd w:fill="FDF6E3" w:val="clear"/>
            <w:tcMar>
              <w:top w:type="dxa" w:w="140"/>
              <w:left w:type="dxa" w:w="220"/>
              <w:bottom w:type="dxa" w:w="140"/>
              <w:right w:type="dxa" w:w="200"/>
            </w:tcMar>
          </w:tcPr>
          <w:p>
            <w:pPr>
              <w:spacing w:after="40"/>
            </w:pPr>
            <w:r>
              <w:rPr>
                <w:rFonts w:ascii="Arial" w:cs="Arial" w:eastAsia="Arial" w:hAnsi="Arial"/>
                <w:b/>
                <w:bCs/>
                <w:color w:val="B8860B"/>
                <w:sz w:val="22"/>
                <w:szCs w:val="22"/>
              </w:rPr>
              <w:t xml:space="preserve">ℹ  ABOUT THE LAND ASSESSMENT FEE</w:t>
            </w:r>
          </w:p>
          <w:p>
            <w:r>
              <w:rPr>
                <w:rFonts w:ascii="Arial" w:cs="Arial" w:eastAsia="Arial" w:hAnsi="Arial"/>
                <w:color w:val="4A3000"/>
                <w:sz w:val="21"/>
                <w:szCs w:val="21"/>
              </w:rPr>
              <w:t xml:space="preserve">The Assessment Fee is the most significant variable cost in the entire process. It is calculated by the Government based on the land's size, location (urban, semi-urban, or rural), zoning classification (residential, commercial, agricultural, or industrial), and the current government schedule of land values. The exact amount cannot be known in advance. It will be formally communicated via a Demand Notice issued by the Ministry once the Inspection Report is completed and reviewed. Some states permit payment in instalments — enquire about this at your state's land bureau.</w:t>
            </w:r>
          </w:p>
        </w:tc>
      </w:tr>
    </w:tbl>
    <w:p>
      <w:pPr>
        <w:spacing w:before="160"/>
      </w:pPr>
      <w:r>
        <w:t xml:space="preserve"/>
      </w:r>
    </w:p>
    <w:p>
      <w:pPr>
        <w:pStyle w:val="Heading1"/>
        <w:spacing w:before="420" w:after="60"/>
      </w:pPr>
      <w:r>
        <w:rPr>
          <w:rFonts w:ascii="Arial" w:cs="Arial" w:eastAsia="Arial" w:hAnsi="Arial"/>
          <w:b/>
          <w:bCs/>
          <w:color w:val="0D2137"/>
          <w:sz w:val="30"/>
          <w:szCs w:val="30"/>
        </w:rPr>
        <w:t xml:space="preserve">6.  EXPECTED PROCESSING TIMELINE</w:t>
      </w:r>
    </w:p>
    <w:p>
      <w:pPr>
        <w:pBdr>
          <w:bottom w:val="single" w:color="1A4878" w:sz="10" w:space="1"/>
        </w:pBdr>
        <w:spacing w:before="0" w:after="0"/>
      </w:pPr>
      <w:r>
        <w:t xml:space="preserve"/>
      </w:r>
    </w:p>
    <w:p>
      <w:pPr>
        <w:spacing w:before="80"/>
      </w:pPr>
      <w:r>
        <w:t xml:space="preserve"/>
      </w:r>
    </w:p>
    <w:p>
      <w:pPr>
        <w:spacing w:before="80" w:after="80"/>
        <w:jc w:val="both"/>
      </w:pPr>
      <w:r>
        <w:rPr>
          <w:rFonts w:ascii="Arial" w:cs="Arial" w:eastAsia="Arial" w:hAnsi="Arial"/>
          <w:color w:val="1C1C1C"/>
          <w:sz w:val="22"/>
          <w:szCs w:val="22"/>
        </w:rPr>
        <w:t xml:space="preserve">Processing time varies significantly between states and depends heavily on the efficiency of the local land bureau, the completeness of the applicant's file, and the volume of applications being processed. The following are realistic scenario-based estimates: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Scenario</w:t>
            </w:r>
          </w:p>
        </w:tc>
        <w:tc>
          <w:tcPr>
            <w:tcW w:type="dxa" w:w="536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Conditions</w:t>
            </w:r>
          </w:p>
        </w:tc>
        <w:tc>
          <w:tcPr>
            <w:tcW w:type="dxa" w:w="1800"/>
            <w:tcBorders>
              <w:top w:val="single" w:color="C8D8E8" w:sz="1"/>
              <w:left w:val="single" w:color="C8D8E8" w:sz="1"/>
              <w:bottom w:val="single" w:color="C8D8E8" w:sz="1"/>
              <w:right w:val="single" w:color="C8D8E8" w:sz="1"/>
            </w:tcBorders>
            <w:shd w:fill="1A4878" w:val="clear"/>
            <w:tcMar>
              <w:top w:type="dxa" w:w="110"/>
              <w:left w:type="dxa" w:w="150"/>
              <w:bottom w:type="dxa" w:w="110"/>
              <w:right w:type="dxa" w:w="120"/>
            </w:tcMar>
            <w:vAlign w:val="center"/>
          </w:tcPr>
          <w:p>
            <w:r>
              <w:rPr>
                <w:rFonts w:ascii="Arial" w:cs="Arial" w:eastAsia="Arial" w:hAnsi="Arial"/>
                <w:b/>
                <w:bCs/>
                <w:color w:val="FFFFFF"/>
                <w:sz w:val="21"/>
                <w:szCs w:val="21"/>
              </w:rPr>
              <w:t xml:space="preserve">Est. Duration</w:t>
            </w:r>
          </w:p>
        </w:tc>
      </w:tr>
      <w:tr>
        <w:tc>
          <w:tcPr>
            <w:tcW w:type="dxa" w:w="2200"/>
            <w:tcBorders>
              <w:top w:val="single" w:color="C8D8E8" w:sz="1"/>
              <w:left w:val="single" w:color="C8D8E8" w:sz="1"/>
              <w:bottom w:val="single" w:color="C8D8E8" w:sz="1"/>
              <w:right w:val="single" w:color="C8D8E8" w:sz="1"/>
            </w:tcBorders>
            <w:shd w:fill="E8F8EE" w:val="clear"/>
            <w:tcMar>
              <w:top w:type="dxa" w:w="110"/>
              <w:left w:type="dxa" w:w="150"/>
              <w:bottom w:type="dxa" w:w="110"/>
              <w:right w:type="dxa" w:w="120"/>
            </w:tcMar>
            <w:vAlign w:val="center"/>
          </w:tcPr>
          <w:p>
            <w:pPr>
              <w:jc w:val="left"/>
            </w:pPr>
            <w:r>
              <w:rPr>
                <w:rFonts w:ascii="Arial" w:cs="Arial" w:eastAsia="Arial" w:hAnsi="Arial"/>
                <w:b/>
                <w:bCs/>
                <w:color w:val="1A6B3C"/>
                <w:sz w:val="21"/>
                <w:szCs w:val="21"/>
              </w:rPr>
              <w:t xml:space="preserve">Best Case</w:t>
            </w:r>
          </w:p>
        </w:tc>
        <w:tc>
          <w:tcPr>
            <w:tcW w:type="dxa" w:w="5360"/>
            <w:tcBorders>
              <w:top w:val="single" w:color="C8D8E8" w:sz="1"/>
              <w:left w:val="single" w:color="C8D8E8" w:sz="1"/>
              <w:bottom w:val="single" w:color="C8D8E8" w:sz="1"/>
              <w:right w:val="single" w:color="C8D8E8" w:sz="1"/>
            </w:tcBorders>
            <w:shd w:fill="E8F8EE"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All documents complete and correct, no queries raised, all payments made promptly, efficient state land bureau</w:t>
            </w:r>
          </w:p>
        </w:tc>
        <w:tc>
          <w:tcPr>
            <w:tcW w:type="dxa" w:w="1800"/>
            <w:tcBorders>
              <w:top w:val="single" w:color="C8D8E8" w:sz="1"/>
              <w:left w:val="single" w:color="C8D8E8" w:sz="1"/>
              <w:bottom w:val="single" w:color="C8D8E8" w:sz="1"/>
              <w:right w:val="single" w:color="C8D8E8" w:sz="1"/>
            </w:tcBorders>
            <w:shd w:fill="E8F8EE" w:val="clear"/>
            <w:tcMar>
              <w:top w:type="dxa" w:w="110"/>
              <w:left w:type="dxa" w:w="150"/>
              <w:bottom w:type="dxa" w:w="110"/>
              <w:right w:type="dxa" w:w="120"/>
            </w:tcMar>
            <w:vAlign w:val="center"/>
          </w:tcPr>
          <w:p>
            <w:pPr>
              <w:jc w:val="center"/>
            </w:pPr>
            <w:r>
              <w:rPr>
                <w:rFonts w:ascii="Arial" w:cs="Arial" w:eastAsia="Arial" w:hAnsi="Arial"/>
                <w:b/>
                <w:bCs/>
                <w:color w:val="1A6B3C"/>
                <w:sz w:val="21"/>
                <w:szCs w:val="21"/>
              </w:rPr>
              <w:t xml:space="preserve">3 – 6 months</w:t>
            </w:r>
          </w:p>
        </w:tc>
      </w:tr>
      <w:tr>
        <w:tc>
          <w:tcPr>
            <w:tcW w:type="dxa" w:w="2200"/>
            <w:tcBorders>
              <w:top w:val="single" w:color="C8D8E8" w:sz="1"/>
              <w:left w:val="single" w:color="C8D8E8" w:sz="1"/>
              <w:bottom w:val="single" w:color="C8D8E8" w:sz="1"/>
              <w:right w:val="single" w:color="C8D8E8" w:sz="1"/>
            </w:tcBorders>
            <w:shd w:fill="FDF6E3" w:val="clear"/>
            <w:tcMar>
              <w:top w:type="dxa" w:w="110"/>
              <w:left w:type="dxa" w:w="150"/>
              <w:bottom w:type="dxa" w:w="110"/>
              <w:right w:type="dxa" w:w="120"/>
            </w:tcMar>
            <w:vAlign w:val="center"/>
          </w:tcPr>
          <w:p>
            <w:pPr>
              <w:jc w:val="left"/>
            </w:pPr>
            <w:r>
              <w:rPr>
                <w:rFonts w:ascii="Arial" w:cs="Arial" w:eastAsia="Arial" w:hAnsi="Arial"/>
                <w:b/>
                <w:bCs/>
                <w:color w:val="B8860B"/>
                <w:sz w:val="21"/>
                <w:szCs w:val="21"/>
              </w:rPr>
              <w:t xml:space="preserve">Typical Case</w:t>
            </w:r>
          </w:p>
        </w:tc>
        <w:tc>
          <w:tcPr>
            <w:tcW w:type="dxa" w:w="5360"/>
            <w:tcBorders>
              <w:top w:val="single" w:color="C8D8E8" w:sz="1"/>
              <w:left w:val="single" w:color="C8D8E8" w:sz="1"/>
              <w:bottom w:val="single" w:color="C8D8E8" w:sz="1"/>
              <w:right w:val="single" w:color="C8D8E8" w:sz="1"/>
            </w:tcBorders>
            <w:shd w:fill="FDF6E3"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Minor document queries, moderate bureau backlog, inspection and assessment payments made promptly</w:t>
            </w:r>
          </w:p>
        </w:tc>
        <w:tc>
          <w:tcPr>
            <w:tcW w:type="dxa" w:w="1800"/>
            <w:tcBorders>
              <w:top w:val="single" w:color="C8D8E8" w:sz="1"/>
              <w:left w:val="single" w:color="C8D8E8" w:sz="1"/>
              <w:bottom w:val="single" w:color="C8D8E8" w:sz="1"/>
              <w:right w:val="single" w:color="C8D8E8" w:sz="1"/>
            </w:tcBorders>
            <w:shd w:fill="FDF6E3" w:val="clear"/>
            <w:tcMar>
              <w:top w:type="dxa" w:w="110"/>
              <w:left w:type="dxa" w:w="150"/>
              <w:bottom w:type="dxa" w:w="110"/>
              <w:right w:type="dxa" w:w="120"/>
            </w:tcMar>
            <w:vAlign w:val="center"/>
          </w:tcPr>
          <w:p>
            <w:pPr>
              <w:jc w:val="center"/>
            </w:pPr>
            <w:r>
              <w:rPr>
                <w:rFonts w:ascii="Arial" w:cs="Arial" w:eastAsia="Arial" w:hAnsi="Arial"/>
                <w:b/>
                <w:bCs/>
                <w:color w:val="B8860B"/>
                <w:sz w:val="21"/>
                <w:szCs w:val="21"/>
              </w:rPr>
              <w:t xml:space="preserve">6 – 12 months</w:t>
            </w:r>
          </w:p>
        </w:tc>
      </w:tr>
      <w:tr>
        <w:tc>
          <w:tcPr>
            <w:tcW w:type="dxa" w:w="2200"/>
            <w:tcBorders>
              <w:top w:val="single" w:color="C8D8E8" w:sz="1"/>
              <w:left w:val="single" w:color="C8D8E8" w:sz="1"/>
              <w:bottom w:val="single" w:color="C8D8E8" w:sz="1"/>
              <w:right w:val="single" w:color="C8D8E8" w:sz="1"/>
            </w:tcBorders>
            <w:shd w:fill="FFF0F0" w:val="clear"/>
            <w:tcMar>
              <w:top w:type="dxa" w:w="110"/>
              <w:left w:type="dxa" w:w="150"/>
              <w:bottom w:type="dxa" w:w="110"/>
              <w:right w:type="dxa" w:w="120"/>
            </w:tcMar>
            <w:vAlign w:val="center"/>
          </w:tcPr>
          <w:p>
            <w:pPr>
              <w:jc w:val="left"/>
            </w:pPr>
            <w:r>
              <w:rPr>
                <w:rFonts w:ascii="Arial" w:cs="Arial" w:eastAsia="Arial" w:hAnsi="Arial"/>
                <w:b/>
                <w:bCs/>
                <w:color w:val="9B1C1C"/>
                <w:sz w:val="21"/>
                <w:szCs w:val="21"/>
              </w:rPr>
              <w:t xml:space="preserve">Extended Case</w:t>
            </w:r>
          </w:p>
        </w:tc>
        <w:tc>
          <w:tcPr>
            <w:tcW w:type="dxa" w:w="5360"/>
            <w:tcBorders>
              <w:top w:val="single" w:color="C8D8E8" w:sz="1"/>
              <w:left w:val="single" w:color="C8D8E8" w:sz="1"/>
              <w:bottom w:val="single" w:color="C8D8E8" w:sz="1"/>
              <w:right w:val="single" w:color="C8D8E8" w:sz="1"/>
            </w:tcBorders>
            <w:shd w:fill="FFF0F0" w:val="clear"/>
            <w:tcMar>
              <w:top w:type="dxa" w:w="110"/>
              <w:left w:type="dxa" w:w="150"/>
              <w:bottom w:type="dxa" w:w="110"/>
              <w:right w:type="dxa" w:w="120"/>
            </w:tcMar>
            <w:vAlign w:val="center"/>
          </w:tcPr>
          <w:p>
            <w:pPr>
              <w:jc w:val="left"/>
            </w:pPr>
            <w:r>
              <w:rPr>
                <w:rFonts w:ascii="Arial" w:cs="Arial" w:eastAsia="Arial" w:hAnsi="Arial"/>
                <w:b w:val="false"/>
                <w:bCs w:val="false"/>
                <w:color w:val="1C1C1C"/>
                <w:sz w:val="21"/>
                <w:szCs w:val="21"/>
              </w:rPr>
              <w:t xml:space="preserve">Document defects, survey boundary disputes, heavy bureau backlog, delays at Governor's office approval stage</w:t>
            </w:r>
          </w:p>
        </w:tc>
        <w:tc>
          <w:tcPr>
            <w:tcW w:type="dxa" w:w="1800"/>
            <w:tcBorders>
              <w:top w:val="single" w:color="C8D8E8" w:sz="1"/>
              <w:left w:val="single" w:color="C8D8E8" w:sz="1"/>
              <w:bottom w:val="single" w:color="C8D8E8" w:sz="1"/>
              <w:right w:val="single" w:color="C8D8E8" w:sz="1"/>
            </w:tcBorders>
            <w:shd w:fill="FFF0F0" w:val="clear"/>
            <w:tcMar>
              <w:top w:type="dxa" w:w="110"/>
              <w:left w:type="dxa" w:w="150"/>
              <w:bottom w:type="dxa" w:w="110"/>
              <w:right w:type="dxa" w:w="120"/>
            </w:tcMar>
            <w:vAlign w:val="center"/>
          </w:tcPr>
          <w:p>
            <w:pPr>
              <w:jc w:val="center"/>
            </w:pPr>
            <w:r>
              <w:rPr>
                <w:rFonts w:ascii="Arial" w:cs="Arial" w:eastAsia="Arial" w:hAnsi="Arial"/>
                <w:b/>
                <w:bCs/>
                <w:color w:val="9B1C1C"/>
                <w:sz w:val="21"/>
                <w:szCs w:val="21"/>
              </w:rPr>
              <w:t xml:space="preserve">12 – 24+ months</w:t>
            </w:r>
          </w:p>
        </w:tc>
      </w:tr>
    </w:tbl>
    <w:p>
      <w:pPr>
        <w:spacing w:before="160"/>
      </w:pPr>
      <w:r>
        <w:t xml:space="preserve"/>
      </w:r>
    </w:p>
    <w:p>
      <w:pPr>
        <w:pStyle w:val="Heading1"/>
        <w:spacing w:before="420" w:after="60"/>
      </w:pPr>
      <w:r>
        <w:rPr>
          <w:rFonts w:ascii="Arial" w:cs="Arial" w:eastAsia="Arial" w:hAnsi="Arial"/>
          <w:b/>
          <w:bCs/>
          <w:color w:val="0D2137"/>
          <w:sz w:val="30"/>
          <w:szCs w:val="30"/>
        </w:rPr>
        <w:t xml:space="preserve">7.  IMPORTANT TIPS &amp; REMINDERS</w:t>
      </w:r>
    </w:p>
    <w:p>
      <w:pPr>
        <w:pBdr>
          <w:bottom w:val="single" w:color="1A4878" w:sz="10" w:space="1"/>
        </w:pBdr>
        <w:spacing w:before="0" w:after="0"/>
      </w:pPr>
      <w:r>
        <w:t xml:space="preserve"/>
      </w:r>
    </w:p>
    <w:p>
      <w:pPr>
        <w:spacing w:before="80"/>
      </w:pPr>
      <w:r>
        <w:t xml:space="preserve"/>
      </w:r>
    </w:p>
    <w:p>
      <w:pPr>
        <w:pStyle w:val="ListParagraph"/>
        <w:numPr>
          <w:ilvl w:val="0"/>
          <w:numId w:val="3"/>
        </w:numPr>
        <w:spacing w:before="60" w:after="60"/>
      </w:pPr>
      <w:r>
        <w:rPr>
          <w:rFonts w:ascii="Arial" w:cs="Arial" w:eastAsia="Arial" w:hAnsi="Arial"/>
          <w:color w:val="1C1C1C"/>
          <w:sz w:val="22"/>
          <w:szCs w:val="22"/>
        </w:rPr>
        <w:t xml:space="preserve">Engage a SURCON-licensed surveyor from the outset — an uncertified or poorly prepared survey plan is the most common cause of outright rejection.</w:t>
      </w:r>
    </w:p>
    <w:p>
      <w:pPr>
        <w:pStyle w:val="ListParagraph"/>
        <w:numPr>
          <w:ilvl w:val="0"/>
          <w:numId w:val="3"/>
        </w:numPr>
        <w:spacing w:before="60" w:after="60"/>
      </w:pPr>
      <w:r>
        <w:rPr>
          <w:rFonts w:ascii="Arial" w:cs="Arial" w:eastAsia="Arial" w:hAnsi="Arial"/>
          <w:color w:val="1C1C1C"/>
          <w:sz w:val="22"/>
          <w:szCs w:val="22"/>
        </w:rPr>
        <w:t xml:space="preserve">Obtain Stamp Duty on your land receipt or agreement BEFORE submission — it cannot be added retrospectively to an already-submitted document.</w:t>
      </w:r>
    </w:p>
    <w:p>
      <w:pPr>
        <w:pStyle w:val="ListParagraph"/>
        <w:numPr>
          <w:ilvl w:val="0"/>
          <w:numId w:val="3"/>
        </w:numPr>
        <w:spacing w:before="60" w:after="60"/>
      </w:pPr>
      <w:r>
        <w:rPr>
          <w:rFonts w:ascii="Arial" w:cs="Arial" w:eastAsia="Arial" w:hAnsi="Arial"/>
          <w:color w:val="1C1C1C"/>
          <w:sz w:val="22"/>
          <w:szCs w:val="22"/>
        </w:rPr>
        <w:t xml:space="preserve">Keep originals of ALL payment receipts throughout the process — form fee, administrative charge, inspection fee, charting fee, inspection team fee, and assessment payment receipts may each be requested at any stage.</w:t>
      </w:r>
    </w:p>
    <w:p>
      <w:pPr>
        <w:pStyle w:val="ListParagraph"/>
        <w:numPr>
          <w:ilvl w:val="0"/>
          <w:numId w:val="3"/>
        </w:numPr>
        <w:spacing w:before="60" w:after="60"/>
      </w:pPr>
      <w:r>
        <w:rPr>
          <w:rFonts w:ascii="Arial" w:cs="Arial" w:eastAsia="Arial" w:hAnsi="Arial"/>
          <w:color w:val="1C1C1C"/>
          <w:sz w:val="22"/>
          <w:szCs w:val="22"/>
        </w:rPr>
        <w:t xml:space="preserve">Follow up with your Scheme Officer regularly — at least once a month. Do not assume silence indicates progress.</w:t>
      </w:r>
    </w:p>
    <w:p>
      <w:pPr>
        <w:pStyle w:val="ListParagraph"/>
        <w:numPr>
          <w:ilvl w:val="0"/>
          <w:numId w:val="3"/>
        </w:numPr>
        <w:spacing w:before="60" w:after="60"/>
      </w:pPr>
      <w:r>
        <w:rPr>
          <w:rFonts w:ascii="Arial" w:cs="Arial" w:eastAsia="Arial" w:hAnsi="Arial"/>
          <w:color w:val="1C1C1C"/>
          <w:sz w:val="22"/>
          <w:szCs w:val="22"/>
        </w:rPr>
        <w:t xml:space="preserve">On the day of site inspection, ensure the land is fully accessible and all boundary beacons are clearly visible. Inaccessibility causes significant delays and may require rescheduling.</w:t>
      </w:r>
    </w:p>
    <w:p>
      <w:pPr>
        <w:pStyle w:val="ListParagraph"/>
        <w:numPr>
          <w:ilvl w:val="0"/>
          <w:numId w:val="3"/>
        </w:numPr>
        <w:spacing w:before="60" w:after="60"/>
      </w:pPr>
      <w:r>
        <w:rPr>
          <w:rFonts w:ascii="Arial" w:cs="Arial" w:eastAsia="Arial" w:hAnsi="Arial"/>
          <w:color w:val="1C1C1C"/>
          <w:sz w:val="22"/>
          <w:szCs w:val="22"/>
        </w:rPr>
        <w:t xml:space="preserve">The Site Inspection team fee is payable to the inspection officers — always request an official acknowledgement or receipt from the team leader on the day.</w:t>
      </w:r>
    </w:p>
    <w:p>
      <w:pPr>
        <w:pStyle w:val="ListParagraph"/>
        <w:numPr>
          <w:ilvl w:val="0"/>
          <w:numId w:val="3"/>
        </w:numPr>
        <w:spacing w:before="60" w:after="60"/>
      </w:pPr>
      <w:r>
        <w:rPr>
          <w:rFonts w:ascii="Arial" w:cs="Arial" w:eastAsia="Arial" w:hAnsi="Arial"/>
          <w:color w:val="1C1C1C"/>
          <w:sz w:val="22"/>
          <w:szCs w:val="22"/>
        </w:rPr>
        <w:t xml:space="preserve">Upon receiving your Demand Notice (Assessment), pay it as quickly as possible — delayed assessment payment is one of the most avoidable causes of timeline extension.</w:t>
      </w:r>
    </w:p>
    <w:p>
      <w:pPr>
        <w:pStyle w:val="ListParagraph"/>
        <w:numPr>
          <w:ilvl w:val="0"/>
          <w:numId w:val="3"/>
        </w:numPr>
        <w:spacing w:before="60" w:after="60"/>
      </w:pPr>
      <w:r>
        <w:rPr>
          <w:rFonts w:ascii="Arial" w:cs="Arial" w:eastAsia="Arial" w:hAnsi="Arial"/>
          <w:color w:val="1C1C1C"/>
          <w:sz w:val="22"/>
          <w:szCs w:val="22"/>
        </w:rPr>
        <w:t xml:space="preserve">If your state permits instalment payment of the assessment fee, confirm the terms in writing from the Ministry before proceeding.</w:t>
      </w:r>
    </w:p>
    <w:p>
      <w:pPr>
        <w:pStyle w:val="ListParagraph"/>
        <w:numPr>
          <w:ilvl w:val="0"/>
          <w:numId w:val="3"/>
        </w:numPr>
        <w:spacing w:before="60" w:after="60"/>
      </w:pPr>
      <w:r>
        <w:rPr>
          <w:rFonts w:ascii="Arial" w:cs="Arial" w:eastAsia="Arial" w:hAnsi="Arial"/>
          <w:color w:val="1C1C1C"/>
          <w:sz w:val="22"/>
          <w:szCs w:val="22"/>
        </w:rPr>
        <w:t xml:space="preserve">After collecting your C of O, verify every detail on the document before leaving the Ministry — name, plot number, dimensions, and address. Report and correct any errors immediately.</w:t>
      </w:r>
    </w:p>
    <w:p>
      <w:pPr>
        <w:pStyle w:val="ListParagraph"/>
        <w:numPr>
          <w:ilvl w:val="0"/>
          <w:numId w:val="3"/>
        </w:numPr>
        <w:spacing w:before="60" w:after="60"/>
      </w:pPr>
      <w:r>
        <w:rPr>
          <w:rFonts w:ascii="Arial" w:cs="Arial" w:eastAsia="Arial" w:hAnsi="Arial"/>
          <w:color w:val="1C1C1C"/>
          <w:sz w:val="22"/>
          <w:szCs w:val="22"/>
        </w:rPr>
        <w:t xml:space="preserve">After the C of O is issued, you are typically required to pay annual Ground Rent to the Government to keep the title active and valid. Budget for this ongoing obligation.</w:t>
      </w:r>
    </w:p>
    <w:p>
      <w:pPr>
        <w:pStyle w:val="ListParagraph"/>
        <w:numPr>
          <w:ilvl w:val="0"/>
          <w:numId w:val="3"/>
        </w:numPr>
        <w:spacing w:before="60" w:after="60"/>
      </w:pPr>
      <w:r>
        <w:rPr>
          <w:rFonts w:ascii="Arial" w:cs="Arial" w:eastAsia="Arial" w:hAnsi="Arial"/>
          <w:color w:val="1C1C1C"/>
          <w:sz w:val="22"/>
          <w:szCs w:val="22"/>
        </w:rPr>
        <w:t xml:space="preserve">For high-value land or commercial properties, strongly consider engaging a licensed property lawyer to manage the process and protect your interests.</w:t>
      </w:r>
    </w:p>
    <w:p>
      <w:pPr>
        <w:spacing w:before="160"/>
      </w:pPr>
      <w:r>
        <w:t xml:space="preserve"/>
      </w:r>
    </w:p>
    <w:p>
      <w:pPr>
        <w:pStyle w:val="Heading1"/>
        <w:spacing w:before="420" w:after="60"/>
      </w:pPr>
      <w:r>
        <w:rPr>
          <w:rFonts w:ascii="Arial" w:cs="Arial" w:eastAsia="Arial" w:hAnsi="Arial"/>
          <w:b/>
          <w:bCs/>
          <w:color w:val="0D2137"/>
          <w:sz w:val="30"/>
          <w:szCs w:val="30"/>
        </w:rPr>
        <w:t xml:space="preserve">8.  IMPORTANT CONSIDERATIONS &amp; DISCLAIMERS</w:t>
      </w:r>
    </w:p>
    <w:p>
      <w:pPr>
        <w:pBdr>
          <w:bottom w:val="single" w:color="1A4878" w:sz="10" w:space="1"/>
        </w:pBdr>
        <w:spacing w:before="0" w:after="0"/>
      </w:pPr>
      <w:r>
        <w:t xml:space="preserve"/>
      </w:r>
    </w:p>
    <w:p>
      <w:pPr>
        <w:spacing w:before="80"/>
      </w:pPr>
      <w:r>
        <w:t xml:space="preserve"/>
      </w:r>
    </w:p>
    <w:p>
      <w:pPr>
        <w:spacing w:before="200" w:after="60"/>
      </w:pPr>
      <w:r>
        <w:rPr>
          <w:rFonts w:ascii="Arial" w:cs="Arial" w:eastAsia="Arial" w:hAnsi="Arial"/>
          <w:b/>
          <w:bCs/>
          <w:color w:val="2E6DA4"/>
          <w:sz w:val="22"/>
          <w:szCs w:val="22"/>
        </w:rPr>
        <w:t xml:space="preserve">State Variations</w:t>
      </w:r>
    </w:p>
    <w:p>
      <w:pPr>
        <w:spacing w:before="80" w:after="80"/>
        <w:jc w:val="both"/>
      </w:pPr>
      <w:r>
        <w:rPr>
          <w:rFonts w:ascii="Arial" w:cs="Arial" w:eastAsia="Arial" w:hAnsi="Arial"/>
          <w:color w:val="1C1C1C"/>
          <w:sz w:val="22"/>
          <w:szCs w:val="22"/>
        </w:rPr>
        <w:t xml:space="preserve">Costs, requirements, and specific procedures vary significantly between states. Lagos, Abuja FCT, Oyo, Anambra, and other states each operate under their own land bureau frameworks. This guide is based on standard templates applicable across most states. Always verify the current checklist and fee schedule with your specific state's Ministry of Lands or Land Bureau before applying.</w:t>
      </w:r>
    </w:p>
    <w:p>
      <w:pPr>
        <w:spacing w:before="80"/>
      </w:pPr>
      <w:r>
        <w:t xml:space="preserve"/>
      </w:r>
    </w:p>
    <w:p>
      <w:pPr>
        <w:spacing w:before="200" w:after="60"/>
      </w:pPr>
      <w:r>
        <w:rPr>
          <w:rFonts w:ascii="Arial" w:cs="Arial" w:eastAsia="Arial" w:hAnsi="Arial"/>
          <w:b/>
          <w:bCs/>
          <w:color w:val="2E6DA4"/>
          <w:sz w:val="22"/>
          <w:szCs w:val="22"/>
        </w:rPr>
        <w:t xml:space="preserve">Professional Fees — Not Included</w:t>
      </w:r>
    </w:p>
    <w:p>
      <w:pPr>
        <w:spacing w:before="80" w:after="80"/>
        <w:jc w:val="both"/>
      </w:pPr>
      <w:r>
        <w:rPr>
          <w:rFonts w:ascii="Arial" w:cs="Arial" w:eastAsia="Arial" w:hAnsi="Arial"/>
          <w:color w:val="1C1C1C"/>
          <w:sz w:val="22"/>
          <w:szCs w:val="22"/>
        </w:rPr>
        <w:t xml:space="preserve">This guide covers government fees only. It does not include fees for the licensed surveyor, property lawyer, architect, or any other professional whose services you may engage during the process. These are separate and must be budgeted for independently.</w:t>
      </w:r>
    </w:p>
    <w:p>
      <w:pPr>
        <w:spacing w:before="80"/>
      </w:pPr>
      <w:r>
        <w:t xml:space="preserve"/>
      </w:r>
    </w:p>
    <w:p>
      <w:pPr>
        <w:spacing w:before="200" w:after="60"/>
      </w:pPr>
      <w:r>
        <w:rPr>
          <w:rFonts w:ascii="Arial" w:cs="Arial" w:eastAsia="Arial" w:hAnsi="Arial"/>
          <w:b/>
          <w:bCs/>
          <w:color w:val="2E6DA4"/>
          <w:sz w:val="22"/>
          <w:szCs w:val="22"/>
        </w:rPr>
        <w:t xml:space="preserve">Annual Ground Rent</w:t>
      </w:r>
    </w:p>
    <w:p>
      <w:pPr>
        <w:spacing w:before="80" w:after="80"/>
        <w:jc w:val="both"/>
      </w:pPr>
      <w:r>
        <w:rPr>
          <w:rFonts w:ascii="Arial" w:cs="Arial" w:eastAsia="Arial" w:hAnsi="Arial"/>
          <w:color w:val="1C1C1C"/>
          <w:sz w:val="22"/>
          <w:szCs w:val="22"/>
        </w:rPr>
        <w:t xml:space="preserve">After obtaining the C of O, landowners are typically required to pay Annual Ground Rent to the Government to keep the title active and valid. Failure to pay ground rent over an extended period can lead to complications or revocation of the title.</w:t>
      </w:r>
    </w:p>
    <w:p>
      <w:pPr>
        <w:spacing w:before="80"/>
      </w:pPr>
      <w:r>
        <w:t xml:space="preserve"/>
      </w:r>
    </w:p>
    <w:p>
      <w:pPr>
        <w:spacing w:before="200" w:after="60"/>
      </w:pPr>
      <w:r>
        <w:rPr>
          <w:rFonts w:ascii="Arial" w:cs="Arial" w:eastAsia="Arial" w:hAnsi="Arial"/>
          <w:b/>
          <w:bCs/>
          <w:color w:val="2E6DA4"/>
          <w:sz w:val="22"/>
          <w:szCs w:val="22"/>
        </w:rPr>
        <w:t xml:space="preserve">Fee Schedule Updates</w:t>
      </w:r>
    </w:p>
    <w:p>
      <w:pPr>
        <w:spacing w:before="80" w:after="80"/>
        <w:jc w:val="both"/>
      </w:pPr>
      <w:r>
        <w:rPr>
          <w:rFonts w:ascii="Arial" w:cs="Arial" w:eastAsia="Arial" w:hAnsi="Arial"/>
          <w:color w:val="1C1C1C"/>
          <w:sz w:val="22"/>
          <w:szCs w:val="22"/>
        </w:rPr>
        <w:t xml:space="preserve">All government fees and charges are subject to change without prior notice. Always obtain the current official fee schedule from the relevant state land bureau at the time of your application. Do not rely on figures communicated outside the official government process.</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0D2137" w:val="clear"/>
            <w:tcMar>
              <w:top w:type="dxa" w:w="260"/>
              <w:left w:type="dxa" w:w="360"/>
              <w:bottom w:type="dxa" w:w="260"/>
              <w:right w:type="dxa" w:w="360"/>
            </w:tcMar>
          </w:tcPr>
          <w:p>
            <w:pPr>
              <w:jc w:val="center"/>
            </w:pPr>
            <w:r>
              <w:rPr>
                <w:rFonts w:ascii="Arial" w:cs="Arial" w:eastAsia="Arial" w:hAnsi="Arial"/>
                <w:b/>
                <w:bCs/>
                <w:color w:val="D0DFEE"/>
                <w:sz w:val="23"/>
                <w:szCs w:val="23"/>
              </w:rPr>
              <w:t xml:space="preserve">For official enquiries, visit the Ministry of Lands and Survey in your State.</w:t>
            </w:r>
          </w:p>
          <w:p>
            <w:pPr>
              <w:spacing w:before="80"/>
              <w:jc w:val="center"/>
            </w:pPr>
            <w:r>
              <w:rPr>
                <w:rFonts w:ascii="Arial" w:cs="Arial" w:eastAsia="Arial" w:hAnsi="Arial"/>
                <w:i/>
                <w:iCs/>
                <w:color w:val="90AACC"/>
                <w:sz w:val="19"/>
                <w:szCs w:val="19"/>
              </w:rPr>
              <w:t xml:space="preserve">Always verify current fees and requirements with local authorities, as schedules are subject to revision.</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jc w:val="center"/>
    </w:pPr>
    <w:r>
      <w:rPr>
        <w:rFonts w:ascii="Arial" w:cs="Arial" w:eastAsia="Arial" w:hAnsi="Arial"/>
        <w:i/>
        <w:iCs/>
        <w:color w:val="888888"/>
        <w:sz w:val="17"/>
        <w:szCs w:val="17"/>
      </w:rPr>
      <w:t xml:space="preserve">For informational purposes only. Fees and requirements vary by state. Always verify with your local Ministry of Lands and Survey.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137" w:sz="6" w:space="6"/>
      </w:pBdr>
      <w:spacing w:after="0"/>
      <w:jc w:val="center"/>
    </w:pPr>
    <w:r>
      <w:rPr>
        <w:rFonts w:ascii="Arial" w:cs="Arial" w:eastAsia="Arial" w:hAnsi="Arial"/>
        <w:b/>
        <w:bCs/>
        <w:color w:val="0D2137"/>
        <w:sz w:val="18"/>
        <w:szCs w:val="18"/>
      </w:rPr>
      <w:t xml:space="preserve">CERTIFICATE OF OCCUPANCY (C of O)  —  COMPREHENSIVE PROCESSING GUIDE  |  NIGERIA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60"/>
      <w:outlineLvl w:val="0"/>
    </w:pPr>
    <w:rPr>
      <w:rFonts w:ascii="Arial" w:cs="Arial" w:eastAsia="Arial" w:hAnsi="Arial"/>
      <w:b/>
      <w:bCs/>
      <w:color w:val="0D2137"/>
      <w:sz w:val="30"/>
      <w:szCs w:val="30"/>
    </w:rPr>
  </w:style>
  <w:style w:type="paragraph" w:styleId="Heading2">
    <w:name w:val="Heading 2"/>
    <w:basedOn w:val="Normal"/>
    <w:next w:val="Normal"/>
    <w:qFormat/>
    <w:pPr>
      <w:spacing w:before="280" w:after="80"/>
      <w:outlineLvl w:val="1"/>
    </w:pPr>
    <w:rPr>
      <w:rFonts w:ascii="Arial" w:cs="Arial" w:eastAsia="Arial" w:hAnsi="Arial"/>
      <w:b/>
      <w:bCs/>
      <w:color w:val="1A48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2026-03-13T09:03:56.154Z</dcterms:created>
  <dcterms:modified xsi:type="dcterms:W3CDTF">2026-03-13T09:03:56.155Z</dcterms:modified>
</cp:coreProperties>
</file>

<file path=docProps/custom.xml><?xml version="1.0" encoding="utf-8"?>
<Properties xmlns="http://schemas.openxmlformats.org/officeDocument/2006/custom-properties" xmlns:vt="http://schemas.openxmlformats.org/officeDocument/2006/docPropsVTypes"/>
</file>