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320"/>
        <w:rPr/>
      </w:pPr>
      <w:r>
        <w:rPr/>
        <w:t xml:space="preserve">PXCap Studio </w:t>
      </w:r>
      <w:r>
        <w:rPr/>
        <w:t>使用说明手册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0"/>
        <w:gridCol w:w="6939"/>
      </w:tblGrid>
      <w:tr>
        <w:trPr>
          <w:tblHeader w:val="true"/>
        </w:trPr>
        <w:tc>
          <w:tcPr>
            <w:tcW w:w="3260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项目</w:t>
            </w:r>
          </w:p>
        </w:tc>
        <w:tc>
          <w:tcPr>
            <w:tcW w:w="6939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上位机</w:t>
            </w:r>
          </w:p>
        </w:tc>
        <w:tc>
          <w:tcPr>
            <w:tcW w:w="693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PXCap Studio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适用版本</w:t>
            </w:r>
          </w:p>
        </w:tc>
        <w:tc>
          <w:tcPr>
            <w:tcW w:w="693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1.0.0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支持设备</w:t>
            </w:r>
          </w:p>
        </w:tc>
        <w:tc>
          <w:tcPr>
            <w:tcW w:w="693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PXCap III</w:t>
            </w:r>
            <w:r>
              <w:rPr/>
              <w:t>、</w:t>
            </w:r>
            <w:r>
              <w:rPr/>
              <w:t>PXCap Pro</w:t>
            </w:r>
            <w:r>
              <w:rPr/>
              <w:t>、</w:t>
            </w:r>
            <w:r>
              <w:rPr/>
              <w:t>PXCap Ultra</w:t>
            </w:r>
            <w:r>
              <w:rPr/>
              <w:t>、</w:t>
            </w:r>
            <w:r>
              <w:rPr/>
              <w:t>PXDex III</w:t>
            </w:r>
          </w:p>
        </w:tc>
      </w:tr>
      <w:tr>
        <w:trPr/>
        <w:tc>
          <w:tcPr>
            <w:tcW w:w="326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文档日期</w:t>
            </w:r>
          </w:p>
        </w:tc>
        <w:tc>
          <w:tcPr>
            <w:tcW w:w="693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2026-08-14</w:t>
            </w:r>
          </w:p>
        </w:tc>
      </w:tr>
    </w:tbl>
    <w:p>
      <w:pPr>
        <w:pStyle w:val="Style25"/>
        <w:pBdr>
          <w:left w:val="single" w:sz="18" w:space="10" w:color="4F81BD"/>
        </w:pBdr>
        <w:shd w:val="clear" w:fill="F3F7FB"/>
        <w:bidi w:val="0"/>
        <w:spacing w:before="160" w:after="160"/>
        <w:ind w:left="160" w:right="160" w:hanging="0"/>
        <w:jc w:val="left"/>
        <w:rPr/>
      </w:pPr>
      <w:r>
        <w:rPr/>
        <w:t xml:space="preserve">本手册描述当前上位机已经提供的功能。各设备的数据含义、维护限制和安全要求参考 ；界面入口和操作流程以 </w:t>
      </w:r>
      <w:r>
        <w:rPr/>
        <w:t>PXCap Studio 1.0.0</w:t>
      </w:r>
      <w:r>
        <w:rPr/>
        <w:t>当前实现为准。</w:t>
      </w:r>
    </w:p>
    <w:p>
      <w:pPr>
        <w:pStyle w:val="2"/>
        <w:bidi w:val="0"/>
        <w:jc w:val="left"/>
        <w:rPr/>
      </w:pPr>
      <w:r>
        <w:rPr/>
        <w:t xml:space="preserve">1. </w:t>
      </w:r>
      <w:r>
        <w:rPr/>
        <w:t>产品简介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PXCap Studio </w:t>
      </w:r>
      <w:r>
        <w:rPr/>
        <w:t xml:space="preserve">是用于管理 </w:t>
      </w:r>
      <w:r>
        <w:rPr/>
        <w:t xml:space="preserve">PXCap </w:t>
      </w:r>
      <w:r>
        <w:rPr/>
        <w:t xml:space="preserve">数据采集手套和 </w:t>
      </w:r>
      <w:r>
        <w:rPr/>
        <w:t xml:space="preserve">PXDex </w:t>
      </w:r>
      <w:r>
        <w:rPr/>
        <w:t>执行器的桌面上位机。它可以完成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多个</w:t>
      </w:r>
      <w:r>
        <w:rPr/>
        <w:t xml:space="preserve">USB </w:t>
      </w:r>
      <w:r>
        <w:rPr/>
        <w:t>串口设备发现与连接、实时数据监视、分布力和手部模型显示、多设备同步采集、相机预览与录像、采集质量评分、数据回放、设备标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零</w:t>
      </w:r>
      <w:r>
        <w:rPr/>
        <w:t>、固件升级和诊断日志查询。当前主导航显示以下两个入口：</w:t>
      </w:r>
    </w:p>
    <w:p>
      <w:pPr>
        <w:pStyle w:val="Style15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2"/>
        </w:rPr>
        <w:t>设备管理</w:t>
      </w:r>
      <w:r>
        <w:rPr/>
        <w:t xml:space="preserve">：发现、连接和管理设备，进入单设备详情。 </w:t>
      </w:r>
    </w:p>
    <w:p>
      <w:pPr>
        <w:pStyle w:val="Style15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2"/>
        </w:rPr>
        <w:t>数据采集</w:t>
      </w:r>
      <w:r>
        <w:rPr/>
        <w:t xml:space="preserve">：选择一个或多个已连接设备，配置频率并采集、评分、回放数据。 </w:t>
      </w:r>
    </w:p>
    <w:p>
      <w:pPr>
        <w:pStyle w:val="Style15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-108585</wp:posOffset>
            </wp:positionV>
            <wp:extent cx="6227445" cy="4667250"/>
            <wp:effectExtent l="0" t="0" r="0" b="0"/>
            <wp:wrapTopAndBottom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相机、手部模型、分布力和采集回放由上述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两个</w:t>
      </w:r>
      <w:r>
        <w:rPr/>
        <w:t>页面中的按钮打开，不是独立的主导航页面。</w:t>
      </w:r>
      <w:r>
        <w:br w:type="page"/>
      </w:r>
    </w:p>
    <w:p>
      <w:pPr>
        <w:pStyle w:val="2"/>
        <w:bidi w:val="0"/>
        <w:jc w:val="left"/>
        <w:rPr/>
      </w:pPr>
      <w:r>
        <w:rPr/>
        <w:t xml:space="preserve">2. </w:t>
      </w:r>
      <w:r>
        <w:rPr/>
        <w:t>设备与功能范围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1529"/>
        <w:gridCol w:w="1530"/>
        <w:gridCol w:w="1529"/>
        <w:gridCol w:w="1530"/>
      </w:tblGrid>
      <w:tr>
        <w:trPr>
          <w:tblHeader w:val="true"/>
        </w:trPr>
        <w:tc>
          <w:tcPr>
            <w:tcW w:w="4082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功能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PXCap III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PXCap Pro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PXCap Ultra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PXDex III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自动发现、连接、重命名、</w:t>
            </w:r>
            <w:r>
              <w:rPr/>
              <w:t>SN/</w:t>
            </w:r>
            <w:r>
              <w:rPr/>
              <w:t>版本读取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实时触觉、编码器</w:t>
            </w:r>
            <w:r>
              <w:rPr/>
              <w:t>/</w:t>
            </w:r>
            <w:r>
              <w:rPr/>
              <w:t>关节</w:t>
            </w:r>
            <w:r>
              <w:rPr>
                <w:rFonts w:ascii="Noto Sans CJK SC;Microsoft YaHei;sans-serif" w:hAnsi="Noto Sans CJK SC;Microsoft YaHei;sans-serif" w:cs="Noto Sans CJK SC;Microsoft YaHei;sans-serif"/>
                <w:color w:val="1F2937"/>
                <w:kern w:val="0"/>
                <w:sz w:val="21"/>
                <w:szCs w:val="21"/>
                <w:lang w:val="en-US" w:eastAsia="zh-CN" w:bidi="hi-IN"/>
              </w:rPr>
              <w:t>图表</w:t>
            </w:r>
            <w:r>
              <w:rPr/>
              <w:t>数据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分布力与实时手部模型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多设备数据采集、质量评分和回放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触觉标定、磁编码器检测</w:t>
            </w:r>
            <w:r>
              <w:rPr/>
              <w:t>/</w:t>
            </w:r>
            <w:r>
              <w:rPr/>
              <w:t>标定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电机回零、使能、位置与循环动作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不适用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不适用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不适用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  <w:tr>
        <w:trPr/>
        <w:tc>
          <w:tcPr>
            <w:tcW w:w="4082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设备诊断日志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支持</w:t>
            </w:r>
          </w:p>
        </w:tc>
      </w:tr>
    </w:tbl>
    <w:p>
      <w:pPr>
        <w:pStyle w:val="Style15"/>
        <w:bidi w:val="0"/>
        <w:spacing w:before="0" w:after="140"/>
        <w:jc w:val="left"/>
        <w:rPr/>
      </w:pPr>
      <w:r>
        <w:rPr/>
      </w:r>
    </w:p>
    <w:p>
      <w:pPr>
        <w:pStyle w:val="Style15"/>
        <w:bidi w:val="0"/>
        <w:spacing w:before="0" w:after="140"/>
        <w:jc w:val="left"/>
        <w:rPr/>
      </w:pPr>
      <w:r>
        <w:rPr/>
        <w:t>主要数据规模如下：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4"/>
        <w:gridCol w:w="3880"/>
        <w:gridCol w:w="3876"/>
      </w:tblGrid>
      <w:tr>
        <w:trPr>
          <w:tblHeader w:val="true"/>
        </w:trPr>
        <w:tc>
          <w:tcPr>
            <w:tcW w:w="2444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设备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触觉数据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姿态或执行数据</w:t>
            </w:r>
          </w:p>
        </w:tc>
      </w:tr>
      <w:tr>
        <w:trPr/>
        <w:tc>
          <w:tcPr>
            <w:tcW w:w="244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PXCap III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10 </w:t>
            </w:r>
            <w:r>
              <w:rPr/>
              <w:t>路触觉合力与分布力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4 </w:t>
            </w:r>
            <w:r>
              <w:rPr/>
              <w:t>路磁编码器数据</w:t>
            </w:r>
          </w:p>
        </w:tc>
      </w:tr>
      <w:tr>
        <w:trPr/>
        <w:tc>
          <w:tcPr>
            <w:tcW w:w="244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PXCap Pro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6 </w:t>
            </w:r>
            <w:r>
              <w:rPr/>
              <w:t>路触觉合力与分布力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17 </w:t>
            </w:r>
            <w:r>
              <w:rPr/>
              <w:t>路磁编码器数据</w:t>
            </w:r>
          </w:p>
        </w:tc>
      </w:tr>
      <w:tr>
        <w:trPr/>
        <w:tc>
          <w:tcPr>
            <w:tcW w:w="244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PXCap Ultra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16 </w:t>
            </w:r>
            <w:r>
              <w:rPr/>
              <w:t>个触觉合力与分布力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29 </w:t>
            </w:r>
            <w:r>
              <w:rPr/>
              <w:t>路磁编码器数据</w:t>
            </w:r>
          </w:p>
        </w:tc>
      </w:tr>
      <w:tr>
        <w:trPr/>
        <w:tc>
          <w:tcPr>
            <w:tcW w:w="2444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PXDex III</w:t>
            </w:r>
          </w:p>
        </w:tc>
        <w:tc>
          <w:tcPr>
            <w:tcW w:w="3880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10 </w:t>
            </w:r>
            <w:r>
              <w:rPr/>
              <w:t>路触觉合力与分布力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4 </w:t>
            </w:r>
            <w:r>
              <w:rPr/>
              <w:t>路电机与磁编码器数据</w:t>
            </w:r>
          </w:p>
        </w:tc>
      </w:tr>
    </w:tbl>
    <w:p>
      <w:pPr>
        <w:pStyle w:val="Style15"/>
        <w:bidi w:val="0"/>
        <w:spacing w:before="0" w:after="140"/>
        <w:jc w:val="left"/>
        <w:rPr/>
      </w:pPr>
      <w:r>
        <w:rPr/>
        <w:t xml:space="preserve">力分量单位为 </w:t>
      </w:r>
      <w:r>
        <w:rPr>
          <w:rStyle w:val="Style11"/>
        </w:rPr>
        <w:t>0.1 N</w:t>
      </w:r>
      <w:r>
        <w:rPr>
          <w:rStyle w:val="Style11"/>
          <w:rFonts w:ascii="Consolas;monospace" w:hAnsi="Consolas;monospace" w:cs="Consolas;monospace" w:eastAsia="Consolas;monospace"/>
          <w:color w:val="1F2937"/>
          <w:kern w:val="0"/>
          <w:sz w:val="21"/>
          <w:szCs w:val="21"/>
          <w:shd w:fill="F2F2F2" w:val="clear"/>
          <w:lang w:val="en-US" w:eastAsia="zh-CN" w:bidi="hi-IN"/>
        </w:rPr>
        <w:t>，</w:t>
      </w:r>
      <w:r>
        <w:rPr/>
        <w:t>界面中的“界面刷新”只影响显示频率，不改变设备采样频率；数据采集页的“采集频率”才用于配置落盘采集频率。</w:t>
      </w:r>
    </w:p>
    <w:p>
      <w:pPr>
        <w:pStyle w:val="2"/>
        <w:bidi w:val="0"/>
        <w:jc w:val="left"/>
        <w:rPr/>
      </w:pPr>
      <w:r>
        <w:rPr/>
        <w:t xml:space="preserve">3. </w:t>
      </w:r>
      <w:r>
        <w:rPr/>
        <w:t>使用前准备</w:t>
      </w:r>
    </w:p>
    <w:p>
      <w:pPr>
        <w:pStyle w:val="3"/>
        <w:bidi w:val="0"/>
        <w:jc w:val="left"/>
        <w:rPr/>
      </w:pPr>
      <w:r>
        <w:rPr/>
        <w:t xml:space="preserve">3.1 </w:t>
      </w:r>
      <w:r>
        <w:rPr/>
        <w:t>硬件与环境</w:t>
      </w:r>
    </w:p>
    <w:p>
      <w:pPr>
        <w:pStyle w:val="Style15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使用可靠的 </w:t>
      </w:r>
      <w:r>
        <w:rPr/>
        <w:t xml:space="preserve">USB </w:t>
      </w:r>
      <w:r>
        <w:rPr/>
        <w:t xml:space="preserve">数据线连接设备，并确认设备已稳定供电。 </w:t>
      </w:r>
    </w:p>
    <w:p>
      <w:pPr>
        <w:pStyle w:val="Style15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关闭串口助手、</w:t>
      </w:r>
      <w:r>
        <w:rPr/>
        <w:t xml:space="preserve">SDK </w:t>
      </w:r>
      <w:r>
        <w:rPr/>
        <w:t xml:space="preserve">示例或其他可能占用同一设备的程序。一个物理设备只能由一个活动连接控制。 </w:t>
      </w:r>
    </w:p>
    <w:p>
      <w:pPr>
        <w:pStyle w:val="Style15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使用相机时，连接与设备对应的 相机，并关闭其他占用摄像头的应用。 </w:t>
      </w:r>
    </w:p>
    <w:p>
      <w:pPr>
        <w:pStyle w:val="Style15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PXDex III </w:t>
      </w:r>
      <w:r>
        <w:rPr/>
        <w:t xml:space="preserve">首次连接和所有运动操作前，清空执行器活动范围，准备可立即断电或失能的安全手段。 </w:t>
      </w:r>
    </w:p>
    <w:p>
      <w:pPr>
        <w:pStyle w:val="3"/>
        <w:bidi w:val="0"/>
        <w:jc w:val="left"/>
        <w:rPr/>
      </w:pPr>
      <w:r>
        <w:rPr/>
        <w:t xml:space="preserve">3.2 Linux </w:t>
      </w:r>
      <w:r>
        <w:rPr/>
        <w:t>串口权限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设备通常枚举为 </w:t>
      </w:r>
      <w:r>
        <w:rPr>
          <w:rStyle w:val="Style11"/>
        </w:rPr>
        <w:t>/dev/ttyACM*</w:t>
      </w:r>
      <w:r>
        <w:rPr/>
        <w:t xml:space="preserve"> </w:t>
      </w:r>
      <w:r>
        <w:rPr/>
        <w:t xml:space="preserve">或 </w:t>
      </w:r>
      <w:r>
        <w:rPr>
          <w:rStyle w:val="Style11"/>
        </w:rPr>
        <w:t>/dev/ttyUSB*</w:t>
      </w:r>
      <w:r>
        <w:rPr/>
        <w:t>。如果连接时提示权限不足：</w:t>
      </w:r>
    </w:p>
    <w:p>
      <w:pPr>
        <w:pStyle w:val="Style26"/>
        <w:bidi w:val="0"/>
        <w:spacing w:before="0" w:after="283"/>
        <w:jc w:val="left"/>
        <w:rPr/>
      </w:pPr>
      <w:r>
        <w:rPr/>
        <w:t>sudo usermod -aG dialout "$USER"</w:t>
      </w:r>
    </w:p>
    <w:p>
      <w:pPr>
        <w:pStyle w:val="Style15"/>
        <w:bidi w:val="0"/>
        <w:spacing w:before="0" w:after="140"/>
        <w:jc w:val="left"/>
        <w:rPr/>
      </w:pPr>
      <w:r>
        <w:rPr/>
        <w:t>执行后注销并重新登录，再重新连接设备。若界面弹出系统授权，也可以按提示授权当前串口。</w:t>
      </w:r>
    </w:p>
    <w:p>
      <w:pPr>
        <w:pStyle w:val="3"/>
        <w:bidi w:val="0"/>
        <w:jc w:val="left"/>
        <w:rPr/>
      </w:pPr>
      <w:r>
        <w:rPr/>
        <w:t xml:space="preserve">3.3 </w:t>
      </w:r>
      <w:r>
        <w:rPr/>
        <w:t>启动与版本确认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启动 </w:t>
      </w:r>
      <w:r>
        <w:rPr/>
        <w:t xml:space="preserve">PXCap Studio </w:t>
      </w:r>
      <w:r>
        <w:rPr/>
        <w:t xml:space="preserve">后，将鼠标移到左上角 </w:t>
      </w:r>
      <w:r>
        <w:rPr/>
        <w:t xml:space="preserve">PX </w:t>
      </w:r>
      <w:r>
        <w:rPr/>
        <w:t xml:space="preserve">图标，可查看上位机版本和 </w:t>
      </w:r>
      <w:r>
        <w:rPr/>
        <w:t xml:space="preserve">SDK </w:t>
      </w:r>
      <w:r>
        <w:rPr/>
        <w:t>版本。</w:t>
      </w:r>
    </w:p>
    <w:p>
      <w:pPr>
        <w:pStyle w:val="2"/>
        <w:bidi w:val="0"/>
        <w:jc w:val="left"/>
        <w:rPr/>
      </w:pPr>
      <w:r>
        <w:rPr/>
        <w:t xml:space="preserve">4. </w:t>
      </w:r>
      <w:r>
        <w:rPr/>
        <w:t>设备管理</w:t>
      </w:r>
    </w:p>
    <w:p>
      <w:pPr>
        <w:pStyle w:val="3"/>
        <w:bidi w:val="0"/>
        <w:jc w:val="left"/>
        <w:rPr/>
      </w:pPr>
      <w:r>
        <w:rPr/>
        <w:t xml:space="preserve">4.1 </w:t>
      </w:r>
      <w:r>
        <w:rPr/>
        <w:t>扫描与连接</w:t>
      </w:r>
    </w:p>
    <w:p>
      <w:pPr>
        <w:pStyle w:val="Style15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打开左侧 </w:t>
      </w:r>
      <w:r>
        <w:rPr>
          <w:rStyle w:val="Style12"/>
        </w:rPr>
        <w:t>设备管理</w:t>
      </w:r>
      <w:r>
        <w:rPr/>
        <w:t xml:space="preserve">。 </w:t>
      </w:r>
    </w:p>
    <w:p>
      <w:pPr>
        <w:pStyle w:val="Style15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连接 </w:t>
      </w:r>
      <w:r>
        <w:rPr/>
        <w:t xml:space="preserve">USB </w:t>
      </w:r>
      <w:r>
        <w:rPr/>
        <w:t xml:space="preserve">设备后等待自动扫描，或点击 </w:t>
      </w:r>
      <w:r>
        <w:rPr>
          <w:rStyle w:val="Style12"/>
        </w:rPr>
        <w:t>扫描设备</w:t>
      </w:r>
      <w:r>
        <w:rPr/>
        <w:t xml:space="preserve">。 </w:t>
      </w:r>
    </w:p>
    <w:p>
      <w:pPr>
        <w:pStyle w:val="Style15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在设备卡片上核对产品类型、左右手和串口。 </w:t>
      </w:r>
    </w:p>
    <w:p>
      <w:pPr>
        <w:pStyle w:val="Style15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根据版本号进行自动识别，</w:t>
      </w:r>
      <w:r>
        <w:rPr/>
        <w:t xml:space="preserve">如果识别结果不正确，在未连接状态下修改设备类型或选择正确串口。 </w:t>
      </w:r>
    </w:p>
    <w:p>
      <w:pPr>
        <w:pStyle w:val="Style15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连接</w:t>
      </w:r>
      <w:r>
        <w:rPr/>
        <w:t xml:space="preserve">。连接成功后卡片显示为已连接。 </w:t>
      </w:r>
    </w:p>
    <w:p>
      <w:pPr>
        <w:pStyle w:val="Style15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双击设备卡片，或点击 </w:t>
      </w:r>
      <w:r>
        <w:rPr>
          <w:rStyle w:val="Style12"/>
        </w:rPr>
        <w:t>查看详情</w:t>
      </w:r>
      <w:r>
        <w:rPr/>
        <w:t xml:space="preserve">，进入设备详情页。 </w:t>
      </w:r>
    </w:p>
    <w:p>
      <w:pPr>
        <w:pStyle w:val="Style15"/>
        <w:tabs>
          <w:tab w:val="clear" w:pos="1134"/>
          <w:tab w:val="left" w:pos="709" w:leader="none"/>
        </w:tabs>
        <w:bidi w:val="0"/>
        <w:ind w:hanging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7910" cy="459740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left"/>
        <w:rPr/>
      </w:pPr>
      <w:r>
        <w:rPr/>
        <w:t xml:space="preserve">设备页会持续扫描 </w:t>
      </w:r>
      <w:r>
        <w:rPr/>
        <w:t xml:space="preserve">USB </w:t>
      </w:r>
      <w:r>
        <w:rPr/>
        <w:t>串口。重插设备后串口编号可能变化。连接过程中页面会暂时锁定，等待本次连接成功或失败后再操作其他设备。</w:t>
      </w:r>
    </w:p>
    <w:p>
      <w:pPr>
        <w:pStyle w:val="3"/>
        <w:bidi w:val="0"/>
        <w:jc w:val="left"/>
        <w:rPr/>
      </w:pPr>
      <w:r>
        <w:rPr/>
        <w:t xml:space="preserve">4.2 </w:t>
      </w:r>
      <w:r>
        <w:rPr/>
        <w:t>设备详情顶部信息</w:t>
      </w:r>
    </w:p>
    <w:p>
      <w:pPr>
        <w:pStyle w:val="Style15"/>
        <w:bidi w:val="0"/>
        <w:spacing w:before="0" w:after="140"/>
        <w:jc w:val="left"/>
        <w:rPr/>
      </w:pPr>
      <w:r>
        <w:rPr/>
        <w:t>设备详情顶部显示产品、左右手、连接状态、</w:t>
      </w:r>
      <w:r>
        <w:rPr/>
        <w:t>SN</w:t>
      </w:r>
      <w:r>
        <w:rPr/>
        <w:t>、串口和主控版本，并提供以下入口：</w:t>
      </w:r>
    </w:p>
    <w:p>
      <w:pPr>
        <w:pStyle w:val="Style15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2"/>
        </w:rPr>
        <w:t>SN</w:t>
      </w:r>
      <w:r>
        <w:rPr/>
        <w:t xml:space="preserve">：重新读取或写入设备序列号。写入会修改设备持久化信息，输入前应确认设备归属和编号规则。 </w:t>
      </w:r>
    </w:p>
    <w:p>
      <w:pPr>
        <w:pStyle w:val="Style15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2"/>
        </w:rPr>
        <w:t>版本</w:t>
      </w:r>
      <w:r>
        <w:rPr/>
        <w:t>：重新读取主板</w:t>
      </w:r>
      <w:r>
        <w:rPr/>
        <w:t>/</w:t>
      </w:r>
      <w:r>
        <w:rPr/>
        <w:t xml:space="preserve">控制器版本及传感器、电驱版本。 </w:t>
      </w:r>
    </w:p>
    <w:p>
      <w:pPr>
        <w:pStyle w:val="Style15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2"/>
        </w:rPr>
        <w:t>诊断日志</w:t>
      </w:r>
      <w:r>
        <w:rPr/>
        <w:t xml:space="preserve">：打开当前设备日志查看器。 </w:t>
      </w:r>
    </w:p>
    <w:p>
      <w:pPr>
        <w:pStyle w:val="Style15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ind w:left="426" w:hanging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7910" cy="542290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bidi w:val="0"/>
        <w:jc w:val="left"/>
        <w:rPr/>
      </w:pPr>
      <w:r>
        <w:rPr/>
        <w:t xml:space="preserve">5. </w:t>
      </w:r>
      <w:r>
        <w:rPr/>
        <w:t>实时数据</w:t>
      </w:r>
    </w:p>
    <w:p>
      <w:pPr>
        <w:pStyle w:val="3"/>
        <w:bidi w:val="0"/>
        <w:jc w:val="left"/>
        <w:rPr/>
      </w:pPr>
      <w:r>
        <w:rPr/>
        <w:t xml:space="preserve">5.1 </w:t>
      </w:r>
      <w:r>
        <w:rPr/>
        <w:t>通用监视操作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在设备详情的 </w:t>
      </w:r>
      <w:r>
        <w:rPr>
          <w:rStyle w:val="Style12"/>
        </w:rPr>
        <w:t>实时数据</w:t>
      </w:r>
      <w:r>
        <w:rPr/>
        <w:t xml:space="preserve"> 页，可以：</w:t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查看各触觉区域的三轴合力、通道状态和磁编码器</w:t>
      </w:r>
      <w:r>
        <w:rPr/>
        <w:t>/</w:t>
      </w:r>
      <w:r>
        <w:rPr/>
        <w:t xml:space="preserve">电机数据； </w:t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单击通道卡片展开或收起历史曲线； </w:t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在“紧凑”和“标准”显示密度间切换； </w:t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调整界面刷新频率； </w:t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暂停或继续数据同步； </w:t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暂停或继续曲线更新； </w:t>
      </w:r>
    </w:p>
    <w:p>
      <w:pPr>
        <w:pStyle w:val="Style15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7910" cy="295148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查看模型</w:t>
      </w:r>
      <w:r>
        <w:rPr/>
        <w:t xml:space="preserve"> 打开独立的实时三维手部模型窗口； </w:t>
      </w:r>
    </w:p>
    <w:p>
      <w:pPr>
        <w:pStyle w:val="Style15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spacing w:before="0" w:after="0"/>
        <w:ind w:hanging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7910" cy="4468495"/>
            <wp:effectExtent l="0" t="0" r="0" b="0"/>
            <wp:wrapSquare wrapText="largest"/>
            <wp:docPr id="5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查看分布力</w:t>
      </w:r>
      <w:r>
        <w:rPr/>
        <w:t xml:space="preserve"> 打开独立的整手分布力窗口； </w:t>
      </w:r>
    </w:p>
    <w:p>
      <w:pPr>
        <w:pStyle w:val="Style15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spacing w:before="0" w:after="0"/>
        <w:ind w:left="709" w:hanging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7910" cy="4058920"/>
            <wp:effectExtent l="0" t="0" r="0" b="0"/>
            <wp:wrapSquare wrapText="largest"/>
            <wp:docPr id="6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left"/>
        <w:rPr/>
      </w:pPr>
      <w:r>
        <w:rPr/>
        <w:t>暂停数据同步只影响当前界面的实时更新，不等于断开设备；暂停曲线更新也不会停止设备采样或数据采集。</w:t>
      </w:r>
    </w:p>
    <w:p>
      <w:pPr>
        <w:pStyle w:val="3"/>
        <w:bidi w:val="0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 xml:space="preserve">6. </w:t>
      </w:r>
      <w:r>
        <w:rPr/>
        <w:t>相机预览与录像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在设备详情实时页点击 </w:t>
      </w:r>
      <w:r>
        <w:rPr>
          <w:rStyle w:val="Style12"/>
        </w:rPr>
        <w:t>查看相机</w:t>
      </w:r>
      <w:r>
        <w:rPr/>
        <w:t>。</w:t>
      </w:r>
    </w:p>
    <w:p>
      <w:pPr>
        <w:pStyle w:val="Style15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点击刷新按钮枚举相机</w:t>
      </w:r>
    </w:p>
    <w:p>
      <w:pPr>
        <w:pStyle w:val="Style15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默认</w:t>
      </w:r>
      <w:r>
        <w:rPr/>
        <w:t xml:space="preserve">支持 </w:t>
      </w:r>
      <w:r>
        <w:rPr/>
        <w:t xml:space="preserve">MJPEG </w:t>
      </w:r>
      <w:r>
        <w:rPr/>
        <w:t>源</w:t>
      </w:r>
    </w:p>
    <w:p>
      <w:pPr>
        <w:pStyle w:val="Style15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根据电脑性能</w:t>
      </w:r>
      <w:r>
        <w:rPr/>
        <w:t>设置预览帧率</w:t>
      </w:r>
    </w:p>
    <w:p>
      <w:pPr>
        <w:pStyle w:val="Style15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选择的视频流应用于数据采集</w:t>
      </w:r>
    </w:p>
    <w:p>
      <w:pPr>
        <w:pStyle w:val="2"/>
        <w:bidi w:val="0"/>
        <w:ind w:left="400" w:right="400" w:hanging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7910" cy="3802380"/>
            <wp:effectExtent l="0" t="0" r="0" b="0"/>
            <wp:wrapSquare wrapText="largest"/>
            <wp:docPr id="7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7. </w:t>
      </w:r>
      <w:r>
        <w:rPr/>
        <w:t>数据采集</w:t>
      </w:r>
    </w:p>
    <w:p>
      <w:pPr>
        <w:pStyle w:val="3"/>
        <w:bidi w:val="0"/>
        <w:jc w:val="left"/>
        <w:rPr/>
      </w:pPr>
      <w:r>
        <w:rPr/>
        <w:t xml:space="preserve">7.1 </w:t>
      </w:r>
      <w:r>
        <w:rPr/>
        <w:t>选择设备</w:t>
      </w:r>
    </w:p>
    <w:p>
      <w:pPr>
        <w:pStyle w:val="Style15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打开左侧 </w:t>
      </w:r>
      <w:r>
        <w:rPr>
          <w:rStyle w:val="Style12"/>
        </w:rPr>
        <w:t>数据采集</w:t>
      </w:r>
      <w:r>
        <w:rPr/>
        <w:t xml:space="preserve">。 </w:t>
      </w:r>
    </w:p>
    <w:p>
      <w:pPr>
        <w:pStyle w:val="Style15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勾选一个或多个已连接设备。</w:t>
      </w:r>
    </w:p>
    <w:p>
      <w:pPr>
        <w:pStyle w:val="Style15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为每台设备选择采集频率： </w:t>
      </w:r>
    </w:p>
    <w:p>
      <w:pPr>
        <w:pStyle w:val="Style15"/>
        <w:numPr>
          <w:ilvl w:val="0"/>
          <w:numId w:val="0"/>
        </w:numPr>
        <w:tabs>
          <w:tab w:val="clear" w:pos="1134"/>
          <w:tab w:val="left" w:pos="709" w:leader="none"/>
        </w:tabs>
        <w:bidi w:val="0"/>
        <w:ind w:left="426" w:hanging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5280" cy="3763645"/>
            <wp:effectExtent l="0" t="0" r="0" b="0"/>
            <wp:wrapTopAndBottom/>
            <wp:docPr id="8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5"/>
        <w:bidi w:val="0"/>
        <w:jc w:val="left"/>
        <w:rPr/>
      </w:pPr>
      <w:r>
        <w:rPr/>
        <w:t>频率是目标采集频率，实际落盘速率受设备通信、主机负载和磁盘性能影响，停止后应以质量评分中的实际帧率与时间间隔为准。</w:t>
      </w:r>
    </w:p>
    <w:p>
      <w:pPr>
        <w:pStyle w:val="3"/>
        <w:bidi w:val="0"/>
        <w:jc w:val="left"/>
        <w:rPr/>
      </w:pPr>
      <w:r>
        <w:rPr/>
        <w:t xml:space="preserve">7.2 </w:t>
      </w:r>
      <w:r>
        <w:rPr/>
        <w:t>开始与停止</w:t>
      </w:r>
    </w:p>
    <w:p>
      <w:pPr>
        <w:pStyle w:val="Style15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确认所有选中设备均已连接。 </w:t>
      </w:r>
    </w:p>
    <w:p>
      <w:pPr>
        <w:pStyle w:val="Style15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开始采集</w:t>
      </w:r>
      <w:r>
        <w:rPr/>
        <w:t xml:space="preserve">。 </w:t>
      </w:r>
    </w:p>
    <w:p>
      <w:pPr>
        <w:pStyle w:val="Style15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采集期间观察每台设备的持续时间、配置频率和落盘状态。</w:t>
      </w:r>
    </w:p>
    <w:p>
      <w:pPr>
        <w:pStyle w:val="Style15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停止采集</w:t>
      </w:r>
      <w:r>
        <w:rPr/>
        <w:t xml:space="preserve">。 </w:t>
      </w:r>
    </w:p>
    <w:p>
      <w:pPr>
        <w:pStyle w:val="Style15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等待状态从“正在停止”进入评分或完成状态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；</w:t>
      </w:r>
      <w:r>
        <w:rPr/>
        <w:t xml:space="preserve">不要在评分完成前强制退出应用。 </w:t>
      </w:r>
    </w:p>
    <w:p>
      <w:pPr>
        <w:pStyle w:val="Style15"/>
        <w:bidi w:val="0"/>
        <w:jc w:val="left"/>
        <w:rPr/>
      </w:pPr>
      <w:r>
        <w:rPr/>
        <w:t>一次采集可以只包含一台设备，也可以包含多台手套和</w:t>
      </w:r>
      <w:r>
        <w:rPr/>
        <w:t>/</w:t>
      </w:r>
      <w:r>
        <w:rPr/>
        <w:t>或执行器。上位机按设备隔离数据文件，并记录开始</w:t>
      </w:r>
      <w:r>
        <w:rPr/>
        <w:t>/</w:t>
      </w:r>
      <w:r>
        <w:rPr/>
        <w:t>停止时间和多设备同步诊断信息。</w:t>
      </w:r>
    </w:p>
    <w:p>
      <w:pPr>
        <w:pStyle w:val="3"/>
        <w:bidi w:val="0"/>
        <w:jc w:val="left"/>
        <w:rPr/>
      </w:pPr>
      <w:r>
        <w:rPr/>
        <w:t xml:space="preserve">7.4 </w:t>
      </w:r>
      <w:r>
        <w:rPr/>
        <w:t>采集记录、筛选和删除</w:t>
      </w:r>
    </w:p>
    <w:p>
      <w:pPr>
        <w:pStyle w:val="Style15"/>
        <w:bidi w:val="0"/>
        <w:spacing w:before="0" w:after="140"/>
        <w:jc w:val="left"/>
        <w:rPr/>
      </w:pPr>
      <w:r>
        <w:rPr/>
        <w:t>采集记录区支持：</w:t>
      </w:r>
    </w:p>
    <w:p>
      <w:pPr>
        <w:pStyle w:val="Style15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按设备类型、评分等条件筛选记录； </w:t>
      </w:r>
    </w:p>
    <w:p>
      <w:pPr>
        <w:pStyle w:val="Style15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打开记录所在目录； </w:t>
      </w:r>
    </w:p>
    <w:p>
      <w:pPr>
        <w:pStyle w:val="Style15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查看单次采集的评分详情； </w:t>
      </w:r>
    </w:p>
    <w:p>
      <w:pPr>
        <w:pStyle w:val="Style15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打开已生成回放索引的记录； </w:t>
      </w:r>
    </w:p>
    <w:p>
      <w:pPr>
        <w:pStyle w:val="Style15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单条、批量或全部删除记录。 </w:t>
      </w:r>
    </w:p>
    <w:p>
      <w:pPr>
        <w:pStyle w:val="Style15"/>
        <w:bidi w:val="0"/>
        <w:jc w:val="left"/>
        <w:rPr/>
      </w:pPr>
      <w:r>
        <w:rPr/>
        <w:t>删除记录会永久删除会话和数据文件，无法恢复；删除前应确认数据已归档。</w:t>
      </w:r>
    </w:p>
    <w:p>
      <w:pPr>
        <w:pStyle w:val="Style15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8420" cy="3738245"/>
            <wp:effectExtent l="0" t="0" r="0" b="0"/>
            <wp:wrapSquare wrapText="largest"/>
            <wp:docPr id="9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bidi w:val="0"/>
        <w:jc w:val="left"/>
        <w:rPr/>
      </w:pPr>
      <w:r>
        <w:rPr/>
        <w:t xml:space="preserve">7.5 </w:t>
      </w:r>
      <w:r>
        <w:rPr/>
        <w:t>数据质量评分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停止采集后，上位机会对数据时间戳、稳定性、同步配对和数据完整度进行评分，并在有录像时增加视频评分。分数为 </w:t>
      </w:r>
      <w:r>
        <w:rPr/>
        <w:t>0</w:t>
      </w:r>
      <w:r>
        <w:rPr/>
        <w:t>～</w:t>
      </w:r>
      <w:r>
        <w:rPr/>
        <w:t>100</w:t>
      </w:r>
      <w:r>
        <w:rPr/>
        <w:t xml:space="preserve">，等级为 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>、</w:t>
      </w:r>
      <w:r>
        <w:rPr/>
        <w:t>D</w:t>
      </w:r>
      <w:r>
        <w:rPr/>
        <w:t>、</w:t>
      </w:r>
      <w:r>
        <w:rPr/>
        <w:t>F</w:t>
      </w:r>
      <w:r>
        <w:rPr/>
        <w:t>；会话总分取各设备和视频结果中的最低分。</w:t>
      </w:r>
    </w:p>
    <w:p>
      <w:pPr>
        <w:pStyle w:val="Style15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手套评分关注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触觉</w:t>
      </w:r>
      <w:r>
        <w:rPr/>
        <w:t>与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关节</w:t>
      </w:r>
      <w:r>
        <w:rPr/>
        <w:t xml:space="preserve">文件、采集稳定性、数据同步。 </w:t>
      </w:r>
    </w:p>
    <w:p>
      <w:pPr>
        <w:pStyle w:val="Style15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采集至少需要约 </w:t>
      </w:r>
      <w:r>
        <w:rPr/>
        <w:t xml:space="preserve">1 </w:t>
      </w:r>
      <w:r>
        <w:rPr/>
        <w:t xml:space="preserve">秒的共同有效数据；中断、时间戳错误或必需流缺失时会标记为不可用。 </w:t>
      </w:r>
    </w:p>
    <w:p>
      <w:pPr>
        <w:pStyle w:val="Style15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保留 </w:t>
      </w:r>
      <w:r>
        <w:rPr>
          <w:rStyle w:val="Style11"/>
        </w:rPr>
        <w:t>raw</w:t>
      </w:r>
      <w:r>
        <w:rPr/>
        <w:t xml:space="preserve"> </w:t>
      </w:r>
      <w:r>
        <w:rPr/>
        <w:t xml:space="preserve">目录中的原始文件。 </w:t>
      </w:r>
    </w:p>
    <w:p>
      <w:pPr>
        <w:pStyle w:val="Style15"/>
        <w:bidi w:val="0"/>
        <w:jc w:val="left"/>
        <w:rPr/>
      </w:pPr>
      <w:r>
        <w:rPr/>
        <w:t>点击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采集记录</w:t>
      </w:r>
      <w:r>
        <w:rPr>
          <w:rFonts w:eastAsia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-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操作</w:t>
      </w:r>
      <w:r>
        <w:rPr/>
        <w:t>的评分按钮查看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评分</w:t>
      </w:r>
      <w:r>
        <w:rPr/>
        <w:t>；点击页面中的问号按钮可查看当前评分规则。</w:t>
      </w:r>
    </w:p>
    <w:p>
      <w:pPr>
        <w:pStyle w:val="Style15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6545" cy="5415915"/>
            <wp:effectExtent l="0" t="0" r="0" b="0"/>
            <wp:wrapTopAndBottom/>
            <wp:docPr id="10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bidi w:val="0"/>
        <w:jc w:val="left"/>
        <w:rPr/>
      </w:pPr>
      <w:r>
        <w:rPr/>
        <w:t xml:space="preserve">8. </w:t>
      </w:r>
      <w:r>
        <w:rPr/>
        <w:t>数据回放</w:t>
      </w:r>
    </w:p>
    <w:p>
      <w:pPr>
        <w:pStyle w:val="Style15"/>
        <w:bidi w:val="0"/>
        <w:spacing w:before="0" w:after="140"/>
        <w:jc w:val="left"/>
        <w:rPr/>
      </w:pPr>
      <w:r>
        <w:rPr/>
        <w:t>在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采集记录</w:t>
      </w:r>
      <w:r>
        <w:rPr>
          <w:rFonts w:eastAsia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-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操作</w:t>
      </w:r>
      <w:r>
        <w:rPr/>
        <w:t xml:space="preserve">中点击 </w:t>
      </w:r>
      <w:r>
        <w:rPr>
          <w:rStyle w:val="Style12"/>
        </w:rPr>
        <w:t>回放</w:t>
      </w:r>
      <w:r>
        <w:rPr/>
        <w:t xml:space="preserve"> 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按钮</w:t>
      </w:r>
      <w:r>
        <w:rPr/>
        <w:t>打开独立回放窗口。只有回放索引已经就绪的记录可以打开。</w:t>
      </w:r>
    </w:p>
    <w:p>
      <w:pPr>
        <w:pStyle w:val="Style15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选择采集会话和设备。 </w:t>
      </w:r>
    </w:p>
    <w:p>
      <w:pPr>
        <w:pStyle w:val="Style15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使用播放</w:t>
      </w:r>
      <w:r>
        <w:rPr/>
        <w:t>/</w:t>
      </w:r>
      <w:r>
        <w:rPr/>
        <w:t xml:space="preserve">暂停、前一帧、后一帧和时间轴滑块定位。 </w:t>
      </w:r>
    </w:p>
    <w:p>
      <w:pPr>
        <w:pStyle w:val="Style15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查看同一时间轴上的相机视频、</w:t>
      </w:r>
      <w:r>
        <w:rPr/>
        <w:t xml:space="preserve">URDF </w:t>
      </w:r>
      <w:r>
        <w:rPr/>
        <w:t xml:space="preserve">手部模型和整手分布力。 </w:t>
      </w:r>
    </w:p>
    <w:p>
      <w:pPr>
        <w:pStyle w:val="Style15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多设备会话可从设备下拉框切换回放对象。 </w:t>
      </w:r>
    </w:p>
    <w:p>
      <w:pPr>
        <w:pStyle w:val="Style15"/>
        <w:bidi w:val="0"/>
        <w:jc w:val="left"/>
        <w:rPr/>
      </w:pPr>
      <w:r>
        <w:rPr/>
        <w:t>某台设备没有采集视频、关节数据或分布力时，对应面板会显示无数据，其他已有数据仍可回放。</w:t>
      </w:r>
    </w:p>
    <w:p>
      <w:pPr>
        <w:pStyle w:val="Style15"/>
        <w:bidi w:val="0"/>
        <w:jc w:val="left"/>
        <w:rPr>
          <w:rFonts w:ascii="Noto Sans CJK SC;Microsoft YaHei;sans-serif" w:hAnsi="Noto Sans CJK SC;Microsoft YaHei;sans-serif" w:eastAsia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</w:pPr>
      <w:r>
        <w:rPr>
          <w:rFonts w:eastAsia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8420" cy="4168140"/>
            <wp:effectExtent l="0" t="0" r="0" b="0"/>
            <wp:wrapSquare wrapText="largest"/>
            <wp:docPr id="11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bidi w:val="0"/>
        <w:jc w:val="left"/>
        <w:rPr/>
      </w:pPr>
      <w:r>
        <w:rPr/>
        <w:t xml:space="preserve">9. </w:t>
      </w:r>
      <w:r>
        <w:rPr/>
        <w:t>标定与维护</w:t>
      </w:r>
    </w:p>
    <w:p>
      <w:pPr>
        <w:pStyle w:val="Style15"/>
        <w:bidi w:val="0"/>
        <w:spacing w:before="0" w:after="140"/>
        <w:jc w:val="left"/>
        <w:rPr/>
      </w:pPr>
      <w:r>
        <w:rPr/>
        <w:t>标定和检测会独占设备通信，并暂停实时数据或采集。执行前先停止数据采集、执行器循环运动，不要并发操作同一设备。</w:t>
      </w:r>
    </w:p>
    <w:p>
      <w:pPr>
        <w:pStyle w:val="3"/>
        <w:bidi w:val="0"/>
        <w:jc w:val="left"/>
        <w:rPr/>
      </w:pPr>
      <w:r>
        <w:rPr/>
        <w:t xml:space="preserve">9.1 PXCap </w:t>
      </w:r>
      <w:r>
        <w:rPr/>
        <w:t>手套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在设备详情打开 </w:t>
      </w:r>
      <w:r>
        <w:rPr>
          <w:rStyle w:val="Style12"/>
        </w:rPr>
        <w:t>标定维护</w:t>
      </w:r>
      <w:r>
        <w:rPr/>
        <w:t>：</w:t>
      </w:r>
    </w:p>
    <w:p>
      <w:pPr>
        <w:pStyle w:val="Style15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2"/>
        </w:rPr>
        <w:t>磁编码器检测</w:t>
      </w:r>
      <w:r>
        <w:rPr/>
        <w:t xml:space="preserve">：保持设备静止，点击 </w:t>
      </w:r>
      <w:r>
        <w:rPr>
          <w:rStyle w:val="Style12"/>
        </w:rPr>
        <w:t>开始检测</w:t>
      </w:r>
      <w:r>
        <w:rPr/>
        <w:t xml:space="preserve">。实时数据会暂停约 </w:t>
      </w:r>
      <w:r>
        <w:rPr/>
        <w:t xml:space="preserve">5 </w:t>
      </w:r>
      <w:r>
        <w:rPr/>
        <w:t>秒，完成后按手指</w:t>
      </w:r>
      <w:r>
        <w:rPr/>
        <w:t>/</w:t>
      </w:r>
      <w:r>
        <w:rPr/>
        <w:t xml:space="preserve">关节显示正常、异常或检测中状态。 </w:t>
      </w:r>
    </w:p>
    <w:p>
      <w:pPr>
        <w:pStyle w:val="Style15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2"/>
        </w:rPr>
        <w:t>触觉传感器重新标定</w:t>
      </w:r>
      <w:r>
        <w:rPr/>
        <w:t xml:space="preserve">：确保全部触觉区域不受力，点击 </w:t>
      </w:r>
      <w:r>
        <w:rPr>
          <w:rStyle w:val="Style12"/>
        </w:rPr>
        <w:t>重新标定</w:t>
      </w:r>
      <w:r>
        <w:rPr/>
        <w:t xml:space="preserve">，等待约 </w:t>
      </w:r>
      <w:r>
        <w:rPr/>
        <w:t xml:space="preserve">7 </w:t>
      </w:r>
      <w:r>
        <w:rPr/>
        <w:t xml:space="preserve">秒。 </w:t>
      </w:r>
    </w:p>
    <w:p>
      <w:pPr>
        <w:pStyle w:val="Style15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2"/>
        </w:rPr>
        <w:t>磁编码器全部标零</w:t>
      </w:r>
      <w:r>
        <w:rPr/>
        <w:t xml:space="preserve">：将手套保持在规定零位姿态，先完成状态检测，再点击 </w:t>
      </w:r>
      <w:r>
        <w:rPr>
          <w:rStyle w:val="Style12"/>
        </w:rPr>
        <w:t>全部标零</w:t>
      </w:r>
      <w:r>
        <w:rPr/>
        <w:t xml:space="preserve">。 </w:t>
      </w:r>
    </w:p>
    <w:p>
      <w:pPr>
        <w:pStyle w:val="Style15"/>
        <w:bidi w:val="0"/>
        <w:jc w:val="left"/>
        <w:rPr/>
      </w:pPr>
      <w:r>
        <w:rPr/>
        <w:t>标零会把当前姿态定义为零位，错误姿态会造成后续模型和关节数据整体偏移。操作完成后回到实时页确认各通道状态和姿态合理。</w:t>
      </w:r>
    </w:p>
    <w:p>
      <w:pPr>
        <w:pStyle w:val="Style15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8420" cy="3590290"/>
            <wp:effectExtent l="0" t="0" r="0" b="0"/>
            <wp:wrapSquare wrapText="largest"/>
            <wp:docPr id="12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bidi w:val="0"/>
        <w:jc w:val="left"/>
        <w:rPr/>
      </w:pPr>
      <w:r>
        <w:rPr/>
        <w:t xml:space="preserve">10. PXDex III </w:t>
      </w:r>
      <w:r>
        <w:rPr/>
        <w:t>动作控制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进入 </w:t>
      </w:r>
      <w:r>
        <w:rPr/>
        <w:t xml:space="preserve">PXDex III </w:t>
      </w:r>
      <w:r>
        <w:rPr/>
        <w:t xml:space="preserve">详情的 </w:t>
      </w:r>
      <w:r>
        <w:rPr>
          <w:rStyle w:val="Style12"/>
        </w:rPr>
        <w:t>动作控制</w:t>
      </w:r>
      <w:r>
        <w:rPr/>
        <w:t>。开始前确认设备已连接、无故障且活动范围安全。</w:t>
      </w:r>
    </w:p>
    <w:p>
      <w:pPr>
        <w:pStyle w:val="3"/>
        <w:bidi w:val="0"/>
        <w:jc w:val="left"/>
        <w:rPr/>
      </w:pPr>
      <w:r>
        <w:rPr/>
        <w:t xml:space="preserve">10.1 </w:t>
      </w:r>
      <w:r>
        <w:rPr/>
        <w:t>电机使能与目标位置</w:t>
      </w:r>
    </w:p>
    <w:p>
      <w:pPr>
        <w:pStyle w:val="Style15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启用</w:t>
      </w:r>
      <w:r>
        <w:rPr/>
        <w:t xml:space="preserve"> 使能电机；确认状态显示“已启用”。 </w:t>
      </w:r>
    </w:p>
    <w:p>
      <w:pPr>
        <w:pStyle w:val="Style15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使用四路目标位置滑块控制食指近端、食指远端、中指近端和中指远端。释放滑块时目标才正式下发；数值也可双击编辑。 </w:t>
      </w:r>
    </w:p>
    <w:p>
      <w:pPr>
        <w:pStyle w:val="Style15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在上电前，应该将执行器移动至竖直位置，上电后不能掰动执行器。</w:t>
      </w:r>
    </w:p>
    <w:p>
      <w:pPr>
        <w:pStyle w:val="Style15"/>
        <w:bidi w:val="0"/>
        <w:jc w:val="left"/>
        <w:rPr/>
      </w:pPr>
      <w:r>
        <w:rPr/>
        <w:t>不要把界面限位当作机械安全认证。设备方向、零位、负载或固件变化后，应重新验证每一路运动方向和可达范围。</w:t>
      </w:r>
    </w:p>
    <w:p>
      <w:pPr>
        <w:pStyle w:val="3"/>
        <w:bidi w:val="0"/>
        <w:jc w:val="left"/>
        <w:rPr/>
      </w:pPr>
      <w:r>
        <w:rPr/>
        <w:t xml:space="preserve">10.2 </w:t>
      </w:r>
      <w:r>
        <w:rPr/>
        <w:t>保存动作与循环运动</w:t>
      </w:r>
    </w:p>
    <w:p>
      <w:pPr>
        <w:pStyle w:val="Style15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将四路电机调整到需要的姿态。 </w:t>
      </w:r>
    </w:p>
    <w:p>
      <w:pPr>
        <w:pStyle w:val="Style15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保存当前动作</w:t>
      </w:r>
      <w:r>
        <w:rPr/>
        <w:t xml:space="preserve">，输入不超过 </w:t>
      </w:r>
      <w:r>
        <w:rPr/>
        <w:t xml:space="preserve">10 </w:t>
      </w:r>
      <w:r>
        <w:rPr/>
        <w:t xml:space="preserve">个字符的动作名称。 </w:t>
      </w:r>
    </w:p>
    <w:p>
      <w:pPr>
        <w:pStyle w:val="Style15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为每个动作设置四路目标位置、各电机执行延迟和动作停顿时间。 </w:t>
      </w:r>
    </w:p>
    <w:p>
      <w:pPr>
        <w:pStyle w:val="Style15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点击单个动作的 </w:t>
      </w:r>
      <w:r>
        <w:rPr>
          <w:rStyle w:val="Style12"/>
        </w:rPr>
        <w:t>应用</w:t>
      </w:r>
      <w:r>
        <w:rPr/>
        <w:t xml:space="preserve"> 做受控验证。 </w:t>
      </w:r>
    </w:p>
    <w:p>
      <w:pPr>
        <w:pStyle w:val="Style15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确认动作序列无碰撞后点击 </w:t>
      </w:r>
      <w:r>
        <w:rPr>
          <w:rStyle w:val="Style12"/>
        </w:rPr>
        <w:t>开始循环</w:t>
      </w:r>
      <w:r>
        <w:rPr/>
        <w:t xml:space="preserve">。 </w:t>
      </w:r>
    </w:p>
    <w:p>
      <w:pPr>
        <w:pStyle w:val="Style15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观察运行次数、运行时长、电流和温度；需要结束时点击 </w:t>
      </w:r>
      <w:r>
        <w:rPr>
          <w:rStyle w:val="Style12"/>
        </w:rPr>
        <w:t>停止循环</w:t>
      </w:r>
      <w:r>
        <w:rPr/>
        <w:t xml:space="preserve">。 </w:t>
      </w:r>
    </w:p>
    <w:p>
      <w:pPr>
        <w:pStyle w:val="Style15"/>
        <w:bidi w:val="0"/>
        <w:jc w:val="left"/>
        <w:rPr/>
      </w:pPr>
      <w:r>
        <w:rPr/>
        <w:t>循环运行中不能编辑动作、标定或执行其他冲突操作。出现通信、温度、电流、编码器或电机异常时立即停止循环并失能。</w:t>
      </w:r>
    </w:p>
    <w:p>
      <w:pPr>
        <w:pStyle w:val="2"/>
        <w:bidi w:val="0"/>
        <w:jc w:val="left"/>
        <w:rPr/>
      </w:pPr>
      <w:r>
        <w:rPr/>
        <w:t xml:space="preserve">11. </w:t>
      </w:r>
      <w:r>
        <w:rPr/>
        <w:t>固件升级</w:t>
      </w:r>
    </w:p>
    <w:p>
      <w:pPr>
        <w:pStyle w:val="Style15"/>
        <w:bidi w:val="0"/>
        <w:spacing w:before="0" w:after="140"/>
        <w:jc w:val="left"/>
        <w:rPr/>
      </w:pP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当前</w:t>
      </w:r>
      <w:r>
        <w:rPr/>
        <w:t xml:space="preserve">PXCap III </w:t>
      </w:r>
      <w:r>
        <w:rPr/>
        <w:t xml:space="preserve">和 </w:t>
      </w:r>
      <w:r>
        <w:rPr/>
        <w:t xml:space="preserve">PXCap Pro </w:t>
      </w:r>
      <w:r>
        <w:rPr/>
        <w:t>支持固件升级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，支持</w:t>
      </w:r>
      <w:r>
        <w:rPr/>
        <w:t xml:space="preserve">在线升级或 </w:t>
      </w:r>
      <w:r>
        <w:rPr/>
        <w:t xml:space="preserve">ZIP </w:t>
      </w:r>
      <w:r>
        <w:rPr/>
        <w:t>离线升级</w:t>
      </w:r>
      <w:r>
        <w:rPr>
          <w:rFonts w:ascii="Noto Sans CJK SC;Microsoft YaHei;sans-serif" w:hAnsi="Noto Sans CJK SC;Microsoft YaHei;sans-serif" w:cs="Noto Sans CJK SC;Microsoft YaHei;sans-serif"/>
          <w:color w:val="1F2937"/>
          <w:kern w:val="0"/>
          <w:sz w:val="21"/>
          <w:szCs w:val="21"/>
          <w:lang w:val="en-US" w:eastAsia="zh-CN" w:bidi="hi-IN"/>
        </w:rPr>
        <w:t>两种方式</w:t>
      </w:r>
      <w:r>
        <w:rPr/>
        <w:t>；</w:t>
      </w:r>
    </w:p>
    <w:p>
      <w:pPr>
        <w:pStyle w:val="3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-64135</wp:posOffset>
            </wp:positionV>
            <wp:extent cx="6408420" cy="3864610"/>
            <wp:effectExtent l="0" t="0" r="0" b="0"/>
            <wp:wrapTopAndBottom/>
            <wp:docPr id="13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11.1 </w:t>
      </w:r>
      <w:r>
        <w:rPr/>
        <w:t>升级前检查</w:t>
      </w:r>
    </w:p>
    <w:p>
      <w:pPr>
        <w:pStyle w:val="Style15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停止采集、实时维护和其他占用设备的程序。 </w:t>
      </w:r>
    </w:p>
    <w:p>
      <w:pPr>
        <w:pStyle w:val="Style15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保持设备连接、供电稳定。 </w:t>
      </w:r>
    </w:p>
    <w:p>
      <w:pPr>
        <w:pStyle w:val="Style15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 </w:t>
      </w:r>
      <w:r>
        <w:rPr/>
        <w:t xml:space="preserve">在线升级需确认网络可访问升级服务； 离线升级工具升级需准备完整的 </w:t>
      </w:r>
      <w:r>
        <w:rPr>
          <w:rStyle w:val="Style11"/>
        </w:rPr>
        <w:t>.zip</w:t>
      </w:r>
      <w:r>
        <w:rPr/>
        <w:t xml:space="preserve"> </w:t>
      </w:r>
      <w:r>
        <w:rPr/>
        <w:t xml:space="preserve">包，不要直接选择单个固件文件。 </w:t>
      </w:r>
    </w:p>
    <w:p>
      <w:pPr>
        <w:pStyle w:val="Style15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确认固件包对应正确产品和设备。 </w:t>
      </w:r>
    </w:p>
    <w:p>
      <w:pPr>
        <w:pStyle w:val="3"/>
        <w:bidi w:val="0"/>
        <w:jc w:val="left"/>
        <w:rPr/>
      </w:pPr>
      <w:r>
        <w:rPr/>
        <w:t xml:space="preserve">11.2 </w:t>
      </w:r>
      <w:r>
        <w:rPr/>
        <w:t>升级步骤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进入设备详情的 </w:t>
      </w:r>
      <w:r>
        <w:rPr>
          <w:rStyle w:val="Style12"/>
        </w:rPr>
        <w:t>固件升级</w:t>
      </w:r>
      <w:r>
        <w:rPr/>
        <w:t xml:space="preserve">。 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选择 </w:t>
      </w:r>
      <w:r>
        <w:rPr>
          <w:rStyle w:val="Style12"/>
        </w:rPr>
        <w:t>在线升级</w:t>
      </w:r>
      <w:r>
        <w:rPr/>
        <w:t xml:space="preserve"> 或 </w:t>
      </w:r>
      <w:r>
        <w:rPr>
          <w:rStyle w:val="Style12"/>
        </w:rPr>
        <w:t>离线升级</w:t>
      </w:r>
      <w:r>
        <w:rPr/>
        <w:t xml:space="preserve">。 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在线升级一般将服务地址留空以使用官方默认地址；只在技术支持指导下填写自定义 </w:t>
      </w:r>
      <w:r>
        <w:rPr/>
        <w:t xml:space="preserve">HTTP/HTTPS </w:t>
      </w:r>
      <w:r>
        <w:rPr/>
        <w:t xml:space="preserve">基地址。 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Linux </w:t>
      </w:r>
      <w:r>
        <w:rPr/>
        <w:t xml:space="preserve">离线升级点击 </w:t>
      </w:r>
      <w:r>
        <w:rPr>
          <w:rStyle w:val="Style12"/>
        </w:rPr>
        <w:t>浏览</w:t>
      </w:r>
      <w:r>
        <w:rPr/>
        <w:t xml:space="preserve">，选择包含主控和传感器所需固件的 </w:t>
      </w:r>
      <w:r>
        <w:rPr>
          <w:rStyle w:val="Style11"/>
        </w:rPr>
        <w:t>.zip</w:t>
      </w:r>
      <w:r>
        <w:rPr/>
        <w:t xml:space="preserve"> </w:t>
      </w:r>
      <w:r>
        <w:rPr/>
        <w:t xml:space="preserve">包。 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读取版本</w:t>
      </w:r>
      <w:r>
        <w:rPr/>
        <w:t xml:space="preserve">，核对当前版本与升级包版本。 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点击 </w:t>
      </w:r>
      <w:r>
        <w:rPr>
          <w:rStyle w:val="Style12"/>
        </w:rPr>
        <w:t>启动升级</w:t>
      </w:r>
      <w:r>
        <w:rPr/>
        <w:t xml:space="preserve">，观察主控和触觉传感器的步骤、进度与状态信息。 </w:t>
      </w:r>
    </w:p>
    <w:p>
      <w:pPr>
        <w:pStyle w:val="Style15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只有页面明确显示升级完成，并完成升级后版本读取，才可视为成功。 </w:t>
      </w:r>
    </w:p>
    <w:p>
      <w:pPr>
        <w:pStyle w:val="Style15"/>
        <w:bidi w:val="0"/>
        <w:jc w:val="left"/>
        <w:rPr/>
      </w:pPr>
      <w:r>
        <w:rPr/>
        <w:t>升级期间不要拔线、断电、关闭应用或切换到实时</w:t>
      </w:r>
      <w:r>
        <w:rPr/>
        <w:t>/</w:t>
      </w:r>
      <w:r>
        <w:rPr/>
        <w:t xml:space="preserve">标定操作。点击 </w:t>
      </w:r>
      <w:r>
        <w:rPr>
          <w:rStyle w:val="Style12"/>
        </w:rPr>
        <w:t>取消升级</w:t>
      </w:r>
      <w:r>
        <w:rPr/>
        <w:t xml:space="preserve"> 只表示发出取消请求，应继续等待取消终态和资源释放倒计时结束后再操作设备。</w:t>
      </w:r>
    </w:p>
    <w:p>
      <w:pPr>
        <w:pStyle w:val="2"/>
        <w:bidi w:val="0"/>
        <w:jc w:val="left"/>
        <w:rPr/>
      </w:pPr>
      <w:r>
        <w:rPr/>
        <w:t xml:space="preserve">12. </w:t>
      </w:r>
      <w:r>
        <w:rPr/>
        <w:t>诊断日志</w:t>
      </w:r>
    </w:p>
    <w:p>
      <w:pPr>
        <w:pStyle w:val="Style15"/>
        <w:bidi w:val="0"/>
        <w:spacing w:before="0" w:after="140"/>
        <w:jc w:val="left"/>
        <w:rPr/>
      </w:pPr>
      <w:r>
        <w:rPr/>
        <w:t xml:space="preserve">在任一设备详情顶部点击 </w:t>
      </w:r>
      <w:r>
        <w:rPr>
          <w:rStyle w:val="Style12"/>
        </w:rPr>
        <w:t>诊断日志</w:t>
      </w:r>
      <w:r>
        <w:rPr/>
        <w:t>。日志查看器支持：</w:t>
      </w:r>
    </w:p>
    <w:p>
      <w:pPr>
        <w:pStyle w:val="Style15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按错误、警告、信息、调试级别筛选； </w:t>
      </w:r>
    </w:p>
    <w:p>
      <w:pPr>
        <w:pStyle w:val="Style15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按应用</w:t>
      </w:r>
      <w:r>
        <w:rPr/>
        <w:t>/</w:t>
      </w:r>
      <w:r>
        <w:rPr/>
        <w:t>设备</w:t>
      </w:r>
      <w:r>
        <w:rPr/>
        <w:t>/</w:t>
      </w:r>
      <w:r>
        <w:rPr/>
        <w:t>通信</w:t>
      </w:r>
      <w:r>
        <w:rPr/>
        <w:t>/</w:t>
      </w:r>
      <w:r>
        <w:rPr/>
        <w:t>固件</w:t>
      </w:r>
      <w:r>
        <w:rPr/>
        <w:t>/</w:t>
      </w:r>
      <w:r>
        <w:rPr/>
        <w:t xml:space="preserve">界面模块和事件分类筛选； </w:t>
      </w:r>
    </w:p>
    <w:p>
      <w:pPr>
        <w:pStyle w:val="Style15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按时间范围、设备会话和关键词搜索； </w:t>
      </w:r>
    </w:p>
    <w:p>
      <w:pPr>
        <w:pStyle w:val="Style15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刷新结果、复制事件名、打开原始日志文件； </w:t>
      </w:r>
    </w:p>
    <w:p>
      <w:pPr>
        <w:pStyle w:val="Style15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清除当前设备的活动日志和归档日志。 </w:t>
      </w:r>
    </w:p>
    <w:p>
      <w:pPr>
        <w:pStyle w:val="2"/>
        <w:bidi w:val="0"/>
        <w:jc w:val="left"/>
        <w:rPr/>
      </w:pPr>
      <w:r>
        <w:rPr/>
        <w:t xml:space="preserve">13. </w:t>
      </w:r>
      <w:r>
        <w:rPr/>
        <w:t>常见问题与处理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58"/>
        <w:gridCol w:w="6941"/>
      </w:tblGrid>
      <w:tr>
        <w:trPr>
          <w:tblHeader w:val="true"/>
        </w:trPr>
        <w:tc>
          <w:tcPr>
            <w:tcW w:w="3258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现象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7"/>
              <w:widowControl w:val="false"/>
              <w:suppressLineNumbers/>
              <w:shd w:val="clear" w:fill="DCE6F1"/>
              <w:bidi w:val="0"/>
              <w:spacing w:before="0" w:after="140"/>
              <w:jc w:val="center"/>
              <w:rPr/>
            </w:pPr>
            <w:r>
              <w:rPr/>
              <w:t>处理方法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扫描不到设备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检查供电和数据线；关闭串口占用程序；重插后重新扫描；</w:t>
            </w:r>
            <w:r>
              <w:rPr/>
              <w:t xml:space="preserve">Linux </w:t>
            </w:r>
            <w:r>
              <w:rPr/>
              <w:t xml:space="preserve">检查 </w:t>
            </w:r>
            <w:r>
              <w:rPr>
                <w:rStyle w:val="Style11"/>
              </w:rPr>
              <w:t>/dev/ttyACM*</w:t>
            </w:r>
            <w:r>
              <w:rPr/>
              <w:t>、</w:t>
            </w:r>
            <w:r>
              <w:rPr>
                <w:rStyle w:val="Style11"/>
              </w:rPr>
              <w:t>/dev/ttyUSB*</w:t>
            </w:r>
            <w:r>
              <w:rPr/>
              <w:t xml:space="preserve"> </w:t>
            </w:r>
            <w:r>
              <w:rPr/>
              <w:t>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Linux </w:t>
            </w:r>
            <w:r>
              <w:rPr/>
              <w:t>提示串口无权限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将用户加入 </w:t>
            </w:r>
            <w:r>
              <w:rPr>
                <w:rStyle w:val="Style11"/>
              </w:rPr>
              <w:t>dialout</w:t>
            </w:r>
            <w:r>
              <w:rPr/>
              <w:t xml:space="preserve"> </w:t>
            </w:r>
            <w:r>
              <w:rPr/>
              <w:t>组并重新登录，或按界面授权提示处理。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连接失败或串口忙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确认没有另一上位机、</w:t>
            </w:r>
            <w:r>
              <w:rPr/>
              <w:t xml:space="preserve">SDK </w:t>
            </w:r>
            <w:r>
              <w:rPr/>
              <w:t>示例或串口助手占用；重插后重新选择当前串口。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设备详情自动返回设备页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设备已经断开。回到设备管理重新扫描、选择串口并连接。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实时值不更新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检查“数据同步”是否暂停、设备是否仍连接；曲线不动时检查“曲线更新”开关。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分布力或模型窗口无数据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确认主设备详情仍连接并正在同步；关闭重复窗口后重新打开。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相机无法连接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关闭其他摄像头应用，刷新设备列表，核对视频源和 </w:t>
            </w:r>
            <w:r>
              <w:rPr/>
              <w:t>MJPEG</w:t>
            </w:r>
            <w:r>
              <w:rPr/>
              <w:t>格式；</w:t>
            </w:r>
            <w:r>
              <w:rPr/>
              <w:t xml:space="preserve">Linux </w:t>
            </w:r>
            <w:r>
              <w:rPr/>
              <w:t xml:space="preserve">检查 </w:t>
            </w:r>
            <w:r>
              <w:rPr>
                <w:rStyle w:val="Style11"/>
              </w:rPr>
              <w:t>/dev/video*</w:t>
            </w:r>
            <w:r>
              <w:rPr/>
              <w:t xml:space="preserve"> </w:t>
            </w:r>
            <w:r>
              <w:rPr/>
              <w:t>权限。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采集按钮不可用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至少选择一台已连接设备；停止该设备的标定、升级、循环运动等独占操作；确认已选择的存储目录可写。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采集评分为 </w:t>
            </w:r>
            <w:r>
              <w:rPr/>
              <w:t xml:space="preserve">0 </w:t>
            </w:r>
            <w:r>
              <w:rPr/>
              <w:t>或不可用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 xml:space="preserve">查看评分详情；确认时长至少约 </w:t>
            </w:r>
            <w:r>
              <w:rPr/>
              <w:t xml:space="preserve">1 </w:t>
            </w:r>
            <w:r>
              <w:rPr/>
              <w:t>秒、传感</w:t>
            </w:r>
            <w:r>
              <w:rPr/>
              <w:t>/</w:t>
            </w:r>
            <w:r>
              <w:rPr/>
              <w:t>编码器等必需文件齐全、时间戳有效，降低频率或主机负载后重试。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标定后姿态异常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停止业务，按规定姿态重新标零；</w:t>
            </w:r>
            <w:r>
              <w:rPr/>
              <w:t xml:space="preserve">PXDex III </w:t>
            </w:r>
            <w:r>
              <w:rPr/>
              <w:t>旧固件磁编标定后需完整断电重启。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执行器不响应目标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停止循环，检查连接、使能状态、零位、故障、电机温度、电流和位置限位，再做小范围验证。</w:t>
            </w:r>
          </w:p>
        </w:tc>
      </w:tr>
      <w:tr>
        <w:trPr/>
        <w:tc>
          <w:tcPr>
            <w:tcW w:w="3258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固件升级失败</w:t>
            </w:r>
          </w:p>
        </w:tc>
        <w:tc>
          <w:tcPr>
            <w:tcW w:w="6941" w:type="dxa"/>
            <w:tcBorders/>
            <w:vAlign w:val="center"/>
          </w:tcPr>
          <w:p>
            <w:pPr>
              <w:pStyle w:val="Style21"/>
              <w:widowControl w:val="false"/>
              <w:bidi w:val="0"/>
              <w:spacing w:before="0" w:after="140"/>
              <w:jc w:val="left"/>
              <w:rPr/>
            </w:pPr>
            <w:r>
              <w:rPr/>
              <w:t>保持供电和连接，不要立即反复启动；查看升级状态，核对产品、</w:t>
            </w:r>
            <w:r>
              <w:rPr/>
              <w:t xml:space="preserve">ZIP </w:t>
            </w:r>
            <w:r>
              <w:rPr/>
              <w:t>内容、在线地址与网络。</w:t>
            </w:r>
          </w:p>
        </w:tc>
      </w:tr>
    </w:tbl>
    <w:p>
      <w:pPr>
        <w:pStyle w:val="Style15"/>
        <w:bidi w:val="0"/>
        <w:spacing w:before="0" w:after="140"/>
        <w:jc w:val="left"/>
        <w:rPr/>
      </w:pPr>
      <w:r>
        <w:rPr/>
        <w:t>通信异常的推荐恢复顺序是：停止当前任务，保存错误和日志，确认设备是否仍连接，必要时重新枚举并连接，先做版本和实时数据只读验证，再恢复采集或控制。</w:t>
      </w:r>
    </w:p>
    <w:p>
      <w:pPr>
        <w:pStyle w:val="2"/>
        <w:bidi w:val="0"/>
        <w:jc w:val="left"/>
        <w:rPr/>
      </w:pPr>
      <w:r>
        <w:rPr/>
        <w:t xml:space="preserve">14. </w:t>
      </w:r>
      <w:r>
        <w:rPr/>
        <w:t>安全与数据注意事项</w:t>
      </w:r>
    </w:p>
    <w:p>
      <w:pPr>
        <w:pStyle w:val="Style15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PXDex III </w:t>
      </w:r>
      <w:r>
        <w:rPr/>
        <w:t xml:space="preserve">的连接、使能、回零、位置下发、动作应用、循环运动可能产生机械运动。任何界面操作都不能替代急停、限位、防护和现场风险评估。 </w:t>
      </w:r>
    </w:p>
    <w:p>
      <w:pPr>
        <w:pStyle w:val="Style15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标零、写 </w:t>
      </w:r>
      <w:r>
        <w:rPr/>
        <w:t xml:space="preserve">SN </w:t>
      </w:r>
      <w:r>
        <w:rPr/>
        <w:t xml:space="preserve">和固件升级会修改设备状态或持久化内容，应由了解设备流程的人员操作。 </w:t>
      </w:r>
    </w:p>
    <w:p>
      <w:pPr>
        <w:pStyle w:val="Style15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采集和固件升级期间保持供电、串口和应用稳定；停止或取消后等待界面进入明确终态。 </w:t>
      </w:r>
    </w:p>
    <w:p>
      <w:pPr>
        <w:pStyle w:val="Style15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采集记录删除和诊断日志清除不可恢复，执行前先归档。 </w:t>
      </w:r>
    </w:p>
    <w:p>
      <w:pPr>
        <w:pStyle w:val="Style15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140"/>
        <w:ind w:left="709" w:hanging="283"/>
        <w:jc w:val="left"/>
        <w:rPr/>
      </w:pPr>
      <w:r>
        <w:rPr/>
        <w:t xml:space="preserve">数据采集频率是目标值，不代表每次采集都能达到。正式使用前应查看质量评分，并根据主机、设备数量、相机和磁盘性能做压力验证。 </w:t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850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Microsoft YaHei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Consolas">
    <w:altName w:val="monospace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84" w:before="0" w:after="0"/>
      <w:jc w:val="left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kern w:val="0"/>
      <w:sz w:val="21"/>
      <w:szCs w:val="21"/>
      <w:lang w:val="en-US" w:eastAsia="zh-CN" w:bidi="hi-IN"/>
    </w:rPr>
  </w:style>
  <w:style w:type="paragraph" w:styleId="1">
    <w:name w:val="Heading 1"/>
    <w:basedOn w:val="Style14"/>
    <w:next w:val="Style15"/>
    <w:qFormat/>
    <w:pPr>
      <w:spacing w:before="240" w:after="320"/>
      <w:jc w:val="center"/>
    </w:pPr>
    <w:rPr>
      <w:rFonts w:ascii="Liberation Sans Unicode MS" w:hAnsi="Liberation Sans Unicode MS"/>
      <w:b/>
      <w:bCs/>
      <w:color w:val="17365D"/>
      <w:sz w:val="48"/>
      <w:szCs w:val="48"/>
    </w:rPr>
  </w:style>
  <w:style w:type="paragraph" w:styleId="2">
    <w:name w:val="Heading 2"/>
    <w:basedOn w:val="Style14"/>
    <w:next w:val="Style15"/>
    <w:qFormat/>
    <w:pPr>
      <w:keepNext w:val="true"/>
      <w:pBdr>
        <w:bottom w:val="single" w:sz="2" w:space="4" w:color="9FBAD0"/>
      </w:pBdr>
      <w:spacing w:before="400" w:after="200"/>
      <w:ind w:left="400" w:right="400" w:hanging="0"/>
      <w:outlineLvl w:val="1"/>
    </w:pPr>
    <w:rPr>
      <w:rFonts w:ascii="Liberation Serif" w:hAnsi="Liberation Serif" w:eastAsia="Noto Serif CJK SC" w:cs="Lohit Devanagari"/>
      <w:b/>
      <w:bCs/>
      <w:color w:val="17365D"/>
      <w:sz w:val="32"/>
      <w:szCs w:val="32"/>
    </w:rPr>
  </w:style>
  <w:style w:type="paragraph" w:styleId="3">
    <w:name w:val="Heading 3"/>
    <w:basedOn w:val="Style14"/>
    <w:next w:val="Style15"/>
    <w:qFormat/>
    <w:pPr>
      <w:keepNext w:val="true"/>
      <w:spacing w:before="280" w:after="120"/>
      <w:ind w:left="280" w:right="280" w:hanging="0"/>
      <w:outlineLvl w:val="2"/>
    </w:pPr>
    <w:rPr>
      <w:rFonts w:ascii="Liberation Serif" w:hAnsi="Liberation Serif" w:eastAsia="Noto Serif CJK SC" w:cs="Lohit Devanagari"/>
      <w:b/>
      <w:bCs/>
      <w:color w:val="24527A"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">
    <w:name w:val="Internet 链接"/>
    <w:rPr>
      <w:color w:val="000080"/>
      <w:u w:val="single"/>
    </w:rPr>
  </w:style>
  <w:style w:type="character" w:styleId="Style11">
    <w:name w:val="源文本"/>
    <w:qFormat/>
    <w:rPr>
      <w:rFonts w:ascii="Consolas;monospace" w:hAnsi="Consolas;monospace" w:eastAsia="Consolas;monospace" w:cs="Consolas;monospace"/>
      <w:shd w:fill="F2F2F2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特别强调"/>
    <w:qFormat/>
    <w:rPr>
      <w:b/>
      <w:bCs/>
    </w:rPr>
  </w:style>
  <w:style w:type="character" w:styleId="Style13">
    <w:name w:val="编号符号"/>
    <w:qFormat/>
    <w:rPr/>
  </w:style>
  <w:style w:type="paragraph" w:styleId="Style14">
    <w:name w:val="标题样式"/>
    <w:basedOn w:val="Normal"/>
    <w:next w:val="Style15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5">
    <w:name w:val="Body Text"/>
    <w:basedOn w:val="Normal"/>
    <w:pPr>
      <w:spacing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ohit Devanagari"/>
    </w:rPr>
  </w:style>
  <w:style w:type="paragraph" w:styleId="Style19">
    <w:name w:val="水平线"/>
    <w:basedOn w:val="Normal"/>
    <w:next w:val="Style15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20">
    <w:name w:val="Envelope Return"/>
    <w:basedOn w:val="Normal"/>
    <w:pPr/>
    <w:rPr>
      <w:i/>
    </w:rPr>
  </w:style>
  <w:style w:type="paragraph" w:styleId="Style21">
    <w:name w:val="表格内容"/>
    <w:basedOn w:val="Style15"/>
    <w:qFormat/>
    <w:pPr/>
    <w:rPr/>
  </w:style>
  <w:style w:type="paragraph" w:styleId="Style22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3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4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5">
    <w:name w:val="引用"/>
    <w:basedOn w:val="Normal"/>
    <w:qFormat/>
    <w:pPr>
      <w:pBdr>
        <w:left w:val="single" w:sz="18" w:space="10" w:color="4F81BD"/>
      </w:pBdr>
      <w:shd w:val="clear" w:fill="F3F7FB"/>
      <w:spacing w:before="160" w:after="160"/>
      <w:ind w:left="160" w:right="160" w:hanging="0"/>
    </w:pPr>
    <w:rPr/>
  </w:style>
  <w:style w:type="paragraph" w:styleId="Style26">
    <w:name w:val="预设定格式的文本"/>
    <w:basedOn w:val="Normal"/>
    <w:qFormat/>
    <w:pPr>
      <w:pBdr>
        <w:top w:val="single" w:sz="2" w:space="7" w:color="D8D8D8"/>
        <w:left w:val="single" w:sz="2" w:space="7" w:color="D8D8D8"/>
        <w:bottom w:val="single" w:sz="2" w:space="7" w:color="D8D8D8"/>
        <w:right w:val="single" w:sz="2" w:space="7" w:color="D8D8D8"/>
      </w:pBdr>
      <w:shd w:val="clear" w:fill="F4F4F4"/>
      <w:spacing w:before="0" w:after="0"/>
    </w:pPr>
    <w:rPr>
      <w:rFonts w:ascii="Consolas;monospace" w:hAnsi="Consolas;monospace" w:eastAsia="Consolas;monospace" w:cs="Consolas;monospace"/>
      <w:sz w:val="17"/>
      <w:szCs w:val="17"/>
    </w:rPr>
  </w:style>
  <w:style w:type="paragraph" w:styleId="Style27">
    <w:name w:val="表格标题"/>
    <w:basedOn w:val="Style21"/>
    <w:qFormat/>
    <w:pPr>
      <w:suppressLineNumbers/>
      <w:shd w:val="clear" w:fill="DCE6F1"/>
      <w:jc w:val="center"/>
    </w:pPr>
    <w:rPr>
      <w:b/>
      <w:bCs/>
      <w:color w:val="1736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LibreOffice/7.3.7.2$Linux_X86_64 LibreOffice_project/30$Build-2</Application>
  <AppVersion>15.0000</AppVersion>
  <Pages>17</Pages>
  <Words>4392</Words>
  <Characters>4853</Characters>
  <CharactersWithSpaces>5113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2026-08-14T20:30:22Z</dcterms:modified>
  <cp:revision>8</cp:revision>
  <dc:subject/>
  <dc:title>PXCap Studio 使用说明手册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