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B57"/>
          <w:sz w:val="34"/>
          <w:szCs w:val="34"/>
        </w:rPr>
        <w:t xml:space="preserve">Cadence Dashboards — Manager Training Talk Track</w:t>
      </w:r>
    </w:p>
    <w:p>
      <w:pPr>
        <w:spacing w:after="40"/>
      </w:pPr>
      <w:r>
        <w:rPr>
          <w:color w:val="44505C"/>
          <w:sz w:val="22"/>
          <w:szCs w:val="22"/>
        </w:rPr>
        <w:t xml:space="preserve">Cadence Adherence Dashboard (primary) + Cadence Performance Scorecard (brief) · Project Precision</w:t>
      </w:r>
    </w:p>
    <w:p>
      <w:pPr>
        <w:spacing w:after="260"/>
      </w:pPr>
      <w:r>
        <w:rPr>
          <w:i/>
          <w:iCs/>
          <w:color w:val="8A94A1"/>
          <w:sz w:val="20"/>
          <w:szCs w:val="20"/>
        </w:rPr>
        <w:t xml:space="preserve">Target runtime: ~4:45  ·  Audience: BDR/SDR managers  ·  Recorder: screen share over live dashboard</w:t>
      </w:r>
    </w:p>
    <w:p>
      <w:pPr>
        <w:pBdr>
          <w:left w:val="single" w:color="2F5BD0" w:sz="12" w:space="8"/>
        </w:pBdr>
        <w:spacing w:after="200" w:before="100"/>
      </w:pPr>
      <w:r>
        <w:rPr>
          <w:i/>
          <w:iCs/>
          <w:color w:val="44505C"/>
          <w:sz w:val="20"/>
          <w:szCs w:val="20"/>
        </w:rPr>
        <w:t xml:space="preserve">Format: left column is what to click, point at, or have on screen; right column is the narration to read aloud. Read each segment's SAY column top to bottom while performing the matching SHOW action at the start of that row.</w:t>
      </w:r>
    </w:p>
    <w:p>
      <w:pPr>
        <w:pStyle w:val="Heading1"/>
        <w:spacing w:after="120" w:before="320"/>
      </w:pPr>
      <w:r>
        <w:t xml:space="preserve">1. Intro — Project Precision Context</w:t>
      </w:r>
    </w:p>
    <w:p>
      <w:pPr>
        <w:spacing w:after="100" w:before="0"/>
      </w:pPr>
      <w:r>
        <w:rPr>
          <w:b/>
          <w:bCs/>
          <w:caps/>
          <w:color w:val="8A94A1"/>
          <w:sz w:val="18"/>
          <w:szCs w:val="18"/>
        </w:rPr>
        <w:t xml:space="preserve">0:00 – 0:35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6300"/>
      </w:tblGrid>
      <w:tr>
        <w:trPr>
          <w:tblHeader/>
        </w:trPr>
        <w:tc>
          <w:tcPr>
            <w:tcW w:type="dxa" w:w="3060"/>
            <w:tcBorders>
              <w:top w:val="single" w:color="D9DCE1" w:sz="2"/>
              <w:left w:val="single" w:color="D9DCE1" w:sz="2"/>
              <w:bottom w:val="single" w:color="D9DCE1" w:sz="2"/>
              <w:right w:val="single" w:color="D9DCE1" w:sz="2"/>
            </w:tcBorders>
            <w:shd w:fill="1F3B57" w:val="clear"/>
            <w:tcMar>
              <w:top w:type="dxa" w:w="90"/>
              <w:left w:type="dxa" w:w="120"/>
              <w:bottom w:type="dxa" w:w="90"/>
              <w:right w:type="dxa" w:w="120"/>
            </w:tcMar>
            <w:vAlign w:val="center"/>
          </w:tcPr>
          <w:p>
            <w:r>
              <w:rPr>
                <w:b/>
                <w:bCs/>
                <w:color w:val="FFFFFF"/>
                <w:sz w:val="20"/>
                <w:szCs w:val="20"/>
              </w:rPr>
              <w:t xml:space="preserve">ON SCREEN</w:t>
            </w:r>
          </w:p>
        </w:tc>
        <w:tc>
          <w:tcPr>
            <w:tcW w:type="dxa" w:w="6300"/>
            <w:tcBorders>
              <w:top w:val="single" w:color="D9DCE1" w:sz="2"/>
              <w:left w:val="single" w:color="D9DCE1" w:sz="2"/>
              <w:bottom w:val="single" w:color="D9DCE1" w:sz="2"/>
              <w:right w:val="single" w:color="D9DCE1" w:sz="2"/>
            </w:tcBorders>
            <w:shd w:fill="1F3B57" w:val="clear"/>
            <w:tcMar>
              <w:top w:type="dxa" w:w="90"/>
              <w:left w:type="dxa" w:w="120"/>
              <w:bottom w:type="dxa" w:w="90"/>
              <w:right w:type="dxa" w:w="120"/>
            </w:tcMar>
            <w:vAlign w:val="center"/>
          </w:tcPr>
          <w:p>
            <w:r>
              <w:rPr>
                <w:b/>
                <w:bCs/>
                <w:color w:val="FFFFFF"/>
                <w:sz w:val="20"/>
                <w:szCs w:val="20"/>
              </w:rPr>
              <w:t xml:space="preserve">SAY</w:t>
            </w:r>
          </w:p>
        </w:tc>
      </w:tr>
      <w:tr>
        <w:tc>
          <w:tcPr>
            <w:tcW w:type="dxa" w:w="3060"/>
            <w:tcBorders>
              <w:top w:val="single" w:color="D9DCE1" w:sz="2"/>
              <w:left w:val="single" w:color="D9DCE1" w:sz="2"/>
              <w:bottom w:val="single" w:color="D9DCE1" w:sz="2"/>
              <w:right w:val="single" w:color="D9DCE1" w:sz="2"/>
            </w:tcBorders>
            <w:shd w:fill="F2F4F7" w:val="clear"/>
            <w:tcMar>
              <w:top w:type="dxa" w:w="100"/>
              <w:left w:type="dxa" w:w="120"/>
              <w:bottom w:type="dxa" w:w="100"/>
              <w:right w:type="dxa" w:w="120"/>
            </w:tcMar>
            <w:vAlign w:val="top"/>
          </w:tcPr>
          <w:p>
            <w:pPr>
              <w:spacing w:after="60"/>
            </w:pPr>
            <w:r>
              <w:rPr>
                <w:i/>
                <w:iCs/>
                <w:color w:val="3A4655"/>
                <w:sz w:val="20"/>
                <w:szCs w:val="20"/>
              </w:rPr>
              <w:t xml:space="preserve">Land on either dashboard.</w:t>
            </w:r>
          </w:p>
          <w:p>
            <w:pPr>
              <w:spacing w:after="0"/>
            </w:pPr>
            <w:r>
              <w:rPr>
                <w:i/>
                <w:iCs/>
                <w:color w:val="3A4655"/>
                <w:sz w:val="20"/>
                <w:szCs w:val="20"/>
              </w:rPr>
              <w:t xml:space="preserve">Point at the two tabs top-left: “Cadence Performance” and “Cadence Adherence.”</w:t>
            </w:r>
          </w:p>
        </w:tc>
        <w:tc>
          <w:tcPr>
            <w:tcW w:type="dxa" w:w="6300"/>
            <w:tcBorders>
              <w:top w:val="single" w:color="D9DCE1" w:sz="2"/>
              <w:left w:val="single" w:color="D9DCE1" w:sz="2"/>
              <w:bottom w:val="single" w:color="D9DCE1" w:sz="2"/>
              <w:right w:val="single" w:color="D9DCE1" w:sz="2"/>
            </w:tcBorders>
            <w:tcMar>
              <w:top w:type="dxa" w:w="100"/>
              <w:left w:type="dxa" w:w="140"/>
              <w:bottom w:type="dxa" w:w="100"/>
              <w:right w:type="dxa" w:w="140"/>
            </w:tcMar>
            <w:vAlign w:val="top"/>
          </w:tcPr>
          <w:p>
            <w:pPr>
              <w:spacing w:after="90"/>
            </w:pPr>
            <w:r>
              <w:rPr>
                <w:sz w:val="22"/>
                <w:szCs w:val="22"/>
              </w:rPr>
              <w:t xml:space="preserve">Hey team — quick walkthrough of the two dashboards you now have access to.</w:t>
            </w:r>
          </w:p>
          <w:p>
            <w:pPr>
              <w:spacing w:after="90"/>
            </w:pPr>
            <w:r>
              <w:rPr>
                <w:sz w:val="22"/>
                <w:szCs w:val="22"/>
              </w:rPr>
              <w:t xml:space="preserve">Both came out of Project Precision. That's the group building and monitoring our Salesloft cadences — testing what's working, fixing what isn't, and rolling out improvements. You'll see two tabs at the top of the site: Cadence Adherence, and Cadence Performance.</w:t>
            </w:r>
          </w:p>
          <w:p>
            <w:pPr>
              <w:spacing w:after="90"/>
            </w:pPr>
            <w:r>
              <w:rPr>
                <w:sz w:val="22"/>
                <w:szCs w:val="22"/>
              </w:rPr>
              <w:t xml:space="preserve">Your job as a manager is mainly the Adherence dashboard — that's how you see how your team is adopting cadences and which ones they're actually using. You've also got access to the Performance dashboard. That's the scorecard Project Precision uses to decide which cadences to keep, improve, or archive.</w:t>
            </w:r>
          </w:p>
          <w:p>
            <w:pPr>
              <w:spacing w:after="0"/>
            </w:pPr>
            <w:r>
              <w:rPr>
                <w:sz w:val="22"/>
                <w:szCs w:val="22"/>
              </w:rPr>
              <w:t xml:space="preserve">We'll spend most of this video on Adherence, then do a quick pass on the Scorecard so you know what you're looking at.</w:t>
            </w:r>
          </w:p>
        </w:tc>
      </w:tr>
    </w:tbl>
    <w:p>
      <w:pPr>
        <w:pStyle w:val="Heading1"/>
        <w:spacing w:after="120" w:before="320"/>
      </w:pPr>
      <w:r>
        <w:t xml:space="preserve">2. Cadence Adherence Dashboard (primary focus)</w:t>
      </w:r>
    </w:p>
    <w:p>
      <w:pPr>
        <w:spacing w:after="100" w:before="0"/>
      </w:pPr>
      <w:r>
        <w:rPr>
          <w:b/>
          <w:bCs/>
          <w:caps/>
          <w:color w:val="8A94A1"/>
          <w:sz w:val="18"/>
          <w:szCs w:val="18"/>
        </w:rPr>
        <w:t xml:space="preserve">0:35 – 0:50 — What it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6300"/>
      </w:tblGrid>
      <w:tr>
        <w:trPr>
          <w:tblHeader/>
        </w:trPr>
        <w:tc>
          <w:tcPr>
            <w:tcW w:type="dxa" w:w="3060"/>
            <w:tcBorders>
              <w:top w:val="single" w:color="D9DCE1" w:sz="2"/>
              <w:left w:val="single" w:color="D9DCE1" w:sz="2"/>
              <w:bottom w:val="single" w:color="D9DCE1" w:sz="2"/>
              <w:right w:val="single" w:color="D9DCE1" w:sz="2"/>
            </w:tcBorders>
            <w:shd w:fill="1F3B57" w:val="clear"/>
            <w:tcMar>
              <w:top w:type="dxa" w:w="90"/>
              <w:left w:type="dxa" w:w="120"/>
              <w:bottom w:type="dxa" w:w="90"/>
              <w:right w:type="dxa" w:w="120"/>
            </w:tcMar>
            <w:vAlign w:val="center"/>
          </w:tcPr>
          <w:p>
            <w:r>
              <w:rPr>
                <w:b/>
                <w:bCs/>
                <w:color w:val="FFFFFF"/>
                <w:sz w:val="20"/>
                <w:szCs w:val="20"/>
              </w:rPr>
              <w:t xml:space="preserve">ON SCREEN</w:t>
            </w:r>
          </w:p>
        </w:tc>
        <w:tc>
          <w:tcPr>
            <w:tcW w:type="dxa" w:w="6300"/>
            <w:tcBorders>
              <w:top w:val="single" w:color="D9DCE1" w:sz="2"/>
              <w:left w:val="single" w:color="D9DCE1" w:sz="2"/>
              <w:bottom w:val="single" w:color="D9DCE1" w:sz="2"/>
              <w:right w:val="single" w:color="D9DCE1" w:sz="2"/>
            </w:tcBorders>
            <w:shd w:fill="1F3B57" w:val="clear"/>
            <w:tcMar>
              <w:top w:type="dxa" w:w="90"/>
              <w:left w:type="dxa" w:w="120"/>
              <w:bottom w:type="dxa" w:w="90"/>
              <w:right w:type="dxa" w:w="120"/>
            </w:tcMar>
            <w:vAlign w:val="center"/>
          </w:tcPr>
          <w:p>
            <w:r>
              <w:rPr>
                <w:b/>
                <w:bCs/>
                <w:color w:val="FFFFFF"/>
                <w:sz w:val="20"/>
                <w:szCs w:val="20"/>
              </w:rPr>
              <w:t xml:space="preserve">SAY</w:t>
            </w:r>
          </w:p>
        </w:tc>
      </w:tr>
      <w:tr>
        <w:tc>
          <w:tcPr>
            <w:tcW w:type="dxa" w:w="3060"/>
            <w:tcBorders>
              <w:top w:val="single" w:color="D9DCE1" w:sz="2"/>
              <w:left w:val="single" w:color="D9DCE1" w:sz="2"/>
              <w:bottom w:val="single" w:color="D9DCE1" w:sz="2"/>
              <w:right w:val="single" w:color="D9DCE1" w:sz="2"/>
            </w:tcBorders>
            <w:shd w:fill="F2F4F7" w:val="clear"/>
            <w:tcMar>
              <w:top w:type="dxa" w:w="100"/>
              <w:left w:type="dxa" w:w="120"/>
              <w:bottom w:type="dxa" w:w="100"/>
              <w:right w:type="dxa" w:w="120"/>
            </w:tcMar>
            <w:vAlign w:val="top"/>
          </w:tcPr>
          <w:p>
            <w:pPr>
              <w:spacing w:after="60"/>
            </w:pPr>
            <w:r>
              <w:rPr>
                <w:i/>
                <w:iCs/>
                <w:color w:val="3A4655"/>
                <w:sz w:val="20"/>
                <w:szCs w:val="20"/>
              </w:rPr>
              <w:t xml:space="preserve">Click the “Cadence Adherence” tab.</w:t>
            </w:r>
          </w:p>
          <w:p>
            <w:pPr>
              <w:spacing w:after="0"/>
            </w:pPr>
            <w:r>
              <w:rPr>
                <w:i/>
                <w:iCs/>
                <w:color w:val="3A4655"/>
                <w:sz w:val="20"/>
                <w:szCs w:val="20"/>
              </w:rPr>
              <w:t xml:space="preserve">Point at the page header and the run timestamp top-right.</w:t>
            </w:r>
          </w:p>
        </w:tc>
        <w:tc>
          <w:tcPr>
            <w:tcW w:type="dxa" w:w="6300"/>
            <w:tcBorders>
              <w:top w:val="single" w:color="D9DCE1" w:sz="2"/>
              <w:left w:val="single" w:color="D9DCE1" w:sz="2"/>
              <w:bottom w:val="single" w:color="D9DCE1" w:sz="2"/>
              <w:right w:val="single" w:color="D9DCE1" w:sz="2"/>
            </w:tcBorders>
            <w:tcMar>
              <w:top w:type="dxa" w:w="100"/>
              <w:left w:type="dxa" w:w="140"/>
              <w:bottom w:type="dxa" w:w="100"/>
              <w:right w:type="dxa" w:w="140"/>
            </w:tcMar>
            <w:vAlign w:val="top"/>
          </w:tcPr>
          <w:p>
            <w:pPr>
              <w:spacing w:after="0"/>
            </w:pPr>
            <w:r>
              <w:rPr>
                <w:sz w:val="22"/>
                <w:szCs w:val="22"/>
              </w:rPr>
              <w:t xml:space="preserve">This dashboard refreshes daily. It's grouped by whoever is actually working the step right now — the cadence assignee — not necessarily the account owner. So if work gets reassigned, this follows the current assignee.</w:t>
            </w:r>
          </w:p>
        </w:tc>
      </w:tr>
    </w:tbl>
    <w:p>
      <w:pPr>
        <w:spacing w:after="100" w:before="0"/>
      </w:pPr>
      <w:r>
        <w:rPr>
          <w:b/>
          <w:bCs/>
          <w:caps/>
          <w:color w:val="8A94A1"/>
          <w:sz w:val="18"/>
          <w:szCs w:val="18"/>
        </w:rPr>
        <w:t xml:space="preserve">0:50 – 1:40 —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6300"/>
      </w:tblGrid>
      <w:tr>
        <w:trPr>
          <w:tblHeader/>
        </w:trPr>
        <w:tc>
          <w:tcPr>
            <w:tcW w:type="dxa" w:w="3060"/>
            <w:tcBorders>
              <w:top w:val="single" w:color="D9DCE1" w:sz="2"/>
              <w:left w:val="single" w:color="D9DCE1" w:sz="2"/>
              <w:bottom w:val="single" w:color="D9DCE1" w:sz="2"/>
              <w:right w:val="single" w:color="D9DCE1" w:sz="2"/>
            </w:tcBorders>
            <w:shd w:fill="1F3B57" w:val="clear"/>
            <w:tcMar>
              <w:top w:type="dxa" w:w="90"/>
              <w:left w:type="dxa" w:w="120"/>
              <w:bottom w:type="dxa" w:w="90"/>
              <w:right w:type="dxa" w:w="120"/>
            </w:tcMar>
            <w:vAlign w:val="center"/>
          </w:tcPr>
          <w:p>
            <w:r>
              <w:rPr>
                <w:b/>
                <w:bCs/>
                <w:color w:val="FFFFFF"/>
                <w:sz w:val="20"/>
                <w:szCs w:val="20"/>
              </w:rPr>
              <w:t xml:space="preserve">ON SCREEN</w:t>
            </w:r>
          </w:p>
        </w:tc>
        <w:tc>
          <w:tcPr>
            <w:tcW w:type="dxa" w:w="6300"/>
            <w:tcBorders>
              <w:top w:val="single" w:color="D9DCE1" w:sz="2"/>
              <w:left w:val="single" w:color="D9DCE1" w:sz="2"/>
              <w:bottom w:val="single" w:color="D9DCE1" w:sz="2"/>
              <w:right w:val="single" w:color="D9DCE1" w:sz="2"/>
            </w:tcBorders>
            <w:shd w:fill="1F3B57" w:val="clear"/>
            <w:tcMar>
              <w:top w:type="dxa" w:w="90"/>
              <w:left w:type="dxa" w:w="120"/>
              <w:bottom w:type="dxa" w:w="90"/>
              <w:right w:type="dxa" w:w="120"/>
            </w:tcMar>
            <w:vAlign w:val="center"/>
          </w:tcPr>
          <w:p>
            <w:r>
              <w:rPr>
                <w:b/>
                <w:bCs/>
                <w:color w:val="FFFFFF"/>
                <w:sz w:val="20"/>
                <w:szCs w:val="20"/>
              </w:rPr>
              <w:t xml:space="preserve">SAY</w:t>
            </w:r>
          </w:p>
        </w:tc>
      </w:tr>
      <w:tr>
        <w:tc>
          <w:tcPr>
            <w:tcW w:type="dxa" w:w="3060"/>
            <w:tcBorders>
              <w:top w:val="single" w:color="D9DCE1" w:sz="2"/>
              <w:left w:val="single" w:color="D9DCE1" w:sz="2"/>
              <w:bottom w:val="single" w:color="D9DCE1" w:sz="2"/>
              <w:right w:val="single" w:color="D9DCE1" w:sz="2"/>
            </w:tcBorders>
            <w:shd w:fill="F2F4F7" w:val="clear"/>
            <w:tcMar>
              <w:top w:type="dxa" w:w="100"/>
              <w:left w:type="dxa" w:w="120"/>
              <w:bottom w:type="dxa" w:w="100"/>
              <w:right w:type="dxa" w:w="120"/>
            </w:tcMar>
            <w:vAlign w:val="top"/>
          </w:tcPr>
          <w:p>
            <w:pPr>
              <w:spacing w:after="0"/>
            </w:pPr>
            <w:r>
              <w:rPr>
                <w:i/>
                <w:iCs/>
                <w:color w:val="3A4655"/>
                <w:sz w:val="20"/>
                <w:szCs w:val="20"/>
              </w:rPr>
              <w:t xml:space="preserve">Point across the control bar left to right: Window, View, Show, Team, Sub-group, Cadence, Search.</w:t>
            </w:r>
          </w:p>
        </w:tc>
        <w:tc>
          <w:tcPr>
            <w:tcW w:type="dxa" w:w="6300"/>
            <w:tcBorders>
              <w:top w:val="single" w:color="D9DCE1" w:sz="2"/>
              <w:left w:val="single" w:color="D9DCE1" w:sz="2"/>
              <w:bottom w:val="single" w:color="D9DCE1" w:sz="2"/>
              <w:right w:val="single" w:color="D9DCE1" w:sz="2"/>
            </w:tcBorders>
            <w:tcMar>
              <w:top w:type="dxa" w:w="100"/>
              <w:left w:type="dxa" w:w="140"/>
              <w:bottom w:type="dxa" w:w="100"/>
              <w:right w:type="dxa" w:w="140"/>
            </w:tcMar>
            <w:vAlign w:val="top"/>
          </w:tcPr>
          <w:p>
            <w:pPr>
              <w:spacing w:after="90"/>
            </w:pPr>
            <w:r>
              <w:rPr>
                <w:sz w:val="22"/>
                <w:szCs w:val="22"/>
              </w:rPr>
              <w:t xml:space="preserve">Up top there are seven controls.</w:t>
            </w:r>
          </w:p>
          <w:p>
            <w:pPr>
              <w:spacing w:after="90"/>
            </w:pPr>
            <w:r>
              <w:rPr>
                <w:sz w:val="22"/>
                <w:szCs w:val="22"/>
              </w:rPr>
              <w:t xml:space="preserve">Window sets the time frame for anything “added” — this week, last week, or last 30 days.</w:t>
            </w:r>
          </w:p>
          <w:p>
            <w:pPr>
              <w:spacing w:after="90"/>
            </w:pPr>
            <w:r>
              <w:rPr>
                <w:sz w:val="22"/>
                <w:szCs w:val="22"/>
              </w:rPr>
              <w:t xml:space="preserve">View flips the whole dashboard between By Team and By User.</w:t>
            </w:r>
          </w:p>
          <w:p>
            <w:pPr>
              <w:spacing w:after="90"/>
            </w:pPr>
            <w:r>
              <w:rPr>
                <w:sz w:val="22"/>
                <w:szCs w:val="22"/>
              </w:rPr>
              <w:t xml:space="preserve">Show has three modes. Standard is the default table and chart. Active by Cadence and Overdue by Cadence switch to a grid — team or rep down the side, cadence across the top — so you can see exactly which cadences your people are working, and which ones are piling up overdue steps.</w:t>
            </w:r>
          </w:p>
          <w:p>
            <w:pPr>
              <w:spacing w:after="0"/>
            </w:pPr>
            <w:r>
              <w:rPr>
                <w:sz w:val="22"/>
                <w:szCs w:val="22"/>
              </w:rPr>
              <w:t xml:space="preserve">Team, Sub-group, and Cadence narrow everything down to just your team, your pods, or one specific cadence. Search filters by rep name once you're in By User.</w:t>
            </w:r>
          </w:p>
        </w:tc>
      </w:tr>
    </w:tbl>
    <w:p>
      <w:pPr>
        <w:spacing w:after="100" w:before="0"/>
      </w:pPr>
      <w:r>
        <w:rPr>
          <w:b/>
          <w:bCs/>
          <w:caps/>
          <w:color w:val="8A94A1"/>
          <w:sz w:val="18"/>
          <w:szCs w:val="18"/>
        </w:rPr>
        <w:t xml:space="preserve">1:40 – 2:05 — KPI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6300"/>
      </w:tblGrid>
      <w:tr>
        <w:trPr>
          <w:tblHeader/>
        </w:trPr>
        <w:tc>
          <w:tcPr>
            <w:tcW w:type="dxa" w:w="3060"/>
            <w:tcBorders>
              <w:top w:val="single" w:color="D9DCE1" w:sz="2"/>
              <w:left w:val="single" w:color="D9DCE1" w:sz="2"/>
              <w:bottom w:val="single" w:color="D9DCE1" w:sz="2"/>
              <w:right w:val="single" w:color="D9DCE1" w:sz="2"/>
            </w:tcBorders>
            <w:shd w:fill="1F3B57" w:val="clear"/>
            <w:tcMar>
              <w:top w:type="dxa" w:w="90"/>
              <w:left w:type="dxa" w:w="120"/>
              <w:bottom w:type="dxa" w:w="90"/>
              <w:right w:type="dxa" w:w="120"/>
            </w:tcMar>
            <w:vAlign w:val="center"/>
          </w:tcPr>
          <w:p>
            <w:r>
              <w:rPr>
                <w:b/>
                <w:bCs/>
                <w:color w:val="FFFFFF"/>
                <w:sz w:val="20"/>
                <w:szCs w:val="20"/>
              </w:rPr>
              <w:t xml:space="preserve">ON SCREEN</w:t>
            </w:r>
          </w:p>
        </w:tc>
        <w:tc>
          <w:tcPr>
            <w:tcW w:type="dxa" w:w="6300"/>
            <w:tcBorders>
              <w:top w:val="single" w:color="D9DCE1" w:sz="2"/>
              <w:left w:val="single" w:color="D9DCE1" w:sz="2"/>
              <w:bottom w:val="single" w:color="D9DCE1" w:sz="2"/>
              <w:right w:val="single" w:color="D9DCE1" w:sz="2"/>
            </w:tcBorders>
            <w:shd w:fill="1F3B57" w:val="clear"/>
            <w:tcMar>
              <w:top w:type="dxa" w:w="90"/>
              <w:left w:type="dxa" w:w="120"/>
              <w:bottom w:type="dxa" w:w="90"/>
              <w:right w:type="dxa" w:w="120"/>
            </w:tcMar>
            <w:vAlign w:val="center"/>
          </w:tcPr>
          <w:p>
            <w:r>
              <w:rPr>
                <w:b/>
                <w:bCs/>
                <w:color w:val="FFFFFF"/>
                <w:sz w:val="20"/>
                <w:szCs w:val="20"/>
              </w:rPr>
              <w:t xml:space="preserve">SAY</w:t>
            </w:r>
          </w:p>
        </w:tc>
      </w:tr>
      <w:tr>
        <w:tc>
          <w:tcPr>
            <w:tcW w:type="dxa" w:w="3060"/>
            <w:tcBorders>
              <w:top w:val="single" w:color="D9DCE1" w:sz="2"/>
              <w:left w:val="single" w:color="D9DCE1" w:sz="2"/>
              <w:bottom w:val="single" w:color="D9DCE1" w:sz="2"/>
              <w:right w:val="single" w:color="D9DCE1" w:sz="2"/>
            </w:tcBorders>
            <w:shd w:fill="F2F4F7" w:val="clear"/>
            <w:tcMar>
              <w:top w:type="dxa" w:w="100"/>
              <w:left w:type="dxa" w:w="120"/>
              <w:bottom w:type="dxa" w:w="100"/>
              <w:right w:type="dxa" w:w="120"/>
            </w:tcMar>
            <w:vAlign w:val="top"/>
          </w:tcPr>
          <w:p>
            <w:pPr>
              <w:spacing w:after="0"/>
            </w:pPr>
            <w:r>
              <w:rPr>
                <w:i/>
                <w:iCs/>
                <w:color w:val="3A4655"/>
                <w:sz w:val="20"/>
                <w:szCs w:val="20"/>
              </w:rPr>
              <w:t xml:space="preserve">Point across the six KPI cards.</w:t>
            </w:r>
          </w:p>
        </w:tc>
        <w:tc>
          <w:tcPr>
            <w:tcW w:type="dxa" w:w="6300"/>
            <w:tcBorders>
              <w:top w:val="single" w:color="D9DCE1" w:sz="2"/>
              <w:left w:val="single" w:color="D9DCE1" w:sz="2"/>
              <w:bottom w:val="single" w:color="D9DCE1" w:sz="2"/>
              <w:right w:val="single" w:color="D9DCE1" w:sz="2"/>
            </w:tcBorders>
            <w:tcMar>
              <w:top w:type="dxa" w:w="100"/>
              <w:left w:type="dxa" w:w="140"/>
              <w:bottom w:type="dxa" w:w="100"/>
              <w:right w:type="dxa" w:w="140"/>
            </w:tcMar>
            <w:vAlign w:val="top"/>
          </w:tcPr>
          <w:p>
            <w:pPr>
              <w:spacing w:after="90"/>
            </w:pPr>
            <w:r>
              <w:rPr>
                <w:sz w:val="22"/>
                <w:szCs w:val="22"/>
              </w:rPr>
              <w:t xml:space="preserve">These cards give you the headline numbers for whatever scope you've selected: Active People, Open Steps, Overdue Steps, percent of steps overdue, average days late, and Added for the window you picked.</w:t>
            </w:r>
          </w:p>
          <w:p>
            <w:pPr>
              <w:spacing w:after="0"/>
            </w:pPr>
            <w:r>
              <w:rPr>
                <w:sz w:val="22"/>
                <w:szCs w:val="22"/>
              </w:rPr>
              <w:t xml:space="preserve">Percent Steps Overdue is the one to watch first — overdue steps divided by everything currently queued. It tells you what share of your team's work is already past due.</w:t>
            </w:r>
          </w:p>
        </w:tc>
      </w:tr>
    </w:tbl>
    <w:p>
      <w:pPr>
        <w:spacing w:after="100" w:before="0"/>
      </w:pPr>
      <w:r>
        <w:rPr>
          <w:b/>
          <w:bCs/>
          <w:caps/>
          <w:color w:val="8A94A1"/>
          <w:sz w:val="18"/>
          <w:szCs w:val="18"/>
        </w:rPr>
        <w:t xml:space="preserve">2:05 – 2:25 —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6300"/>
      </w:tblGrid>
      <w:tr>
        <w:trPr>
          <w:tblHeader/>
        </w:trPr>
        <w:tc>
          <w:tcPr>
            <w:tcW w:type="dxa" w:w="3060"/>
            <w:tcBorders>
              <w:top w:val="single" w:color="D9DCE1" w:sz="2"/>
              <w:left w:val="single" w:color="D9DCE1" w:sz="2"/>
              <w:bottom w:val="single" w:color="D9DCE1" w:sz="2"/>
              <w:right w:val="single" w:color="D9DCE1" w:sz="2"/>
            </w:tcBorders>
            <w:shd w:fill="1F3B57" w:val="clear"/>
            <w:tcMar>
              <w:top w:type="dxa" w:w="90"/>
              <w:left w:type="dxa" w:w="120"/>
              <w:bottom w:type="dxa" w:w="90"/>
              <w:right w:type="dxa" w:w="120"/>
            </w:tcMar>
            <w:vAlign w:val="center"/>
          </w:tcPr>
          <w:p>
            <w:r>
              <w:rPr>
                <w:b/>
                <w:bCs/>
                <w:color w:val="FFFFFF"/>
                <w:sz w:val="20"/>
                <w:szCs w:val="20"/>
              </w:rPr>
              <w:t xml:space="preserve">ON SCREEN</w:t>
            </w:r>
          </w:p>
        </w:tc>
        <w:tc>
          <w:tcPr>
            <w:tcW w:type="dxa" w:w="6300"/>
            <w:tcBorders>
              <w:top w:val="single" w:color="D9DCE1" w:sz="2"/>
              <w:left w:val="single" w:color="D9DCE1" w:sz="2"/>
              <w:bottom w:val="single" w:color="D9DCE1" w:sz="2"/>
              <w:right w:val="single" w:color="D9DCE1" w:sz="2"/>
            </w:tcBorders>
            <w:shd w:fill="1F3B57" w:val="clear"/>
            <w:tcMar>
              <w:top w:type="dxa" w:w="90"/>
              <w:left w:type="dxa" w:w="120"/>
              <w:bottom w:type="dxa" w:w="90"/>
              <w:right w:type="dxa" w:w="120"/>
            </w:tcMar>
            <w:vAlign w:val="center"/>
          </w:tcPr>
          <w:p>
            <w:r>
              <w:rPr>
                <w:b/>
                <w:bCs/>
                <w:color w:val="FFFFFF"/>
                <w:sz w:val="20"/>
                <w:szCs w:val="20"/>
              </w:rPr>
              <w:t xml:space="preserve">SAY</w:t>
            </w:r>
          </w:p>
        </w:tc>
      </w:tr>
      <w:tr>
        <w:tc>
          <w:tcPr>
            <w:tcW w:type="dxa" w:w="3060"/>
            <w:tcBorders>
              <w:top w:val="single" w:color="D9DCE1" w:sz="2"/>
              <w:left w:val="single" w:color="D9DCE1" w:sz="2"/>
              <w:bottom w:val="single" w:color="D9DCE1" w:sz="2"/>
              <w:right w:val="single" w:color="D9DCE1" w:sz="2"/>
            </w:tcBorders>
            <w:shd w:fill="F2F4F7" w:val="clear"/>
            <w:tcMar>
              <w:top w:type="dxa" w:w="100"/>
              <w:left w:type="dxa" w:w="120"/>
              <w:bottom w:type="dxa" w:w="100"/>
              <w:right w:type="dxa" w:w="120"/>
            </w:tcMar>
            <w:vAlign w:val="top"/>
          </w:tcPr>
          <w:p>
            <w:pPr>
              <w:spacing w:after="0"/>
            </w:pPr>
            <w:r>
              <w:rPr>
                <w:i/>
                <w:iCs/>
                <w:color w:val="3A4655"/>
                <w:sz w:val="20"/>
                <w:szCs w:val="20"/>
              </w:rPr>
              <w:t xml:space="preserve">Point at the bar chart and the vertical average line running through it.</w:t>
            </w:r>
          </w:p>
        </w:tc>
        <w:tc>
          <w:tcPr>
            <w:tcW w:type="dxa" w:w="6300"/>
            <w:tcBorders>
              <w:top w:val="single" w:color="D9DCE1" w:sz="2"/>
              <w:left w:val="single" w:color="D9DCE1" w:sz="2"/>
              <w:bottom w:val="single" w:color="D9DCE1" w:sz="2"/>
              <w:right w:val="single" w:color="D9DCE1" w:sz="2"/>
            </w:tcBorders>
            <w:tcMar>
              <w:top w:type="dxa" w:w="100"/>
              <w:left w:type="dxa" w:w="140"/>
              <w:bottom w:type="dxa" w:w="100"/>
              <w:right w:type="dxa" w:w="140"/>
            </w:tcMar>
            <w:vAlign w:val="top"/>
          </w:tcPr>
          <w:p>
            <w:pPr>
              <w:spacing w:after="0"/>
            </w:pPr>
            <w:r>
              <w:rPr>
                <w:sz w:val="22"/>
                <w:szCs w:val="22"/>
              </w:rPr>
              <w:t xml:space="preserve">Below the cards, this chart ranks teams or reps by percent overdue, worst to best, with a line marking the scope average. Anything right of that line is worse than average — that's where you'd start a coaching conversation.</w:t>
            </w:r>
          </w:p>
        </w:tc>
      </w:tr>
    </w:tbl>
    <w:p>
      <w:pPr>
        <w:spacing w:after="100" w:before="0"/>
      </w:pPr>
      <w:r>
        <w:rPr>
          <w:b/>
          <w:bCs/>
          <w:caps/>
          <w:color w:val="8A94A1"/>
          <w:sz w:val="18"/>
          <w:szCs w:val="18"/>
        </w:rPr>
        <w:t xml:space="preserve">2:25 – 3:05 — Detail table +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6300"/>
      </w:tblGrid>
      <w:tr>
        <w:trPr>
          <w:tblHeader/>
        </w:trPr>
        <w:tc>
          <w:tcPr>
            <w:tcW w:type="dxa" w:w="3060"/>
            <w:tcBorders>
              <w:top w:val="single" w:color="D9DCE1" w:sz="2"/>
              <w:left w:val="single" w:color="D9DCE1" w:sz="2"/>
              <w:bottom w:val="single" w:color="D9DCE1" w:sz="2"/>
              <w:right w:val="single" w:color="D9DCE1" w:sz="2"/>
            </w:tcBorders>
            <w:shd w:fill="1F3B57" w:val="clear"/>
            <w:tcMar>
              <w:top w:type="dxa" w:w="90"/>
              <w:left w:type="dxa" w:w="120"/>
              <w:bottom w:type="dxa" w:w="90"/>
              <w:right w:type="dxa" w:w="120"/>
            </w:tcMar>
            <w:vAlign w:val="center"/>
          </w:tcPr>
          <w:p>
            <w:r>
              <w:rPr>
                <w:b/>
                <w:bCs/>
                <w:color w:val="FFFFFF"/>
                <w:sz w:val="20"/>
                <w:szCs w:val="20"/>
              </w:rPr>
              <w:t xml:space="preserve">ON SCREEN</w:t>
            </w:r>
          </w:p>
        </w:tc>
        <w:tc>
          <w:tcPr>
            <w:tcW w:type="dxa" w:w="6300"/>
            <w:tcBorders>
              <w:top w:val="single" w:color="D9DCE1" w:sz="2"/>
              <w:left w:val="single" w:color="D9DCE1" w:sz="2"/>
              <w:bottom w:val="single" w:color="D9DCE1" w:sz="2"/>
              <w:right w:val="single" w:color="D9DCE1" w:sz="2"/>
            </w:tcBorders>
            <w:shd w:fill="1F3B57" w:val="clear"/>
            <w:tcMar>
              <w:top w:type="dxa" w:w="90"/>
              <w:left w:type="dxa" w:w="120"/>
              <w:bottom w:type="dxa" w:w="90"/>
              <w:right w:type="dxa" w:w="120"/>
            </w:tcMar>
            <w:vAlign w:val="center"/>
          </w:tcPr>
          <w:p>
            <w:r>
              <w:rPr>
                <w:b/>
                <w:bCs/>
                <w:color w:val="FFFFFF"/>
                <w:sz w:val="20"/>
                <w:szCs w:val="20"/>
              </w:rPr>
              <w:t xml:space="preserve">SAY</w:t>
            </w:r>
          </w:p>
        </w:tc>
      </w:tr>
      <w:tr>
        <w:tc>
          <w:tcPr>
            <w:tcW w:type="dxa" w:w="3060"/>
            <w:tcBorders>
              <w:top w:val="single" w:color="D9DCE1" w:sz="2"/>
              <w:left w:val="single" w:color="D9DCE1" w:sz="2"/>
              <w:bottom w:val="single" w:color="D9DCE1" w:sz="2"/>
              <w:right w:val="single" w:color="D9DCE1" w:sz="2"/>
            </w:tcBorders>
            <w:shd w:fill="F2F4F7" w:val="clear"/>
            <w:tcMar>
              <w:top w:type="dxa" w:w="100"/>
              <w:left w:type="dxa" w:w="120"/>
              <w:bottom w:type="dxa" w:w="100"/>
              <w:right w:type="dxa" w:w="120"/>
            </w:tcMar>
            <w:vAlign w:val="top"/>
          </w:tcPr>
          <w:p>
            <w:pPr>
              <w:spacing w:after="60"/>
            </w:pPr>
            <w:r>
              <w:rPr>
                <w:i/>
                <w:iCs/>
                <w:color w:val="3A4655"/>
                <w:sz w:val="20"/>
                <w:szCs w:val="20"/>
              </w:rPr>
              <w:t xml:space="preserve">Switch View to “By User.”</w:t>
            </w:r>
          </w:p>
          <w:p>
            <w:pPr>
              <w:spacing w:after="0"/>
            </w:pPr>
            <w:r>
              <w:rPr>
                <w:i/>
                <w:iCs/>
                <w:color w:val="3A4655"/>
                <w:sz w:val="20"/>
                <w:szCs w:val="20"/>
              </w:rPr>
              <w:t xml:space="preserve">Point at the “Overdue % vs Team” column, then the “Flags” column.</w:t>
            </w:r>
          </w:p>
        </w:tc>
        <w:tc>
          <w:tcPr>
            <w:tcW w:type="dxa" w:w="6300"/>
            <w:tcBorders>
              <w:top w:val="single" w:color="D9DCE1" w:sz="2"/>
              <w:left w:val="single" w:color="D9DCE1" w:sz="2"/>
              <w:bottom w:val="single" w:color="D9DCE1" w:sz="2"/>
              <w:right w:val="single" w:color="D9DCE1" w:sz="2"/>
            </w:tcBorders>
            <w:tcMar>
              <w:top w:type="dxa" w:w="100"/>
              <w:left w:type="dxa" w:w="140"/>
              <w:bottom w:type="dxa" w:w="100"/>
              <w:right w:type="dxa" w:w="140"/>
            </w:tcMar>
            <w:vAlign w:val="top"/>
          </w:tcPr>
          <w:p>
            <w:pPr>
              <w:spacing w:after="90"/>
            </w:pPr>
            <w:r>
              <w:rPr>
                <w:sz w:val="22"/>
                <w:szCs w:val="22"/>
              </w:rPr>
              <w:t xml:space="preserve">The table underneath is the same data at a granular level. Switch to By User and you get two extra columns: Overdue percent versus their team's average, and Flags.</w:t>
            </w:r>
          </w:p>
          <w:p>
            <w:pPr>
              <w:spacing w:after="90"/>
            </w:pPr>
            <w:r>
              <w:rPr>
                <w:sz w:val="22"/>
                <w:szCs w:val="22"/>
              </w:rPr>
              <w:t xml:space="preserve">A rep gets flagged “Behind Team” if their overdue rate runs more than eight points above their team, and “Stale” if their average days late is over thirty. That's the fastest way to spot who needs a check-in.</w:t>
            </w:r>
          </w:p>
          <w:p>
            <w:pPr>
              <w:spacing w:after="0"/>
            </w:pPr>
            <w:r>
              <w:rPr>
                <w:sz w:val="22"/>
                <w:szCs w:val="22"/>
              </w:rPr>
              <w:t xml:space="preserve">Two things worth knowing: Completion percent and Premature Removal percent are lifetime numbers, not just this window. And Avg Days Late can look huge if even one person has a step that's been sitting for months — read it next to the overdue count, not on its own.</w:t>
            </w:r>
          </w:p>
        </w:tc>
      </w:tr>
    </w:tbl>
    <w:p>
      <w:pPr>
        <w:spacing w:after="100" w:before="0"/>
      </w:pPr>
      <w:r>
        <w:rPr>
          <w:b/>
          <w:bCs/>
          <w:caps/>
          <w:color w:val="8A94A1"/>
          <w:sz w:val="18"/>
          <w:szCs w:val="18"/>
        </w:rPr>
        <w:t xml:space="preserve">3:05 – 3:30 — Matrix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6300"/>
      </w:tblGrid>
      <w:tr>
        <w:trPr>
          <w:tblHeader/>
        </w:trPr>
        <w:tc>
          <w:tcPr>
            <w:tcW w:type="dxa" w:w="3060"/>
            <w:tcBorders>
              <w:top w:val="single" w:color="D9DCE1" w:sz="2"/>
              <w:left w:val="single" w:color="D9DCE1" w:sz="2"/>
              <w:bottom w:val="single" w:color="D9DCE1" w:sz="2"/>
              <w:right w:val="single" w:color="D9DCE1" w:sz="2"/>
            </w:tcBorders>
            <w:shd w:fill="1F3B57" w:val="clear"/>
            <w:tcMar>
              <w:top w:type="dxa" w:w="90"/>
              <w:left w:type="dxa" w:w="120"/>
              <w:bottom w:type="dxa" w:w="90"/>
              <w:right w:type="dxa" w:w="120"/>
            </w:tcMar>
            <w:vAlign w:val="center"/>
          </w:tcPr>
          <w:p>
            <w:r>
              <w:rPr>
                <w:b/>
                <w:bCs/>
                <w:color w:val="FFFFFF"/>
                <w:sz w:val="20"/>
                <w:szCs w:val="20"/>
              </w:rPr>
              <w:t xml:space="preserve">ON SCREEN</w:t>
            </w:r>
          </w:p>
        </w:tc>
        <w:tc>
          <w:tcPr>
            <w:tcW w:type="dxa" w:w="6300"/>
            <w:tcBorders>
              <w:top w:val="single" w:color="D9DCE1" w:sz="2"/>
              <w:left w:val="single" w:color="D9DCE1" w:sz="2"/>
              <w:bottom w:val="single" w:color="D9DCE1" w:sz="2"/>
              <w:right w:val="single" w:color="D9DCE1" w:sz="2"/>
            </w:tcBorders>
            <w:shd w:fill="1F3B57" w:val="clear"/>
            <w:tcMar>
              <w:top w:type="dxa" w:w="90"/>
              <w:left w:type="dxa" w:w="120"/>
              <w:bottom w:type="dxa" w:w="90"/>
              <w:right w:type="dxa" w:w="120"/>
            </w:tcMar>
            <w:vAlign w:val="center"/>
          </w:tcPr>
          <w:p>
            <w:r>
              <w:rPr>
                <w:b/>
                <w:bCs/>
                <w:color w:val="FFFFFF"/>
                <w:sz w:val="20"/>
                <w:szCs w:val="20"/>
              </w:rPr>
              <w:t xml:space="preserve">SAY</w:t>
            </w:r>
          </w:p>
        </w:tc>
      </w:tr>
      <w:tr>
        <w:tc>
          <w:tcPr>
            <w:tcW w:type="dxa" w:w="3060"/>
            <w:tcBorders>
              <w:top w:val="single" w:color="D9DCE1" w:sz="2"/>
              <w:left w:val="single" w:color="D9DCE1" w:sz="2"/>
              <w:bottom w:val="single" w:color="D9DCE1" w:sz="2"/>
              <w:right w:val="single" w:color="D9DCE1" w:sz="2"/>
            </w:tcBorders>
            <w:shd w:fill="F2F4F7" w:val="clear"/>
            <w:tcMar>
              <w:top w:type="dxa" w:w="100"/>
              <w:left w:type="dxa" w:w="120"/>
              <w:bottom w:type="dxa" w:w="100"/>
              <w:right w:type="dxa" w:w="120"/>
            </w:tcMar>
            <w:vAlign w:val="top"/>
          </w:tcPr>
          <w:p>
            <w:pPr>
              <w:spacing w:after="60"/>
            </w:pPr>
            <w:r>
              <w:rPr>
                <w:i/>
                <w:iCs/>
                <w:color w:val="3A4655"/>
                <w:sz w:val="20"/>
                <w:szCs w:val="20"/>
              </w:rPr>
              <w:t xml:space="preserve">Switch Show to “Active by Cadence,” let the grid render.</w:t>
            </w:r>
          </w:p>
          <w:p>
            <w:pPr>
              <w:spacing w:after="0"/>
            </w:pPr>
            <w:r>
              <w:rPr>
                <w:i/>
                <w:iCs/>
                <w:color w:val="3A4655"/>
                <w:sz w:val="20"/>
                <w:szCs w:val="20"/>
              </w:rPr>
              <w:t xml:space="preserve">Switch Show to “Overdue by Cadence.”</w:t>
            </w:r>
          </w:p>
        </w:tc>
        <w:tc>
          <w:tcPr>
            <w:tcW w:type="dxa" w:w="6300"/>
            <w:tcBorders>
              <w:top w:val="single" w:color="D9DCE1" w:sz="2"/>
              <w:left w:val="single" w:color="D9DCE1" w:sz="2"/>
              <w:bottom w:val="single" w:color="D9DCE1" w:sz="2"/>
              <w:right w:val="single" w:color="D9DCE1" w:sz="2"/>
            </w:tcBorders>
            <w:tcMar>
              <w:top w:type="dxa" w:w="100"/>
              <w:left w:type="dxa" w:w="140"/>
              <w:bottom w:type="dxa" w:w="100"/>
              <w:right w:type="dxa" w:w="140"/>
            </w:tcMar>
            <w:vAlign w:val="top"/>
          </w:tcPr>
          <w:p>
            <w:pPr>
              <w:spacing w:after="90"/>
            </w:pPr>
            <w:r>
              <w:rPr>
                <w:sz w:val="22"/>
                <w:szCs w:val="22"/>
              </w:rPr>
              <w:t xml:space="preserve">Switch Show to Active by Cadence and you get a grid of your team, or your reps, against every cadence they're touching — darker cells mean more active people.</w:t>
            </w:r>
          </w:p>
          <w:p>
            <w:pPr>
              <w:spacing w:after="0"/>
            </w:pPr>
            <w:r>
              <w:rPr>
                <w:sz w:val="22"/>
                <w:szCs w:val="22"/>
              </w:rPr>
              <w:t xml:space="preserve">Overdue by Cadence is the same grid, but for overdue steps, so you can see at a glance which specific cadence is generating the backlog.</w:t>
            </w:r>
          </w:p>
        </w:tc>
      </w:tr>
    </w:tbl>
    <w:p>
      <w:pPr>
        <w:pStyle w:val="Heading1"/>
        <w:spacing w:after="120" w:before="320"/>
      </w:pPr>
      <w:r>
        <w:t xml:space="preserve">3. Cadence Performance Scorecard (brief tour)</w:t>
      </w:r>
    </w:p>
    <w:p>
      <w:pPr>
        <w:spacing w:after="100" w:before="0"/>
      </w:pPr>
      <w:r>
        <w:rPr>
          <w:b/>
          <w:bCs/>
          <w:caps/>
          <w:color w:val="8A94A1"/>
          <w:sz w:val="18"/>
          <w:szCs w:val="18"/>
        </w:rPr>
        <w:t xml:space="preserve">3:30 – 3:45 —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6300"/>
      </w:tblGrid>
      <w:tr>
        <w:trPr>
          <w:tblHeader/>
        </w:trPr>
        <w:tc>
          <w:tcPr>
            <w:tcW w:type="dxa" w:w="3060"/>
            <w:tcBorders>
              <w:top w:val="single" w:color="D9DCE1" w:sz="2"/>
              <w:left w:val="single" w:color="D9DCE1" w:sz="2"/>
              <w:bottom w:val="single" w:color="D9DCE1" w:sz="2"/>
              <w:right w:val="single" w:color="D9DCE1" w:sz="2"/>
            </w:tcBorders>
            <w:shd w:fill="1F3B57" w:val="clear"/>
            <w:tcMar>
              <w:top w:type="dxa" w:w="90"/>
              <w:left w:type="dxa" w:w="120"/>
              <w:bottom w:type="dxa" w:w="90"/>
              <w:right w:type="dxa" w:w="120"/>
            </w:tcMar>
            <w:vAlign w:val="center"/>
          </w:tcPr>
          <w:p>
            <w:r>
              <w:rPr>
                <w:b/>
                <w:bCs/>
                <w:color w:val="FFFFFF"/>
                <w:sz w:val="20"/>
                <w:szCs w:val="20"/>
              </w:rPr>
              <w:t xml:space="preserve">ON SCREEN</w:t>
            </w:r>
          </w:p>
        </w:tc>
        <w:tc>
          <w:tcPr>
            <w:tcW w:type="dxa" w:w="6300"/>
            <w:tcBorders>
              <w:top w:val="single" w:color="D9DCE1" w:sz="2"/>
              <w:left w:val="single" w:color="D9DCE1" w:sz="2"/>
              <w:bottom w:val="single" w:color="D9DCE1" w:sz="2"/>
              <w:right w:val="single" w:color="D9DCE1" w:sz="2"/>
            </w:tcBorders>
            <w:shd w:fill="1F3B57" w:val="clear"/>
            <w:tcMar>
              <w:top w:type="dxa" w:w="90"/>
              <w:left w:type="dxa" w:w="120"/>
              <w:bottom w:type="dxa" w:w="90"/>
              <w:right w:type="dxa" w:w="120"/>
            </w:tcMar>
            <w:vAlign w:val="center"/>
          </w:tcPr>
          <w:p>
            <w:r>
              <w:rPr>
                <w:b/>
                <w:bCs/>
                <w:color w:val="FFFFFF"/>
                <w:sz w:val="20"/>
                <w:szCs w:val="20"/>
              </w:rPr>
              <w:t xml:space="preserve">SAY</w:t>
            </w:r>
          </w:p>
        </w:tc>
      </w:tr>
      <w:tr>
        <w:tc>
          <w:tcPr>
            <w:tcW w:type="dxa" w:w="3060"/>
            <w:tcBorders>
              <w:top w:val="single" w:color="D9DCE1" w:sz="2"/>
              <w:left w:val="single" w:color="D9DCE1" w:sz="2"/>
              <w:bottom w:val="single" w:color="D9DCE1" w:sz="2"/>
              <w:right w:val="single" w:color="D9DCE1" w:sz="2"/>
            </w:tcBorders>
            <w:shd w:fill="F2F4F7" w:val="clear"/>
            <w:tcMar>
              <w:top w:type="dxa" w:w="100"/>
              <w:left w:type="dxa" w:w="120"/>
              <w:bottom w:type="dxa" w:w="100"/>
              <w:right w:type="dxa" w:w="120"/>
            </w:tcMar>
            <w:vAlign w:val="top"/>
          </w:tcPr>
          <w:p>
            <w:pPr>
              <w:spacing w:after="0"/>
            </w:pPr>
            <w:r>
              <w:rPr>
                <w:i/>
                <w:iCs/>
                <w:color w:val="3A4655"/>
                <w:sz w:val="20"/>
                <w:szCs w:val="20"/>
              </w:rPr>
              <w:t xml:space="preserve">Click the “Cadence Performance” tab.</w:t>
            </w:r>
          </w:p>
        </w:tc>
        <w:tc>
          <w:tcPr>
            <w:tcW w:type="dxa" w:w="6300"/>
            <w:tcBorders>
              <w:top w:val="single" w:color="D9DCE1" w:sz="2"/>
              <w:left w:val="single" w:color="D9DCE1" w:sz="2"/>
              <w:bottom w:val="single" w:color="D9DCE1" w:sz="2"/>
              <w:right w:val="single" w:color="D9DCE1" w:sz="2"/>
            </w:tcBorders>
            <w:tcMar>
              <w:top w:type="dxa" w:w="100"/>
              <w:left w:type="dxa" w:w="140"/>
              <w:bottom w:type="dxa" w:w="100"/>
              <w:right w:type="dxa" w:w="140"/>
            </w:tcMar>
            <w:vAlign w:val="top"/>
          </w:tcPr>
          <w:p>
            <w:pPr>
              <w:spacing w:after="0"/>
            </w:pPr>
            <w:r>
              <w:rPr>
                <w:sz w:val="22"/>
                <w:szCs w:val="22"/>
              </w:rPr>
              <w:t xml:space="preserve">Now let's flip to the other tab — Cadence Performance. This one's a different job than Adherence.</w:t>
            </w:r>
          </w:p>
        </w:tc>
      </w:tr>
    </w:tbl>
    <w:p>
      <w:pPr>
        <w:spacing w:after="100" w:before="0"/>
      </w:pPr>
      <w:r>
        <w:rPr>
          <w:b/>
          <w:bCs/>
          <w:caps/>
          <w:color w:val="8A94A1"/>
          <w:sz w:val="18"/>
          <w:szCs w:val="18"/>
        </w:rPr>
        <w:t xml:space="preserve">3:45 – 4:25 — What it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6300"/>
      </w:tblGrid>
      <w:tr>
        <w:trPr>
          <w:tblHeader/>
        </w:trPr>
        <w:tc>
          <w:tcPr>
            <w:tcW w:type="dxa" w:w="3060"/>
            <w:tcBorders>
              <w:top w:val="single" w:color="D9DCE1" w:sz="2"/>
              <w:left w:val="single" w:color="D9DCE1" w:sz="2"/>
              <w:bottom w:val="single" w:color="D9DCE1" w:sz="2"/>
              <w:right w:val="single" w:color="D9DCE1" w:sz="2"/>
            </w:tcBorders>
            <w:shd w:fill="1F3B57" w:val="clear"/>
            <w:tcMar>
              <w:top w:type="dxa" w:w="90"/>
              <w:left w:type="dxa" w:w="120"/>
              <w:bottom w:type="dxa" w:w="90"/>
              <w:right w:type="dxa" w:w="120"/>
            </w:tcMar>
            <w:vAlign w:val="center"/>
          </w:tcPr>
          <w:p>
            <w:r>
              <w:rPr>
                <w:b/>
                <w:bCs/>
                <w:color w:val="FFFFFF"/>
                <w:sz w:val="20"/>
                <w:szCs w:val="20"/>
              </w:rPr>
              <w:t xml:space="preserve">ON SCREEN</w:t>
            </w:r>
          </w:p>
        </w:tc>
        <w:tc>
          <w:tcPr>
            <w:tcW w:type="dxa" w:w="6300"/>
            <w:tcBorders>
              <w:top w:val="single" w:color="D9DCE1" w:sz="2"/>
              <w:left w:val="single" w:color="D9DCE1" w:sz="2"/>
              <w:bottom w:val="single" w:color="D9DCE1" w:sz="2"/>
              <w:right w:val="single" w:color="D9DCE1" w:sz="2"/>
            </w:tcBorders>
            <w:shd w:fill="1F3B57" w:val="clear"/>
            <w:tcMar>
              <w:top w:type="dxa" w:w="90"/>
              <w:left w:type="dxa" w:w="120"/>
              <w:bottom w:type="dxa" w:w="90"/>
              <w:right w:type="dxa" w:w="120"/>
            </w:tcMar>
            <w:vAlign w:val="center"/>
          </w:tcPr>
          <w:p>
            <w:r>
              <w:rPr>
                <w:b/>
                <w:bCs/>
                <w:color w:val="FFFFFF"/>
                <w:sz w:val="20"/>
                <w:szCs w:val="20"/>
              </w:rPr>
              <w:t xml:space="preserve">SAY</w:t>
            </w:r>
          </w:p>
        </w:tc>
      </w:tr>
      <w:tr>
        <w:tc>
          <w:tcPr>
            <w:tcW w:type="dxa" w:w="3060"/>
            <w:tcBorders>
              <w:top w:val="single" w:color="D9DCE1" w:sz="2"/>
              <w:left w:val="single" w:color="D9DCE1" w:sz="2"/>
              <w:bottom w:val="single" w:color="D9DCE1" w:sz="2"/>
              <w:right w:val="single" w:color="D9DCE1" w:sz="2"/>
            </w:tcBorders>
            <w:shd w:fill="F2F4F7" w:val="clear"/>
            <w:tcMar>
              <w:top w:type="dxa" w:w="100"/>
              <w:left w:type="dxa" w:w="120"/>
              <w:bottom w:type="dxa" w:w="100"/>
              <w:right w:type="dxa" w:w="120"/>
            </w:tcMar>
            <w:vAlign w:val="top"/>
          </w:tcPr>
          <w:p>
            <w:pPr>
              <w:spacing w:after="60"/>
            </w:pPr>
            <w:r>
              <w:rPr>
                <w:i/>
                <w:iCs/>
                <w:color w:val="3A4655"/>
                <w:sz w:val="20"/>
                <w:szCs w:val="20"/>
              </w:rPr>
              <w:t xml:space="preserve">Point at the KPI cards: Keep, Review, Archive, Low Sample, No Data.</w:t>
            </w:r>
          </w:p>
          <w:p>
            <w:pPr>
              <w:spacing w:after="60"/>
            </w:pPr>
            <w:r>
              <w:rPr>
                <w:i/>
                <w:iCs/>
                <w:color w:val="3A4655"/>
                <w:sz w:val="20"/>
                <w:szCs w:val="20"/>
              </w:rPr>
              <w:t xml:space="preserve">Point at the filter row: Run Date, Model, Team, Verdict, Search.</w:t>
            </w:r>
          </w:p>
          <w:p>
            <w:pPr>
              <w:spacing w:after="0"/>
            </w:pPr>
            <w:r>
              <w:rPr>
                <w:i/>
                <w:iCs/>
                <w:color w:val="3A4655"/>
                <w:sz w:val="20"/>
                <w:szCs w:val="20"/>
              </w:rPr>
              <w:t xml:space="preserve">Point at a table row — score, verdict, rates, Created date.</w:t>
            </w:r>
          </w:p>
        </w:tc>
        <w:tc>
          <w:tcPr>
            <w:tcW w:type="dxa" w:w="6300"/>
            <w:tcBorders>
              <w:top w:val="single" w:color="D9DCE1" w:sz="2"/>
              <w:left w:val="single" w:color="D9DCE1" w:sz="2"/>
              <w:bottom w:val="single" w:color="D9DCE1" w:sz="2"/>
              <w:right w:val="single" w:color="D9DCE1" w:sz="2"/>
            </w:tcBorders>
            <w:tcMar>
              <w:top w:type="dxa" w:w="100"/>
              <w:left w:type="dxa" w:w="140"/>
              <w:bottom w:type="dxa" w:w="100"/>
              <w:right w:type="dxa" w:w="140"/>
            </w:tcMar>
            <w:vAlign w:val="top"/>
          </w:tcPr>
          <w:p>
            <w:pPr>
              <w:spacing w:after="90"/>
            </w:pPr>
            <w:r>
              <w:rPr>
                <w:sz w:val="22"/>
                <w:szCs w:val="22"/>
              </w:rPr>
              <w:t xml:space="preserve">This refreshes weekly, every Friday. It scores every active BDR and SDR cadence on meeting, reply, connect, and open rates.</w:t>
            </w:r>
          </w:p>
          <w:p>
            <w:pPr>
              <w:spacing w:after="90"/>
            </w:pPr>
            <w:r>
              <w:rPr>
                <w:sz w:val="22"/>
                <w:szCs w:val="22"/>
              </w:rPr>
              <w:t xml:space="preserve">The cards up top — Keep, Review, Archive, Low Sample, No Data — are the verdict buckets. You can filter by run date, model, team, and verdict, or search for a specific cadence.</w:t>
            </w:r>
          </w:p>
          <w:p>
            <w:pPr>
              <w:spacing w:after="90"/>
            </w:pPr>
            <w:r>
              <w:rPr>
                <w:sz w:val="22"/>
                <w:szCs w:val="22"/>
              </w:rPr>
              <w:t xml:space="preserve">Each row shows a cadence's score, verdict, and rates, plus when it was created and which weekly run it's from.</w:t>
            </w:r>
          </w:p>
          <w:p>
            <w:pPr>
              <w:spacing w:after="0"/>
            </w:pPr>
            <w:r>
              <w:rPr>
                <w:sz w:val="22"/>
                <w:szCs w:val="22"/>
              </w:rPr>
              <w:t xml:space="preserve">This is the tool Project Precision uses to decide what to keep, what to improve, and what to archive for low performance. You've got visibility into it, but the scoring and the keep-or-archive calls belong to Project Precision, not to you.</w:t>
            </w:r>
          </w:p>
        </w:tc>
      </w:tr>
    </w:tbl>
    <w:p>
      <w:pPr>
        <w:pStyle w:val="Heading1"/>
        <w:spacing w:after="120" w:before="320"/>
      </w:pPr>
      <w:r>
        <w:t xml:space="preserve">4. Close</w:t>
      </w:r>
    </w:p>
    <w:p>
      <w:pPr>
        <w:spacing w:after="100" w:before="0"/>
      </w:pPr>
      <w:r>
        <w:rPr>
          <w:b/>
          <w:bCs/>
          <w:caps/>
          <w:color w:val="8A94A1"/>
          <w:sz w:val="18"/>
          <w:szCs w:val="18"/>
        </w:rPr>
        <w:t xml:space="preserve">4:25 – 4:45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6300"/>
      </w:tblGrid>
      <w:tr>
        <w:trPr>
          <w:tblHeader/>
        </w:trPr>
        <w:tc>
          <w:tcPr>
            <w:tcW w:type="dxa" w:w="3060"/>
            <w:tcBorders>
              <w:top w:val="single" w:color="D9DCE1" w:sz="2"/>
              <w:left w:val="single" w:color="D9DCE1" w:sz="2"/>
              <w:bottom w:val="single" w:color="D9DCE1" w:sz="2"/>
              <w:right w:val="single" w:color="D9DCE1" w:sz="2"/>
            </w:tcBorders>
            <w:shd w:fill="1F3B57" w:val="clear"/>
            <w:tcMar>
              <w:top w:type="dxa" w:w="90"/>
              <w:left w:type="dxa" w:w="120"/>
              <w:bottom w:type="dxa" w:w="90"/>
              <w:right w:type="dxa" w:w="120"/>
            </w:tcMar>
            <w:vAlign w:val="center"/>
          </w:tcPr>
          <w:p>
            <w:r>
              <w:rPr>
                <w:b/>
                <w:bCs/>
                <w:color w:val="FFFFFF"/>
                <w:sz w:val="20"/>
                <w:szCs w:val="20"/>
              </w:rPr>
              <w:t xml:space="preserve">ON SCREEN</w:t>
            </w:r>
          </w:p>
        </w:tc>
        <w:tc>
          <w:tcPr>
            <w:tcW w:type="dxa" w:w="6300"/>
            <w:tcBorders>
              <w:top w:val="single" w:color="D9DCE1" w:sz="2"/>
              <w:left w:val="single" w:color="D9DCE1" w:sz="2"/>
              <w:bottom w:val="single" w:color="D9DCE1" w:sz="2"/>
              <w:right w:val="single" w:color="D9DCE1" w:sz="2"/>
            </w:tcBorders>
            <w:shd w:fill="1F3B57" w:val="clear"/>
            <w:tcMar>
              <w:top w:type="dxa" w:w="90"/>
              <w:left w:type="dxa" w:w="120"/>
              <w:bottom w:type="dxa" w:w="90"/>
              <w:right w:type="dxa" w:w="120"/>
            </w:tcMar>
            <w:vAlign w:val="center"/>
          </w:tcPr>
          <w:p>
            <w:r>
              <w:rPr>
                <w:b/>
                <w:bCs/>
                <w:color w:val="FFFFFF"/>
                <w:sz w:val="20"/>
                <w:szCs w:val="20"/>
              </w:rPr>
              <w:t xml:space="preserve">SAY</w:t>
            </w:r>
          </w:p>
        </w:tc>
      </w:tr>
      <w:tr>
        <w:tc>
          <w:tcPr>
            <w:tcW w:type="dxa" w:w="3060"/>
            <w:tcBorders>
              <w:top w:val="single" w:color="D9DCE1" w:sz="2"/>
              <w:left w:val="single" w:color="D9DCE1" w:sz="2"/>
              <w:bottom w:val="single" w:color="D9DCE1" w:sz="2"/>
              <w:right w:val="single" w:color="D9DCE1" w:sz="2"/>
            </w:tcBorders>
            <w:shd w:fill="F2F4F7" w:val="clear"/>
            <w:tcMar>
              <w:top w:type="dxa" w:w="100"/>
              <w:left w:type="dxa" w:w="120"/>
              <w:bottom w:type="dxa" w:w="100"/>
              <w:right w:type="dxa" w:w="120"/>
            </w:tcMar>
            <w:vAlign w:val="top"/>
          </w:tcPr>
          <w:p>
            <w:pPr>
              <w:spacing w:after="0"/>
            </w:pPr>
            <w:r>
              <w:rPr>
                <w:i/>
                <w:iCs/>
                <w:color w:val="3A4655"/>
                <w:sz w:val="20"/>
                <w:szCs w:val="20"/>
              </w:rPr>
              <w:t xml:space="preserve">Switch back to the “Cadence Adherence” tab.</w:t>
            </w:r>
          </w:p>
        </w:tc>
        <w:tc>
          <w:tcPr>
            <w:tcW w:type="dxa" w:w="6300"/>
            <w:tcBorders>
              <w:top w:val="single" w:color="D9DCE1" w:sz="2"/>
              <w:left w:val="single" w:color="D9DCE1" w:sz="2"/>
              <w:bottom w:val="single" w:color="D9DCE1" w:sz="2"/>
              <w:right w:val="single" w:color="D9DCE1" w:sz="2"/>
            </w:tcBorders>
            <w:tcMar>
              <w:top w:type="dxa" w:w="100"/>
              <w:left w:type="dxa" w:w="140"/>
              <w:bottom w:type="dxa" w:w="100"/>
              <w:right w:type="dxa" w:w="140"/>
            </w:tcMar>
            <w:vAlign w:val="top"/>
          </w:tcPr>
          <w:p>
            <w:pPr>
              <w:spacing w:after="90"/>
            </w:pPr>
            <w:r>
              <w:rPr>
                <w:sz w:val="22"/>
                <w:szCs w:val="22"/>
              </w:rPr>
              <w:t xml:space="preserve">So, day to day: live in the Adherence dashboard to track how your team is adopting cadences and where the backlog is building.</w:t>
            </w:r>
          </w:p>
          <w:p>
            <w:pPr>
              <w:spacing w:after="90"/>
            </w:pPr>
            <w:r>
              <w:rPr>
                <w:sz w:val="22"/>
                <w:szCs w:val="22"/>
              </w:rPr>
              <w:t xml:space="preserve">If a specific cadence looks off across the board, check the Scorecard tab — Project Precision may already have it flagged.</w:t>
            </w:r>
          </w:p>
          <w:p>
            <w:pPr>
              <w:spacing w:after="0"/>
            </w:pPr>
            <w:r>
              <w:rPr>
                <w:sz w:val="22"/>
                <w:szCs w:val="22"/>
              </w:rPr>
              <w:t xml:space="preserve">Questions on either dashboard, reach out to the Project Precision team.</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B57" w:sz="6" w:space="4"/>
      </w:pBdr>
      <w:spacing w:after="140" w:before="320"/>
      <w:outlineLvl w:val="0"/>
    </w:pPr>
    <w:rPr>
      <w:rFonts w:ascii="Arial" w:cs="Arial" w:eastAsia="Arial" w:hAnsi="Arial"/>
      <w:b/>
      <w:bCs/>
      <w:color w:val="1F3B57"/>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F5BD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2026-07-01T18:51:54.293Z</dcterms:created>
  <dcterms:modified xsi:type="dcterms:W3CDTF">2026-07-01T18:51:54.293Z</dcterms:modified>
</cp:coreProperties>
</file>

<file path=docProps/custom.xml><?xml version="1.0" encoding="utf-8"?>
<Properties xmlns="http://schemas.openxmlformats.org/officeDocument/2006/custom-properties" xmlns:vt="http://schemas.openxmlformats.org/officeDocument/2006/docPropsVTypes"/>
</file>