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VALIDATION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>
        <w:t>System: CalTrack 3000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>
        <w:t>Author: Charles Kwena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>
        <w:t>Date: 2024-07-08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rPr/>
      </w:pPr>
      <w:r>
        <w:t>Qualification protocol for the CalTrack 3000 Calibration Management System. This protocol covers functional verification, data integrity checks, user access control, and compliance with 21 CFR Part 11.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D">
      <w:pPr>
        <w:rPr/>
      </w:pPr>
      <w:r>
        <w:t>Verify system installation and configuration.</w:t>
        <w:br/>
        <w:br/>
        <w:br/>
        <w:br/>
        <w:t>Perform user account creation and permissions tests.</w:t>
        <w:br/>
        <w:br/>
        <w:br/>
        <w:br/>
        <w:t>Enter calibration data and review for accuracy and completeness.</w:t>
        <w:br/>
        <w:br/>
        <w:br/>
        <w:br/>
        <w:t>Attempt unauthorized data modification and check audit trail.</w:t>
        <w:br/>
        <w:br/>
        <w:br/>
        <w:br/>
        <w:t>Generate calibration report and validate electronic signature functionality.</w:t>
        <w:br/>
        <w:br/>
        <w:br/>
        <w:br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