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W519TC23A2020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W519TC24F2538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BGAD GRAVEL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212312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THE ALLEN CO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$60,000.00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PCF and Forecast Link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Link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EDWOSB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131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Low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