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W519TC24C2045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2024-09-27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2025-08-14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KILN AND AFTERBURNER NAT GAS SETS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ALBERTUS ENERGY, INC.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$424,552.00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