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W519TC24P2527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2024-08-19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ONE - TIME BOILER UPGRADES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811310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RYAN &amp; ASSOCIATES,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$282,137.00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$12.50M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1373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