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W52P1J20D0065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W519TC24F2569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P00001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POLYWORKS SOFTWARE MAINT AND SUPPORT.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511210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STRATEGIC COMMUNICATIONS, LLC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TASK/DELIVERY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$49,822.50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511210 not found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135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1914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SDB, 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Medium Risk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