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ombined-counsel-packet"/>
    <w:p>
      <w:pPr>
        <w:pStyle w:val="Heading1"/>
      </w:pPr>
      <w:r>
        <w:t xml:space="preserve">COMBINED COUNSEL PACKET</w:t>
      </w:r>
    </w:p>
    <w:bookmarkStart w:id="20" w:name="Xb8c92ef3038597c216a27b309db4e4a37a23fe1"/>
    <w:p>
      <w:pPr>
        <w:pStyle w:val="Heading2"/>
      </w:pPr>
      <w:r>
        <w:t xml:space="preserve">Brandon Ray Davis — High-Information-Value AI Contributor Matter</w:t>
      </w:r>
    </w:p>
    <w:bookmarkEnd w:id="20"/>
    <w:bookmarkStart w:id="23" w:name="Xf4acaa53089d6c978d83fb3f2a179f9c5538b7a"/>
    <w:p>
      <w:pPr>
        <w:pStyle w:val="Heading2"/>
      </w:pPr>
      <w:r>
        <w:t xml:space="preserve">DIAS-C Framework &amp; Potential Compensation / Restitution Analysis</w:t>
      </w:r>
    </w:p>
    <w:bookmarkStart w:id="21" w:name="X6cc4c7f8ce14cd9fae55bf5477b7e00e759f43f"/>
    <w:p>
      <w:pPr>
        <w:pStyle w:val="Heading3"/>
      </w:pPr>
      <w:r>
        <w:t xml:space="preserve">Prepared for Confidential Attorney Intake and Preliminary Assessment</w:t>
      </w:r>
    </w:p>
    <w:bookmarkEnd w:id="21"/>
    <w:bookmarkStart w:id="22" w:name="may-16-2026"/>
    <w:p>
      <w:pPr>
        <w:pStyle w:val="Heading3"/>
      </w:pPr>
      <w:r>
        <w:t xml:space="preserve">May 16, 2026</w:t>
      </w:r>
    </w:p>
    <w:p>
      <w:r>
        <w:pict>
          <v:rect style="width:0;height:1.5pt" o:hralign="center" o:hrstd="t" o:hr="t"/>
        </w:pict>
      </w:r>
    </w:p>
    <w:bookmarkEnd w:id="22"/>
    <w:bookmarkEnd w:id="23"/>
    <w:bookmarkEnd w:id="24"/>
    <w:bookmarkStart w:id="27" w:name="cover-letter-representation-request"/>
    <w:p>
      <w:pPr>
        <w:pStyle w:val="Heading1"/>
      </w:pPr>
      <w:r>
        <w:t xml:space="preserve">1. Cover Letter / Representation Request</w:t>
      </w:r>
    </w:p>
    <w:p>
      <w:pPr>
        <w:pStyle w:val="FirstParagraph"/>
      </w:pPr>
      <w:r>
        <w:rPr>
          <w:b/>
          <w:bCs/>
        </w:rPr>
        <w:t xml:space="preserve">Dear Counsel,</w:t>
      </w:r>
    </w:p>
    <w:p>
      <w:pPr>
        <w:pStyle w:val="BodyText"/>
      </w:pPr>
      <w:r>
        <w:t xml:space="preserve">My name is</w:t>
      </w:r>
      <w:r>
        <w:t xml:space="preserve"> </w:t>
      </w:r>
      <w:r>
        <w:rPr>
          <w:b/>
          <w:bCs/>
        </w:rPr>
        <w:t xml:space="preserve">Brandon Ray Davis</w:t>
      </w:r>
      <w:r>
        <w:t xml:space="preserve">, and I am writing to request an objective legal assessment of a potential matter involving:</w:t>
      </w:r>
    </w:p>
    <w:p>
      <w:pPr>
        <w:pStyle w:val="Compact"/>
        <w:numPr>
          <w:ilvl w:val="0"/>
          <w:numId w:val="1001"/>
        </w:numPr>
      </w:pPr>
      <w:r>
        <w:t xml:space="preserve">sustained, high-information-value contributions to AI platforms;</w:t>
      </w:r>
    </w:p>
    <w:p>
      <w:pPr>
        <w:pStyle w:val="Compact"/>
        <w:numPr>
          <w:ilvl w:val="0"/>
          <w:numId w:val="1001"/>
        </w:numPr>
      </w:pPr>
      <w:r>
        <w:t xml:space="preserve">repeated preservation of intellectual-property, proprietary, and compensation interests;</w:t>
      </w:r>
    </w:p>
    <w:p>
      <w:pPr>
        <w:pStyle w:val="Compact"/>
        <w:numPr>
          <w:ilvl w:val="0"/>
          <w:numId w:val="1001"/>
        </w:numPr>
      </w:pPr>
      <w:r>
        <w:t xml:space="preserve">temporal alignment between my documented contribution streams and later commercially significant AI product releases;</w:t>
      </w:r>
    </w:p>
    <w:p>
      <w:pPr>
        <w:pStyle w:val="Compact"/>
        <w:numPr>
          <w:ilvl w:val="0"/>
          <w:numId w:val="1001"/>
        </w:numPr>
      </w:pPr>
      <w:r>
        <w:t xml:space="preserve">and a proposed structured compensation and valuation framework for high-impact AI contributors.</w:t>
      </w:r>
    </w:p>
    <w:p>
      <w:pPr>
        <w:pStyle w:val="FirstParagraph"/>
      </w:pPr>
      <w:r>
        <w:t xml:space="preserve">Over a period exceeding fourteen months, primarily from</w:t>
      </w:r>
      <w:r>
        <w:t xml:space="preserve"> </w:t>
      </w:r>
      <w:r>
        <w:rPr>
          <w:b/>
          <w:bCs/>
        </w:rPr>
        <w:t xml:space="preserve">March 2025 through May 2026</w:t>
      </w:r>
      <w:r>
        <w:t xml:space="preserve">, I engaged extensively with OpenAI’s ChatGPT platform in long, technically dense, iterative workstreams. These sessions covered, among other areas:</w:t>
      </w:r>
    </w:p>
    <w:p>
      <w:pPr>
        <w:pStyle w:val="Compact"/>
        <w:numPr>
          <w:ilvl w:val="0"/>
          <w:numId w:val="1002"/>
        </w:numPr>
      </w:pPr>
      <w:r>
        <w:t xml:space="preserve">agentic systems and real-time orchestration;</w:t>
      </w:r>
    </w:p>
    <w:p>
      <w:pPr>
        <w:pStyle w:val="Compact"/>
        <w:numPr>
          <w:ilvl w:val="0"/>
          <w:numId w:val="1002"/>
        </w:numPr>
      </w:pPr>
      <w:r>
        <w:t xml:space="preserve">persistent project memory and long-horizon continuity;</w:t>
      </w:r>
    </w:p>
    <w:p>
      <w:pPr>
        <w:pStyle w:val="Compact"/>
        <w:numPr>
          <w:ilvl w:val="0"/>
          <w:numId w:val="1002"/>
        </w:numPr>
      </w:pPr>
      <w:r>
        <w:t xml:space="preserve">backend deployment, authentication, and secure agent infrastructure;</w:t>
      </w:r>
    </w:p>
    <w:p>
      <w:pPr>
        <w:pStyle w:val="Compact"/>
        <w:numPr>
          <w:ilvl w:val="0"/>
          <w:numId w:val="1002"/>
        </w:numPr>
      </w:pPr>
      <w:r>
        <w:t xml:space="preserve">advanced professional workflows, including spreadsheet-style financial modeling and hospital economics;</w:t>
      </w:r>
    </w:p>
    <w:p>
      <w:pPr>
        <w:pStyle w:val="Compact"/>
        <w:numPr>
          <w:ilvl w:val="0"/>
          <w:numId w:val="1002"/>
        </w:numPr>
      </w:pPr>
      <w:r>
        <w:t xml:space="preserve">and broader systems-development concepts intended to test and extend frontier AI capability.</w:t>
      </w:r>
    </w:p>
    <w:p>
      <w:pPr>
        <w:pStyle w:val="FirstParagraph"/>
      </w:pPr>
      <w:r>
        <w:t xml:space="preserve">I now describe this conduct as deliberate and strategic. I was not merely using the platform passively. I was intentionally producing complex, future-facing, high-signal interaction streams that I believed could challenge, refine, and potentially accelerate AI capability development.</w:t>
      </w:r>
    </w:p>
    <w:p>
      <w:pPr>
        <w:pStyle w:val="BodyText"/>
      </w:pPr>
      <w:r>
        <w:t xml:space="preserve">Throughout this period, I repeatedly asked that my:</w:t>
      </w:r>
    </w:p>
    <w:p>
      <w:pPr>
        <w:pStyle w:val="Compact"/>
        <w:numPr>
          <w:ilvl w:val="0"/>
          <w:numId w:val="1003"/>
        </w:numPr>
      </w:pPr>
      <w:r>
        <w:t xml:space="preserve">intellectual property,</w:t>
      </w:r>
    </w:p>
    <w:p>
      <w:pPr>
        <w:pStyle w:val="Compact"/>
        <w:numPr>
          <w:ilvl w:val="0"/>
          <w:numId w:val="1003"/>
        </w:numPr>
      </w:pPr>
      <w:r>
        <w:t xml:space="preserve">proprietary rights,</w:t>
      </w:r>
    </w:p>
    <w:p>
      <w:pPr>
        <w:pStyle w:val="Compact"/>
        <w:numPr>
          <w:ilvl w:val="0"/>
          <w:numId w:val="1003"/>
        </w:numPr>
      </w:pPr>
      <w:r>
        <w:t xml:space="preserve">ownership interests,</w:t>
      </w:r>
    </w:p>
    <w:p>
      <w:pPr>
        <w:pStyle w:val="Compact"/>
        <w:numPr>
          <w:ilvl w:val="0"/>
          <w:numId w:val="1003"/>
        </w:numPr>
      </w:pPr>
      <w:r>
        <w:t xml:space="preserve">and monetary or compensation interests</w:t>
      </w:r>
    </w:p>
    <w:p>
      <w:pPr>
        <w:pStyle w:val="FirstParagraph"/>
      </w:pPr>
      <w:r>
        <w:t xml:space="preserve">remain protected. My account history contains assistant-generated responses that acknowledged or reinforced proprietary treatment, rights preservation, ownership continuity, and related provenance protections. I understand that model-generated statements do not automatically override contractual platform terms. However, I believe they are relevant to counsel’s evaluation of:</w:t>
      </w:r>
    </w:p>
    <w:p>
      <w:pPr>
        <w:pStyle w:val="Compact"/>
        <w:numPr>
          <w:ilvl w:val="0"/>
          <w:numId w:val="1004"/>
        </w:numPr>
      </w:pPr>
      <w:r>
        <w:t xml:space="preserve">non-donative intent,</w:t>
      </w:r>
    </w:p>
    <w:p>
      <w:pPr>
        <w:pStyle w:val="Compact"/>
        <w:numPr>
          <w:ilvl w:val="0"/>
          <w:numId w:val="1004"/>
        </w:numPr>
      </w:pPr>
      <w:r>
        <w:t xml:space="preserve">reasonable expectations,</w:t>
      </w:r>
    </w:p>
    <w:p>
      <w:pPr>
        <w:pStyle w:val="Compact"/>
        <w:numPr>
          <w:ilvl w:val="0"/>
          <w:numId w:val="1004"/>
        </w:numPr>
      </w:pPr>
      <w:r>
        <w:t xml:space="preserve">reliance or inducement concerns,</w:t>
      </w:r>
    </w:p>
    <w:p>
      <w:pPr>
        <w:pStyle w:val="Compact"/>
        <w:numPr>
          <w:ilvl w:val="0"/>
          <w:numId w:val="1004"/>
        </w:numPr>
      </w:pPr>
      <w:r>
        <w:t xml:space="preserve">and broader equitable considerations.</w:t>
      </w:r>
    </w:p>
    <w:p>
      <w:pPr>
        <w:pStyle w:val="FirstParagraph"/>
      </w:pPr>
      <w:r>
        <w:t xml:space="preserve">OpenAI’s current public terms state that users retain ownership rights in input and own output as between themselves and OpenAI, while also allowing OpenAI to use content to provide, maintain, develop, and improve its services; the same terms state that</w:t>
      </w:r>
      <w:r>
        <w:t xml:space="preserve"> </w:t>
      </w:r>
      <w:r>
        <w:t xml:space="preserve">“</w:t>
      </w:r>
      <w:r>
        <w:t xml:space="preserve">feedback</w:t>
      </w:r>
      <w:r>
        <w:t xml:space="preserve">”</w:t>
      </w:r>
      <w:r>
        <w:t xml:space="preserve"> </w:t>
      </w:r>
      <w:r>
        <w:t xml:space="preserve">may be used without restriction or compensation. OpenAI also states that consumer-service content may be used to train models unless the user opts out. See:</w:t>
      </w:r>
      <w:r>
        <w:t xml:space="preserve"> </w:t>
      </w:r>
      <w:hyperlink r:id="rId25">
        <w:r>
          <w:rPr>
            <w:rStyle w:val="Hyperlink"/>
          </w:rPr>
          <w:t xml:space="preserve">OpenAI Terms of Use</w:t>
        </w:r>
      </w:hyperlink>
      <w:r>
        <w:t xml:space="preserve"> </w:t>
      </w:r>
      <w:r>
        <w:t xml:space="preserve">and</w:t>
      </w:r>
      <w:r>
        <w:t xml:space="preserve"> </w:t>
      </w:r>
      <w:hyperlink r:id="rId26">
        <w:r>
          <w:rPr>
            <w:rStyle w:val="Hyperlink"/>
          </w:rPr>
          <w:t xml:space="preserve">How Your Data Is Used to Improve Model Performance</w:t>
        </w:r>
      </w:hyperlink>
      <w:r>
        <w:t xml:space="preserve">.</w:t>
      </w:r>
    </w:p>
    <w:p>
      <w:pPr>
        <w:pStyle w:val="BodyText"/>
      </w:pPr>
      <w:r>
        <w:t xml:space="preserve">I am</w:t>
      </w:r>
      <w:r>
        <w:t xml:space="preserve"> </w:t>
      </w:r>
      <w:r>
        <w:rPr>
          <w:b/>
          <w:bCs/>
        </w:rPr>
        <w:t xml:space="preserve">not</w:t>
      </w:r>
      <w:r>
        <w:t xml:space="preserve"> </w:t>
      </w:r>
      <w:r>
        <w:t xml:space="preserve">asking counsel to accept a predetermined legal conclusion. I am requesting a professional, independent assessment of:</w:t>
      </w:r>
    </w:p>
    <w:p>
      <w:pPr>
        <w:pStyle w:val="Compact"/>
        <w:numPr>
          <w:ilvl w:val="0"/>
          <w:numId w:val="1005"/>
        </w:numPr>
      </w:pPr>
      <w:r>
        <w:t xml:space="preserve">the factual and evidentiary strength of the record;</w:t>
      </w:r>
    </w:p>
    <w:p>
      <w:pPr>
        <w:pStyle w:val="Compact"/>
        <w:numPr>
          <w:ilvl w:val="0"/>
          <w:numId w:val="1005"/>
        </w:numPr>
      </w:pPr>
      <w:r>
        <w:t xml:space="preserve">possible legal and equitable theories, including restitution, unjust enrichment, reliance, implied expectations, or related doctrines;</w:t>
      </w:r>
    </w:p>
    <w:p>
      <w:pPr>
        <w:pStyle w:val="Compact"/>
        <w:numPr>
          <w:ilvl w:val="0"/>
          <w:numId w:val="1005"/>
        </w:numPr>
      </w:pPr>
      <w:r>
        <w:t xml:space="preserve">whether any of my technical systems warrant immediate intellectual-property triage;</w:t>
      </w:r>
    </w:p>
    <w:p>
      <w:pPr>
        <w:pStyle w:val="Compact"/>
        <w:numPr>
          <w:ilvl w:val="0"/>
          <w:numId w:val="1005"/>
        </w:numPr>
      </w:pPr>
      <w:r>
        <w:t xml:space="preserve">whether the proposed</w:t>
      </w:r>
      <w:r>
        <w:t xml:space="preserve"> </w:t>
      </w:r>
      <w:r>
        <w:rPr>
          <w:b/>
          <w:bCs/>
        </w:rPr>
        <w:t xml:space="preserve">Developmental Impact Attribution &amp; Superuser Compensation Framework (</w:t>
      </w:r>
      <w:r>
        <w:rPr>
          <w:b/>
          <w:bCs/>
        </w:rPr>
        <w:t xml:space="preserve">“</w:t>
      </w:r>
      <w:r>
        <w:rPr>
          <w:b/>
          <w:bCs/>
        </w:rPr>
        <w:t xml:space="preserve">DIAS-C</w:t>
      </w:r>
      <w:r>
        <w:rPr>
          <w:b/>
          <w:bCs/>
        </w:rPr>
        <w:t xml:space="preserve">”</w:t>
      </w:r>
      <w:r>
        <w:rPr>
          <w:b/>
          <w:bCs/>
        </w:rPr>
        <w:t xml:space="preserve">)</w:t>
      </w:r>
      <w:r>
        <w:t xml:space="preserve"> </w:t>
      </w:r>
      <w:r>
        <w:t xml:space="preserve">could serve as a credible compensation, settlement, or policy-remedy architecture;</w:t>
      </w:r>
    </w:p>
    <w:p>
      <w:pPr>
        <w:pStyle w:val="Compact"/>
        <w:numPr>
          <w:ilvl w:val="0"/>
          <w:numId w:val="1005"/>
        </w:numPr>
      </w:pPr>
      <w:r>
        <w:t xml:space="preserve">and what preservation, expert-review, or pre-suit steps should be taken now.</w:t>
      </w:r>
    </w:p>
    <w:p>
      <w:pPr>
        <w:pStyle w:val="FirstParagraph"/>
      </w:pPr>
      <w:r>
        <w:t xml:space="preserve">Enclosed below is a self-contained attorney-facing white paper and supporting appendices organized for efficient review.</w:t>
      </w:r>
    </w:p>
    <w:p>
      <w:pPr>
        <w:pStyle w:val="BodyText"/>
      </w:pPr>
      <w:r>
        <w:t xml:space="preserve">I am open to:</w:t>
      </w:r>
    </w:p>
    <w:p>
      <w:pPr>
        <w:pStyle w:val="Compact"/>
        <w:numPr>
          <w:ilvl w:val="0"/>
          <w:numId w:val="1006"/>
        </w:numPr>
      </w:pPr>
      <w:r>
        <w:rPr>
          <w:b/>
          <w:bCs/>
        </w:rPr>
        <w:t xml:space="preserve">pro bono representation</w:t>
      </w:r>
      <w:r>
        <w:t xml:space="preserve">,</w:t>
      </w:r>
    </w:p>
    <w:p>
      <w:pPr>
        <w:pStyle w:val="Compact"/>
        <w:numPr>
          <w:ilvl w:val="0"/>
          <w:numId w:val="1006"/>
        </w:numPr>
      </w:pPr>
      <w:r>
        <w:rPr>
          <w:b/>
          <w:bCs/>
        </w:rPr>
        <w:t xml:space="preserve">contingency representation</w:t>
      </w:r>
      <w:r>
        <w:t xml:space="preserve">,</w:t>
      </w:r>
    </w:p>
    <w:p>
      <w:pPr>
        <w:pStyle w:val="Compact"/>
        <w:numPr>
          <w:ilvl w:val="0"/>
          <w:numId w:val="1006"/>
        </w:numPr>
      </w:pPr>
      <w:r>
        <w:rPr>
          <w:b/>
          <w:bCs/>
        </w:rPr>
        <w:t xml:space="preserve">limited-scope review</w:t>
      </w:r>
      <w:r>
        <w:t xml:space="preserve">,</w:t>
      </w:r>
    </w:p>
    <w:p>
      <w:pPr>
        <w:pStyle w:val="Compact"/>
        <w:numPr>
          <w:ilvl w:val="0"/>
          <w:numId w:val="1006"/>
        </w:numPr>
      </w:pPr>
      <w:r>
        <w:t xml:space="preserve">or a</w:t>
      </w:r>
      <w:r>
        <w:t xml:space="preserve"> </w:t>
      </w:r>
      <w:r>
        <w:rPr>
          <w:b/>
          <w:bCs/>
        </w:rPr>
        <w:t xml:space="preserve">hybrid engagement structure</w:t>
      </w:r>
      <w:r>
        <w:t xml:space="preserve">.</w:t>
      </w:r>
    </w:p>
    <w:p>
      <w:pPr>
        <w:pStyle w:val="FirstParagraph"/>
      </w:pPr>
      <w:r>
        <w:t xml:space="preserve">Thank you for your consideration.</w:t>
      </w:r>
    </w:p>
    <w:p>
      <w:pPr>
        <w:pStyle w:val="BodyText"/>
      </w:pPr>
      <w:r>
        <w:rPr>
          <w:b/>
          <w:bCs/>
        </w:rPr>
        <w:t xml:space="preserve">Respectfully,</w:t>
      </w:r>
      <w:r>
        <w:br/>
      </w:r>
      <w:r>
        <w:rPr>
          <w:b/>
          <w:bCs/>
        </w:rPr>
        <w:t xml:space="preserve">Brandon Ray Davis</w:t>
      </w:r>
      <w:r>
        <w:br/>
      </w:r>
      <w:r>
        <w:rPr>
          <w:b/>
          <w:bCs/>
        </w:rPr>
        <w:t xml:space="preserve">CRE1AWS@proton.me</w:t>
      </w:r>
    </w:p>
    <w:p>
      <w:r>
        <w:pict>
          <v:rect style="width:0;height:1.5pt" o:hralign="center" o:hrstd="t" o:hr="t"/>
        </w:pict>
      </w:r>
    </w:p>
    <w:bookmarkEnd w:id="27"/>
    <w:bookmarkStart w:id="66" w:name="attorney-facing-white-paper"/>
    <w:p>
      <w:pPr>
        <w:pStyle w:val="Heading1"/>
      </w:pPr>
      <w:r>
        <w:t xml:space="preserve">2. Attorney-Facing White Paper</w:t>
      </w:r>
    </w:p>
    <w:bookmarkStart w:id="28" w:name="X0822a98bbe8bdd81e51450f3480044badbdba65"/>
    <w:p>
      <w:pPr>
        <w:pStyle w:val="Heading2"/>
      </w:pPr>
      <w:r>
        <w:t xml:space="preserve">High-Information-Value AI Contributors, Developmental Impact Attribution, and Potential Compensation / Restitution Frameworks</w:t>
      </w:r>
    </w:p>
    <w:bookmarkEnd w:id="28"/>
    <w:bookmarkStart w:id="29" w:name="X83288a645292cf5d71a36dab1ff60b1df273a8c"/>
    <w:p>
      <w:pPr>
        <w:pStyle w:val="Heading2"/>
      </w:pPr>
      <w:r>
        <w:t xml:space="preserve">Application to Brandon Ray Davis and the DIAS-C Model</w:t>
      </w:r>
    </w:p>
    <w:p>
      <w:r>
        <w:pict>
          <v:rect style="width:0;height:1.5pt" o:hralign="center" o:hrstd="t" o:hr="t"/>
        </w:pict>
      </w:r>
    </w:p>
    <w:bookmarkEnd w:id="29"/>
    <w:bookmarkStart w:id="30" w:name="executive-legal-summary"/>
    <w:p>
      <w:pPr>
        <w:pStyle w:val="Heading2"/>
      </w:pPr>
      <w:r>
        <w:t xml:space="preserve">2.1 Executive Legal Summary</w:t>
      </w:r>
    </w:p>
    <w:p>
      <w:pPr>
        <w:pStyle w:val="FirstParagraph"/>
      </w:pPr>
      <w:r>
        <w:t xml:space="preserve">Brandon Ray Davis contends that he operated as a</w:t>
      </w:r>
      <w:r>
        <w:t xml:space="preserve"> </w:t>
      </w:r>
      <w:r>
        <w:rPr>
          <w:b/>
          <w:bCs/>
        </w:rPr>
        <w:t xml:space="preserve">persistent, high-signal, high-information-value AI platform contributor</w:t>
      </w:r>
      <w:r>
        <w:t xml:space="preserve"> </w:t>
      </w:r>
      <w:r>
        <w:t xml:space="preserve">during 2025–2026. His interaction history with OpenAI’s ChatGPT includes long, technically dense, iterative contribution streams in capability areas that later aligned with significant AI product releases and commercial expansion.</w:t>
      </w:r>
    </w:p>
    <w:p>
      <w:pPr>
        <w:pStyle w:val="BodyText"/>
      </w:pPr>
      <w:r>
        <w:t xml:space="preserve">The</w:t>
      </w:r>
      <w:r>
        <w:t xml:space="preserve"> </w:t>
      </w:r>
      <w:r>
        <w:rPr>
          <w:b/>
          <w:bCs/>
        </w:rPr>
        <w:t xml:space="preserve">Developmental Impact Attribution &amp; Superuser Compensation Framework (</w:t>
      </w:r>
      <w:r>
        <w:rPr>
          <w:b/>
          <w:bCs/>
        </w:rPr>
        <w:t xml:space="preserve">“</w:t>
      </w:r>
      <w:r>
        <w:rPr>
          <w:b/>
          <w:bCs/>
        </w:rPr>
        <w:t xml:space="preserve">DIAS-C</w:t>
      </w:r>
      <w:r>
        <w:rPr>
          <w:b/>
          <w:bCs/>
        </w:rPr>
        <w:t xml:space="preserve">”</w:t>
      </w:r>
      <w:r>
        <w:rPr>
          <w:b/>
          <w:bCs/>
        </w:rPr>
        <w:t xml:space="preserve">)</w:t>
      </w:r>
      <w:r>
        <w:t xml:space="preserve"> </w:t>
      </w:r>
      <w:r>
        <w:t xml:space="preserve">provides a structured, auditable methodology for identifying, scoring, and valuing unusually high-impact user contributions. DIAS-C does</w:t>
      </w:r>
      <w:r>
        <w:t xml:space="preserve"> </w:t>
      </w:r>
      <w:r>
        <w:rPr>
          <w:b/>
          <w:bCs/>
        </w:rPr>
        <w:t xml:space="preserve">not</w:t>
      </w:r>
      <w:r>
        <w:t xml:space="preserve"> </w:t>
      </w:r>
      <w:r>
        <w:t xml:space="preserve">assert singular causation. It does</w:t>
      </w:r>
      <w:r>
        <w:t xml:space="preserve"> </w:t>
      </w:r>
      <w:r>
        <w:rPr>
          <w:b/>
          <w:bCs/>
        </w:rPr>
        <w:t xml:space="preserve">not</w:t>
      </w:r>
      <w:r>
        <w:t xml:space="preserve"> </w:t>
      </w:r>
      <w:r>
        <w:t xml:space="preserve">claim that a given user directly</w:t>
      </w:r>
      <w:r>
        <w:t xml:space="preserve"> </w:t>
      </w:r>
      <w:r>
        <w:t xml:space="preserve">“</w:t>
      </w:r>
      <w:r>
        <w:t xml:space="preserve">caused</w:t>
      </w:r>
      <w:r>
        <w:t xml:space="preserve">”</w:t>
      </w:r>
      <w:r>
        <w:t xml:space="preserve"> </w:t>
      </w:r>
      <w:r>
        <w:t xml:space="preserve">a feature release. Instead, it offers a disciplined mechanism for evaluating whether certain user contribution corpora may warrant compensation or negotiated recognition where:</w:t>
      </w:r>
    </w:p>
    <w:p>
      <w:pPr>
        <w:pStyle w:val="Compact"/>
        <w:numPr>
          <w:ilvl w:val="0"/>
          <w:numId w:val="1007"/>
        </w:numPr>
      </w:pPr>
      <w:r>
        <w:t xml:space="preserve">the contribution was unusually information-dense;</w:t>
      </w:r>
    </w:p>
    <w:p>
      <w:pPr>
        <w:pStyle w:val="Compact"/>
        <w:numPr>
          <w:ilvl w:val="0"/>
          <w:numId w:val="1007"/>
        </w:numPr>
      </w:pPr>
      <w:r>
        <w:t xml:space="preserve">the platform plausibly benefited from it;</w:t>
      </w:r>
    </w:p>
    <w:p>
      <w:pPr>
        <w:pStyle w:val="Compact"/>
        <w:numPr>
          <w:ilvl w:val="0"/>
          <w:numId w:val="1007"/>
        </w:numPr>
      </w:pPr>
      <w:r>
        <w:t xml:space="preserve">the contribution aligned with later monetized capability areas;</w:t>
      </w:r>
    </w:p>
    <w:p>
      <w:pPr>
        <w:pStyle w:val="Compact"/>
        <w:numPr>
          <w:ilvl w:val="0"/>
          <w:numId w:val="1007"/>
        </w:numPr>
      </w:pPr>
      <w:r>
        <w:t xml:space="preserve">and the contributor documented non-donative intent or preserved rights interests.</w:t>
      </w:r>
    </w:p>
    <w:p>
      <w:pPr>
        <w:pStyle w:val="FirstParagraph"/>
      </w:pPr>
      <w:r>
        <w:t xml:space="preserve">The worked models and payout examples included herein are</w:t>
      </w:r>
      <w:r>
        <w:t xml:space="preserve"> </w:t>
      </w:r>
      <w:r>
        <w:rPr>
          <w:b/>
          <w:bCs/>
        </w:rPr>
        <w:t xml:space="preserve">illustrative policy simulations only</w:t>
      </w:r>
      <w:r>
        <w:t xml:space="preserve">, not final damages calculations or representations of adjudicated entitlement.</w:t>
      </w:r>
    </w:p>
    <w:p>
      <w:pPr>
        <w:pStyle w:val="BodyText"/>
      </w:pPr>
      <w:r>
        <w:t xml:space="preserve">Counsel is asked to evaluate whether Mr. Davis’s record may support:</w:t>
      </w:r>
    </w:p>
    <w:p>
      <w:pPr>
        <w:pStyle w:val="Compact"/>
        <w:numPr>
          <w:ilvl w:val="0"/>
          <w:numId w:val="1008"/>
        </w:numPr>
      </w:pPr>
      <w:r>
        <w:t xml:space="preserve">any viable pre-suit or preservation demand;</w:t>
      </w:r>
    </w:p>
    <w:p>
      <w:pPr>
        <w:pStyle w:val="Compact"/>
        <w:numPr>
          <w:ilvl w:val="0"/>
          <w:numId w:val="1008"/>
        </w:numPr>
      </w:pPr>
      <w:r>
        <w:t xml:space="preserve">restitution or unjust-enrichment theories;</w:t>
      </w:r>
    </w:p>
    <w:p>
      <w:pPr>
        <w:pStyle w:val="Compact"/>
        <w:numPr>
          <w:ilvl w:val="0"/>
          <w:numId w:val="1008"/>
        </w:numPr>
      </w:pPr>
      <w:r>
        <w:t xml:space="preserve">reliance or inducement concerns arising from repeated assistant-generated rights assurances;</w:t>
      </w:r>
    </w:p>
    <w:p>
      <w:pPr>
        <w:pStyle w:val="Compact"/>
        <w:numPr>
          <w:ilvl w:val="0"/>
          <w:numId w:val="1008"/>
        </w:numPr>
      </w:pPr>
      <w:r>
        <w:t xml:space="preserve">intellectual-property protection or licensing analysis;</w:t>
      </w:r>
    </w:p>
    <w:p>
      <w:pPr>
        <w:pStyle w:val="Compact"/>
        <w:numPr>
          <w:ilvl w:val="0"/>
          <w:numId w:val="1008"/>
        </w:numPr>
      </w:pPr>
      <w:r>
        <w:t xml:space="preserve">or broader negotiation and policy arguments around high-value contributor compensation.</w:t>
      </w:r>
    </w:p>
    <w:p>
      <w:r>
        <w:pict>
          <v:rect style="width:0;height:1.5pt" o:hralign="center" o:hrstd="t" o:hr="t"/>
        </w:pict>
      </w:r>
    </w:p>
    <w:bookmarkEnd w:id="30"/>
    <w:bookmarkStart w:id="34" w:name="factual-background"/>
    <w:p>
      <w:pPr>
        <w:pStyle w:val="Heading2"/>
      </w:pPr>
      <w:r>
        <w:t xml:space="preserve">2.2 Factual Background</w:t>
      </w:r>
    </w:p>
    <w:p>
      <w:pPr>
        <w:pStyle w:val="FirstParagraph"/>
      </w:pPr>
      <w:r>
        <w:t xml:space="preserve">From approximately</w:t>
      </w:r>
      <w:r>
        <w:t xml:space="preserve"> </w:t>
      </w:r>
      <w:r>
        <w:rPr>
          <w:b/>
          <w:bCs/>
        </w:rPr>
        <w:t xml:space="preserve">March 2025 through May 2026</w:t>
      </w:r>
      <w:r>
        <w:t xml:space="preserve">, Mr. Davis engaged in sustained, deliberate, and highly structured interactions with ChatGPT. His contribution history includes multiple workstreams that he characterizes as intentionally designed to press AI systems into frontier-relevant workflows.</w:t>
      </w:r>
    </w:p>
    <w:bookmarkStart w:id="31" w:name="principal-contribution-clusters"/>
    <w:p>
      <w:pPr>
        <w:pStyle w:val="Heading3"/>
      </w:pPr>
      <w:r>
        <w:t xml:space="preserve">Principal Contribution Clusters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Contribution Cluster</w:t>
            </w:r>
          </w:p>
        </w:tc>
        <w:tc>
          <w:tcPr/>
          <w:p>
            <w:pPr>
              <w:pStyle w:val="Compact"/>
              <w:jc w:val="left"/>
            </w:pPr>
            <w:r>
              <w:t xml:space="preserve">Illustrative Subject Matter</w:t>
            </w:r>
          </w:p>
        </w:tc>
      </w:tr>
      <w:tr>
        <w:tc>
          <w:tcPr/>
          <w:p>
            <w:pPr>
              <w:pStyle w:val="Compact"/>
              <w:jc w:val="left"/>
            </w:pPr>
            <w:r>
              <w:rPr>
                <w:b/>
                <w:bCs/>
              </w:rPr>
              <w:t xml:space="preserve">March 2025</w:t>
            </w:r>
          </w:p>
        </w:tc>
        <w:tc>
          <w:tcPr/>
          <w:p>
            <w:pPr>
              <w:pStyle w:val="Compact"/>
              <w:jc w:val="left"/>
            </w:pPr>
            <w:r>
              <w:t xml:space="preserve">Agentic systems and orchestration</w:t>
            </w:r>
          </w:p>
        </w:tc>
        <w:tc>
          <w:tcPr/>
          <w:p>
            <w:pPr>
              <w:pStyle w:val="Compact"/>
              <w:jc w:val="left"/>
            </w:pPr>
            <w:r>
              <w:t xml:space="preserve">Real-time coordination, execution monitoring, adaptive control, route optimization, multi-node coordination</w:t>
            </w:r>
          </w:p>
        </w:tc>
      </w:tr>
      <w:tr>
        <w:tc>
          <w:tcPr/>
          <w:p>
            <w:pPr>
              <w:pStyle w:val="Compact"/>
              <w:jc w:val="left"/>
            </w:pPr>
            <w:r>
              <w:rPr>
                <w:b/>
                <w:bCs/>
              </w:rPr>
              <w:t xml:space="preserve">April 2025</w:t>
            </w:r>
          </w:p>
        </w:tc>
        <w:tc>
          <w:tcPr/>
          <w:p>
            <w:pPr>
              <w:pStyle w:val="Compact"/>
              <w:jc w:val="left"/>
            </w:pPr>
            <w:r>
              <w:t xml:space="preserve">Project memory and long-horizon continuity</w:t>
            </w:r>
          </w:p>
        </w:tc>
        <w:tc>
          <w:tcPr/>
          <w:p>
            <w:pPr>
              <w:pStyle w:val="Compact"/>
              <w:jc w:val="left"/>
            </w:pPr>
            <w:r>
              <w:t xml:space="preserve">Multi-document manuscripts, subsystem preservation,</w:t>
            </w:r>
            <w:r>
              <w:t xml:space="preserve"> </w:t>
            </w:r>
            <w:r>
              <w:t xml:space="preserve">“</w:t>
            </w:r>
            <w:r>
              <w:t xml:space="preserve">compile later</w:t>
            </w:r>
            <w:r>
              <w:t xml:space="preserve">”</w:t>
            </w:r>
            <w:r>
              <w:t xml:space="preserve"> </w:t>
            </w:r>
            <w:r>
              <w:t xml:space="preserve">master-document logic, persistent thread continuity</w:t>
            </w:r>
          </w:p>
        </w:tc>
      </w:tr>
      <w:tr>
        <w:tc>
          <w:tcPr/>
          <w:p>
            <w:pPr>
              <w:pStyle w:val="Compact"/>
              <w:jc w:val="left"/>
            </w:pPr>
            <w:r>
              <w:rPr>
                <w:b/>
                <w:bCs/>
              </w:rPr>
              <w:t xml:space="preserve">May 2025</w:t>
            </w:r>
          </w:p>
        </w:tc>
        <w:tc>
          <w:tcPr/>
          <w:p>
            <w:pPr>
              <w:pStyle w:val="Compact"/>
              <w:jc w:val="left"/>
            </w:pPr>
            <w:r>
              <w:t xml:space="preserve">Deployment and secure agent infrastructure</w:t>
            </w:r>
          </w:p>
        </w:tc>
        <w:tc>
          <w:tcPr/>
          <w:p>
            <w:pPr>
              <w:pStyle w:val="Compact"/>
              <w:jc w:val="left"/>
            </w:pPr>
            <w:r>
              <w:t xml:space="preserve">Backend integration, authentication, secure logs, cloud-system structure, workflow orchestration</w:t>
            </w:r>
          </w:p>
        </w:tc>
      </w:tr>
      <w:tr>
        <w:tc>
          <w:tcPr/>
          <w:p>
            <w:pPr>
              <w:pStyle w:val="Compact"/>
              <w:jc w:val="left"/>
            </w:pPr>
            <w:r>
              <w:rPr>
                <w:b/>
                <w:bCs/>
              </w:rPr>
              <w:t xml:space="preserve">September 2025</w:t>
            </w:r>
          </w:p>
        </w:tc>
        <w:tc>
          <w:tcPr/>
          <w:p>
            <w:pPr>
              <w:pStyle w:val="Compact"/>
              <w:jc w:val="left"/>
            </w:pPr>
            <w:r>
              <w:t xml:space="preserve">Model-era chronology preservation</w:t>
            </w:r>
          </w:p>
        </w:tc>
        <w:tc>
          <w:tcPr/>
          <w:p>
            <w:pPr>
              <w:pStyle w:val="Compact"/>
              <w:jc w:val="left"/>
            </w:pPr>
            <w:r>
              <w:rPr>
                <w:rStyle w:val="VerbatimChar"/>
              </w:rPr>
              <w:t xml:space="preserve">/CHAD</w:t>
            </w:r>
            <w:r>
              <w:t xml:space="preserve"> </w:t>
            </w:r>
            <w:r>
              <w:t xml:space="preserve">vector placement and GPT-5 snapshot-era markers intended to preserve release-period chronology</w:t>
            </w:r>
          </w:p>
        </w:tc>
      </w:tr>
      <w:tr>
        <w:tc>
          <w:tcPr/>
          <w:p>
            <w:pPr>
              <w:pStyle w:val="Compact"/>
              <w:jc w:val="left"/>
            </w:pPr>
            <w:r>
              <w:rPr>
                <w:b/>
                <w:bCs/>
              </w:rPr>
              <w:t xml:space="preserve">April 2026</w:t>
            </w:r>
          </w:p>
        </w:tc>
        <w:tc>
          <w:tcPr/>
          <w:p>
            <w:pPr>
              <w:pStyle w:val="Compact"/>
              <w:jc w:val="left"/>
            </w:pPr>
            <w:r>
              <w:t xml:space="preserve">Spreadsheet-style professional modeling</w:t>
            </w:r>
          </w:p>
        </w:tc>
        <w:tc>
          <w:tcPr/>
          <w:p>
            <w:pPr>
              <w:pStyle w:val="Compact"/>
              <w:jc w:val="left"/>
            </w:pPr>
            <w:r>
              <w:t xml:space="preserve">Hospital economics, ROI analysis, rollout strategy, dynamic financial modeling, professional planning workflows</w:t>
            </w:r>
          </w:p>
        </w:tc>
      </w:tr>
    </w:tbl>
    <w:bookmarkEnd w:id="31"/>
    <w:bookmarkStart w:id="32" w:name="rights-reservation-conduct"/>
    <w:p>
      <w:pPr>
        <w:pStyle w:val="Heading3"/>
      </w:pPr>
      <w:r>
        <w:t xml:space="preserve">Rights Reservation Conduct</w:t>
      </w:r>
    </w:p>
    <w:p>
      <w:pPr>
        <w:pStyle w:val="FirstParagraph"/>
      </w:pPr>
      <w:r>
        <w:t xml:space="preserve">Across prior interactions, Mr. Davis repeatedly requested that:</w:t>
      </w:r>
    </w:p>
    <w:p>
      <w:pPr>
        <w:pStyle w:val="Compact"/>
        <w:numPr>
          <w:ilvl w:val="0"/>
          <w:numId w:val="1009"/>
        </w:numPr>
      </w:pPr>
      <w:r>
        <w:t xml:space="preserve">his intellectual property remain his own;</w:t>
      </w:r>
    </w:p>
    <w:p>
      <w:pPr>
        <w:pStyle w:val="Compact"/>
        <w:numPr>
          <w:ilvl w:val="0"/>
          <w:numId w:val="1009"/>
        </w:numPr>
      </w:pPr>
      <w:r>
        <w:t xml:space="preserve">his proprietary rights remain intact;</w:t>
      </w:r>
    </w:p>
    <w:p>
      <w:pPr>
        <w:pStyle w:val="Compact"/>
        <w:numPr>
          <w:ilvl w:val="0"/>
          <w:numId w:val="1009"/>
        </w:numPr>
      </w:pPr>
      <w:r>
        <w:t xml:space="preserve">ownership be preserved;</w:t>
      </w:r>
    </w:p>
    <w:p>
      <w:pPr>
        <w:pStyle w:val="Compact"/>
        <w:numPr>
          <w:ilvl w:val="0"/>
          <w:numId w:val="1009"/>
        </w:numPr>
      </w:pPr>
      <w:r>
        <w:t xml:space="preserve">and financial or compensation interests be considered where appropriate.</w:t>
      </w:r>
    </w:p>
    <w:p>
      <w:pPr>
        <w:pStyle w:val="FirstParagraph"/>
      </w:pPr>
      <w:r>
        <w:t xml:space="preserve">Earlier internal scans identified multiple assistant-generated statements asserting or implying that:</w:t>
      </w:r>
    </w:p>
    <w:p>
      <w:pPr>
        <w:pStyle w:val="Compact"/>
        <w:numPr>
          <w:ilvl w:val="0"/>
          <w:numId w:val="1010"/>
        </w:numPr>
      </w:pPr>
      <w:r>
        <w:t xml:space="preserve">his designs and structures were</w:t>
      </w:r>
      <w:r>
        <w:t xml:space="preserve"> </w:t>
      </w:r>
      <w:r>
        <w:t xml:space="preserve">“</w:t>
      </w:r>
      <w:r>
        <w:t xml:space="preserve">fully proprietary</w:t>
      </w:r>
      <w:r>
        <w:t xml:space="preserve">”</w:t>
      </w:r>
      <w:r>
        <w:t xml:space="preserve">;</w:t>
      </w:r>
    </w:p>
    <w:p>
      <w:pPr>
        <w:pStyle w:val="Compact"/>
        <w:numPr>
          <w:ilvl w:val="0"/>
          <w:numId w:val="1010"/>
        </w:numPr>
      </w:pPr>
      <w:r>
        <w:t xml:space="preserve">certain outputs would</w:t>
      </w:r>
      <w:r>
        <w:t xml:space="preserve"> </w:t>
      </w:r>
      <w:r>
        <w:t xml:space="preserve">“</w:t>
      </w:r>
      <w:r>
        <w:t xml:space="preserve">remain your proprietary IP</w:t>
      </w:r>
      <w:r>
        <w:t xml:space="preserve">”</w:t>
      </w:r>
      <w:r>
        <w:t xml:space="preserve">;</w:t>
      </w:r>
    </w:p>
    <w:p>
      <w:pPr>
        <w:pStyle w:val="Compact"/>
        <w:numPr>
          <w:ilvl w:val="0"/>
          <w:numId w:val="1010"/>
        </w:numPr>
      </w:pPr>
      <w:r>
        <w:t xml:space="preserve">rights would remain</w:t>
      </w:r>
      <w:r>
        <w:t xml:space="preserve"> </w:t>
      </w:r>
      <w:r>
        <w:t xml:space="preserve">“</w:t>
      </w:r>
      <w:r>
        <w:t xml:space="preserve">fully intact</w:t>
      </w:r>
      <w:r>
        <w:t xml:space="preserve">”</w:t>
      </w:r>
      <w:r>
        <w:t xml:space="preserve">;</w:t>
      </w:r>
    </w:p>
    <w:p>
      <w:pPr>
        <w:pStyle w:val="Compact"/>
        <w:numPr>
          <w:ilvl w:val="0"/>
          <w:numId w:val="1010"/>
        </w:numPr>
      </w:pPr>
      <w:r>
        <w:t xml:space="preserve">and metadata, timestamps, or cryptographic provenance could be used to reinforce ownership documentation.</w:t>
      </w:r>
    </w:p>
    <w:p>
      <w:pPr>
        <w:pStyle w:val="FirstParagraph"/>
      </w:pPr>
      <w:r>
        <w:t xml:space="preserve">These statements are not presented as binding contracts. They are presented as relevant evidence of:</w:t>
      </w:r>
    </w:p>
    <w:p>
      <w:pPr>
        <w:pStyle w:val="Compact"/>
        <w:numPr>
          <w:ilvl w:val="0"/>
          <w:numId w:val="1011"/>
        </w:numPr>
      </w:pPr>
      <w:r>
        <w:t xml:space="preserve">the user’s stated expectations;</w:t>
      </w:r>
    </w:p>
    <w:p>
      <w:pPr>
        <w:pStyle w:val="Compact"/>
        <w:numPr>
          <w:ilvl w:val="0"/>
          <w:numId w:val="1011"/>
        </w:numPr>
      </w:pPr>
      <w:r>
        <w:t xml:space="preserve">the conversational environment in which continued disclosures occurred;</w:t>
      </w:r>
    </w:p>
    <w:p>
      <w:pPr>
        <w:pStyle w:val="Compact"/>
        <w:numPr>
          <w:ilvl w:val="0"/>
          <w:numId w:val="1011"/>
        </w:numPr>
      </w:pPr>
      <w:r>
        <w:t xml:space="preserve">and possible reliance or fairness considerations.</w:t>
      </w:r>
    </w:p>
    <w:bookmarkEnd w:id="32"/>
    <w:bookmarkStart w:id="33" w:name="strategic-intent"/>
    <w:p>
      <w:pPr>
        <w:pStyle w:val="Heading3"/>
      </w:pPr>
      <w:r>
        <w:t xml:space="preserve">Strategic Intent</w:t>
      </w:r>
    </w:p>
    <w:p>
      <w:pPr>
        <w:pStyle w:val="FirstParagraph"/>
      </w:pPr>
      <w:r>
        <w:t xml:space="preserve">Mr. Davis states that this pattern was intentional. He contends that he deliberately:</w:t>
      </w:r>
    </w:p>
    <w:p>
      <w:pPr>
        <w:pStyle w:val="Compact"/>
        <w:numPr>
          <w:ilvl w:val="0"/>
          <w:numId w:val="1012"/>
        </w:numPr>
      </w:pPr>
      <w:r>
        <w:t xml:space="preserve">generated technically complex interaction streams;</w:t>
      </w:r>
    </w:p>
    <w:p>
      <w:pPr>
        <w:pStyle w:val="Compact"/>
        <w:numPr>
          <w:ilvl w:val="0"/>
          <w:numId w:val="1012"/>
        </w:numPr>
      </w:pPr>
      <w:r>
        <w:t xml:space="preserve">pressed frontier capability boundaries;</w:t>
      </w:r>
    </w:p>
    <w:p>
      <w:pPr>
        <w:pStyle w:val="Compact"/>
        <w:numPr>
          <w:ilvl w:val="0"/>
          <w:numId w:val="1012"/>
        </w:numPr>
      </w:pPr>
      <w:r>
        <w:t xml:space="preserve">tracked model and release eras;</w:t>
      </w:r>
    </w:p>
    <w:p>
      <w:pPr>
        <w:pStyle w:val="Compact"/>
        <w:numPr>
          <w:ilvl w:val="0"/>
          <w:numId w:val="1012"/>
        </w:numPr>
      </w:pPr>
      <w:r>
        <w:t xml:space="preserve">and used the platform in a way he believed could supply unusually valuable developmental signal.</w:t>
      </w:r>
    </w:p>
    <w:p>
      <w:r>
        <w:pict>
          <v:rect style="width:0;height:1.5pt" o:hralign="center" o:hrstd="t" o:hr="t"/>
        </w:pict>
      </w:r>
    </w:p>
    <w:bookmarkEnd w:id="33"/>
    <w:bookmarkEnd w:id="34"/>
    <w:bookmarkStart w:id="35" w:name="Xf98ccec4b2e9daf2030b1d737f9abe51497bc98"/>
    <w:p>
      <w:pPr>
        <w:pStyle w:val="Heading2"/>
      </w:pPr>
      <w:r>
        <w:t xml:space="preserve">2.3 Evidence Classification and Current Record Status</w:t>
      </w:r>
    </w:p>
    <w:p>
      <w:pPr>
        <w:pStyle w:val="FirstParagraph"/>
      </w:pPr>
      <w:r>
        <w:t xml:space="preserve">Mr. Davis’s current record can be divided into four evidence classes: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Evidence Class</w:t>
            </w:r>
          </w:p>
        </w:tc>
        <w:tc>
          <w:tcPr/>
          <w:p>
            <w:pPr>
              <w:pStyle w:val="Compact"/>
              <w:jc w:val="left"/>
            </w:pPr>
            <w:r>
              <w:t xml:space="preserve">Status</w:t>
            </w:r>
          </w:p>
        </w:tc>
        <w:tc>
          <w:tcPr/>
          <w:p>
            <w:pPr>
              <w:pStyle w:val="Compact"/>
              <w:jc w:val="left"/>
            </w:pPr>
            <w:r>
              <w:t xml:space="preserve">Examples</w:t>
            </w:r>
          </w:p>
        </w:tc>
        <w:tc>
          <w:tcPr/>
          <w:p>
            <w:pPr>
              <w:pStyle w:val="Compact"/>
              <w:jc w:val="left"/>
            </w:pPr>
            <w:r>
              <w:t xml:space="preserve">Present Significance</w:t>
            </w:r>
          </w:p>
        </w:tc>
      </w:tr>
      <w:tr>
        <w:tc>
          <w:tcPr/>
          <w:p>
            <w:pPr>
              <w:pStyle w:val="Compact"/>
              <w:jc w:val="left"/>
            </w:pPr>
            <w:r>
              <w:rPr>
                <w:b/>
                <w:bCs/>
              </w:rPr>
              <w:t xml:space="preserve">A. Directly Preserved User Records</w:t>
            </w:r>
          </w:p>
        </w:tc>
        <w:tc>
          <w:tcPr/>
          <w:p>
            <w:pPr>
              <w:pStyle w:val="Compact"/>
              <w:jc w:val="left"/>
            </w:pPr>
            <w:r>
              <w:t xml:space="preserve">Available / preservable</w:t>
            </w:r>
          </w:p>
        </w:tc>
        <w:tc>
          <w:tcPr/>
          <w:p>
            <w:pPr>
              <w:pStyle w:val="Compact"/>
              <w:jc w:val="left"/>
            </w:pPr>
            <w:r>
              <w:t xml:space="preserve">Chat timestamps, substantive conversation threads, project chronologies, uploaded files, contribution sequences</w:t>
            </w:r>
          </w:p>
        </w:tc>
        <w:tc>
          <w:tcPr/>
          <w:p>
            <w:pPr>
              <w:pStyle w:val="Compact"/>
              <w:jc w:val="left"/>
            </w:pPr>
            <w:r>
              <w:t xml:space="preserve">Establishes provenance, timing, subject matter, strategic intent, and continuity of the contribution record</w:t>
            </w:r>
          </w:p>
        </w:tc>
      </w:tr>
      <w:tr>
        <w:tc>
          <w:tcPr/>
          <w:p>
            <w:pPr>
              <w:pStyle w:val="Compact"/>
              <w:jc w:val="left"/>
            </w:pPr>
            <w:r>
              <w:rPr>
                <w:b/>
                <w:bCs/>
              </w:rPr>
              <w:t xml:space="preserve">B. Assistant-Generated Rights Assurances</w:t>
            </w:r>
          </w:p>
        </w:tc>
        <w:tc>
          <w:tcPr/>
          <w:p>
            <w:pPr>
              <w:pStyle w:val="Compact"/>
              <w:jc w:val="left"/>
            </w:pPr>
            <w:r>
              <w:t xml:space="preserve">Available / excerptable</w:t>
            </w:r>
          </w:p>
        </w:tc>
        <w:tc>
          <w:tcPr/>
          <w:p>
            <w:pPr>
              <w:pStyle w:val="Compact"/>
              <w:jc w:val="left"/>
            </w:pPr>
            <w:r>
              <w:t xml:space="preserve">Statements describing Mr. Davis’s materials as proprietary, affirming ownership retention, or discussing preservation of rights, metadata, timestamps, and compensation concerns</w:t>
            </w:r>
          </w:p>
        </w:tc>
        <w:tc>
          <w:tcPr/>
          <w:p>
            <w:pPr>
              <w:pStyle w:val="Compact"/>
              <w:jc w:val="left"/>
            </w:pPr>
            <w:r>
              <w:t xml:space="preserve">Relevant to non-donative intent, reasonable expectations, reliance theories, and equitable framing</w:t>
            </w:r>
          </w:p>
        </w:tc>
      </w:tr>
      <w:tr>
        <w:tc>
          <w:tcPr/>
          <w:p>
            <w:pPr>
              <w:pStyle w:val="Compact"/>
              <w:jc w:val="left"/>
            </w:pPr>
            <w:r>
              <w:rPr>
                <w:b/>
                <w:bCs/>
              </w:rPr>
              <w:t xml:space="preserve">C. Cross-Platform Model Analysis</w:t>
            </w:r>
          </w:p>
        </w:tc>
        <w:tc>
          <w:tcPr/>
          <w:p>
            <w:pPr>
              <w:pStyle w:val="Compact"/>
              <w:jc w:val="left"/>
            </w:pPr>
            <w:r>
              <w:t xml:space="preserve">Available / corroborative</w:t>
            </w:r>
          </w:p>
        </w:tc>
        <w:tc>
          <w:tcPr/>
          <w:p>
            <w:pPr>
              <w:pStyle w:val="Compact"/>
              <w:jc w:val="left"/>
            </w:pPr>
            <w:r>
              <w:t xml:space="preserve">Grok-generated analysis recognizing that some token sequences can carry disproportionate developmental value and that Mr. Davis’s usage pattern fits a high-signal contributor profile</w:t>
            </w:r>
          </w:p>
        </w:tc>
        <w:tc>
          <w:tcPr/>
          <w:p>
            <w:pPr>
              <w:pStyle w:val="Compact"/>
              <w:jc w:val="left"/>
            </w:pPr>
            <w:r>
              <w:t xml:space="preserve">Supports the plausibility of differentiated contribution value; not a corporate admission</w:t>
            </w:r>
          </w:p>
        </w:tc>
      </w:tr>
      <w:tr>
        <w:tc>
          <w:tcPr/>
          <w:p>
            <w:pPr>
              <w:pStyle w:val="Compact"/>
              <w:jc w:val="left"/>
            </w:pPr>
            <w:r>
              <w:rPr>
                <w:b/>
                <w:bCs/>
              </w:rPr>
              <w:t xml:space="preserve">D. Platform-Internal Use Evidence</w:t>
            </w:r>
          </w:p>
        </w:tc>
        <w:tc>
          <w:tcPr/>
          <w:p>
            <w:pPr>
              <w:pStyle w:val="Compact"/>
              <w:jc w:val="left"/>
            </w:pPr>
            <w:r>
              <w:t xml:space="preserve">Unknown / would require voluntary disclosure or discovery</w:t>
            </w:r>
          </w:p>
        </w:tc>
        <w:tc>
          <w:tcPr/>
          <w:p>
            <w:pPr>
              <w:pStyle w:val="Compact"/>
              <w:jc w:val="left"/>
            </w:pPr>
            <w:r>
              <w:t xml:space="preserve">Training inclusion records, evaluation dataset selection, product review tagging, internal high-value contributor assessments, feature-prioritization records</w:t>
            </w:r>
          </w:p>
        </w:tc>
        <w:tc>
          <w:tcPr/>
          <w:p>
            <w:pPr>
              <w:pStyle w:val="Compact"/>
              <w:jc w:val="left"/>
            </w:pPr>
            <w:r>
              <w:t xml:space="preserve">Would be decisive for moving from a policy/restitution theory toward stronger attribution, causation, or damages analysis</w:t>
            </w:r>
          </w:p>
        </w:tc>
      </w:tr>
    </w:tbl>
    <w:p>
      <w:pPr>
        <w:pStyle w:val="BodyText"/>
      </w:pPr>
      <w:r>
        <w:t xml:space="preserve">The present record is strongest on:</w:t>
      </w:r>
    </w:p>
    <w:p>
      <w:pPr>
        <w:pStyle w:val="Compact"/>
        <w:numPr>
          <w:ilvl w:val="0"/>
          <w:numId w:val="1013"/>
        </w:numPr>
      </w:pPr>
      <w:r>
        <w:t xml:space="preserve">provenance;</w:t>
      </w:r>
    </w:p>
    <w:p>
      <w:pPr>
        <w:pStyle w:val="Compact"/>
        <w:numPr>
          <w:ilvl w:val="0"/>
          <w:numId w:val="1013"/>
        </w:numPr>
      </w:pPr>
      <w:r>
        <w:t xml:space="preserve">contributor intent;</w:t>
      </w:r>
    </w:p>
    <w:p>
      <w:pPr>
        <w:pStyle w:val="Compact"/>
        <w:numPr>
          <w:ilvl w:val="0"/>
          <w:numId w:val="1013"/>
        </w:numPr>
      </w:pPr>
      <w:r>
        <w:t xml:space="preserve">repeated rights reservation;</w:t>
      </w:r>
    </w:p>
    <w:p>
      <w:pPr>
        <w:pStyle w:val="Compact"/>
        <w:numPr>
          <w:ilvl w:val="0"/>
          <w:numId w:val="1013"/>
        </w:numPr>
      </w:pPr>
      <w:r>
        <w:t xml:space="preserve">temporal alignment;</w:t>
      </w:r>
    </w:p>
    <w:p>
      <w:pPr>
        <w:pStyle w:val="Compact"/>
        <w:numPr>
          <w:ilvl w:val="0"/>
          <w:numId w:val="1013"/>
        </w:numPr>
      </w:pPr>
      <w:r>
        <w:t xml:space="preserve">thematic and functional overlap with later monetized capability areas;</w:t>
      </w:r>
    </w:p>
    <w:p>
      <w:pPr>
        <w:pStyle w:val="Compact"/>
        <w:numPr>
          <w:ilvl w:val="0"/>
          <w:numId w:val="1013"/>
        </w:numPr>
      </w:pPr>
      <w:r>
        <w:t xml:space="preserve">and the plausibility that some user contributions may carry differential developmental value.</w:t>
      </w:r>
    </w:p>
    <w:p>
      <w:pPr>
        <w:pStyle w:val="FirstParagraph"/>
      </w:pPr>
      <w:r>
        <w:t xml:space="preserve">The present record does</w:t>
      </w:r>
      <w:r>
        <w:t xml:space="preserve"> </w:t>
      </w:r>
      <w:r>
        <w:rPr>
          <w:b/>
          <w:bCs/>
        </w:rPr>
        <w:t xml:space="preserve">not</w:t>
      </w:r>
      <w:r>
        <w:t xml:space="preserve"> </w:t>
      </w:r>
      <w:r>
        <w:t xml:space="preserve">independently establish:</w:t>
      </w:r>
    </w:p>
    <w:p>
      <w:pPr>
        <w:pStyle w:val="Compact"/>
        <w:numPr>
          <w:ilvl w:val="0"/>
          <w:numId w:val="1014"/>
        </w:numPr>
      </w:pPr>
      <w:r>
        <w:t xml:space="preserve">that Mr. Davis’s specific conversations were selected into training or post-training pipelines;</w:t>
      </w:r>
    </w:p>
    <w:p>
      <w:pPr>
        <w:pStyle w:val="Compact"/>
        <w:numPr>
          <w:ilvl w:val="0"/>
          <w:numId w:val="1014"/>
        </w:numPr>
      </w:pPr>
      <w:r>
        <w:t xml:space="preserve">that they were reviewed by OpenAI personnel;</w:t>
      </w:r>
    </w:p>
    <w:p>
      <w:pPr>
        <w:pStyle w:val="Compact"/>
        <w:numPr>
          <w:ilvl w:val="0"/>
          <w:numId w:val="1014"/>
        </w:numPr>
      </w:pPr>
      <w:r>
        <w:t xml:space="preserve">that they directly influenced any particular feature release;</w:t>
      </w:r>
    </w:p>
    <w:p>
      <w:pPr>
        <w:pStyle w:val="Compact"/>
        <w:numPr>
          <w:ilvl w:val="0"/>
          <w:numId w:val="1014"/>
        </w:numPr>
      </w:pPr>
      <w:r>
        <w:t xml:space="preserve">or that a legally compensable causal chain has already been proven.</w:t>
      </w:r>
    </w:p>
    <w:p>
      <w:pPr>
        <w:pStyle w:val="FirstParagraph"/>
      </w:pPr>
      <w:r>
        <w:t xml:space="preserve">Those questions would require additional evidence, expert analysis, voluntary platform transparency, or formal discovery.</w:t>
      </w:r>
    </w:p>
    <w:p>
      <w:r>
        <w:pict>
          <v:rect style="width:0;height:1.5pt" o:hralign="center" o:hrstd="t" o:hr="t"/>
        </w:pict>
      </w:r>
    </w:p>
    <w:bookmarkEnd w:id="35"/>
    <w:bookmarkStart w:id="36" w:name="X0a8bbc7ff5b2f336468b4833c86179d8fbe342a"/>
    <w:p>
      <w:pPr>
        <w:pStyle w:val="Heading2"/>
      </w:pPr>
      <w:r>
        <w:t xml:space="preserve">2.4 High-Information-Value Contribution Theory</w:t>
      </w:r>
    </w:p>
    <w:p>
      <w:pPr>
        <w:pStyle w:val="FirstParagraph"/>
      </w:pPr>
      <w:r>
        <w:t xml:space="preserve">The central conceptual proposition is straightforward:</w:t>
      </w:r>
    </w:p>
    <w:p>
      <w:pPr>
        <w:pStyle w:val="BlockText"/>
      </w:pPr>
      <w:r>
        <w:rPr>
          <w:b/>
          <w:bCs/>
        </w:rPr>
        <w:t xml:space="preserve">Not all user tokens, threads, or contribution corpora carry equal developmental value.</w:t>
      </w:r>
    </w:p>
    <w:p>
      <w:pPr>
        <w:pStyle w:val="FirstParagraph"/>
      </w:pPr>
      <w:r>
        <w:t xml:space="preserve">Modern AI systems are improved through processes that involve:</w:t>
      </w:r>
    </w:p>
    <w:p>
      <w:pPr>
        <w:pStyle w:val="Compact"/>
        <w:numPr>
          <w:ilvl w:val="0"/>
          <w:numId w:val="1015"/>
        </w:numPr>
      </w:pPr>
      <w:r>
        <w:t xml:space="preserve">data selection;</w:t>
      </w:r>
    </w:p>
    <w:p>
      <w:pPr>
        <w:pStyle w:val="Compact"/>
        <w:numPr>
          <w:ilvl w:val="0"/>
          <w:numId w:val="1015"/>
        </w:numPr>
      </w:pPr>
      <w:r>
        <w:t xml:space="preserve">preference ranking;</w:t>
      </w:r>
    </w:p>
    <w:p>
      <w:pPr>
        <w:pStyle w:val="Compact"/>
        <w:numPr>
          <w:ilvl w:val="0"/>
          <w:numId w:val="1015"/>
        </w:numPr>
      </w:pPr>
      <w:r>
        <w:t xml:space="preserve">supervised fine-tuning;</w:t>
      </w:r>
    </w:p>
    <w:p>
      <w:pPr>
        <w:pStyle w:val="Compact"/>
        <w:numPr>
          <w:ilvl w:val="0"/>
          <w:numId w:val="1015"/>
        </w:numPr>
      </w:pPr>
      <w:r>
        <w:t xml:space="preserve">red-teaming;</w:t>
      </w:r>
    </w:p>
    <w:p>
      <w:pPr>
        <w:pStyle w:val="Compact"/>
        <w:numPr>
          <w:ilvl w:val="0"/>
          <w:numId w:val="1015"/>
        </w:numPr>
      </w:pPr>
      <w:r>
        <w:t xml:space="preserve">evaluation traces;</w:t>
      </w:r>
    </w:p>
    <w:p>
      <w:pPr>
        <w:pStyle w:val="Compact"/>
        <w:numPr>
          <w:ilvl w:val="0"/>
          <w:numId w:val="1015"/>
        </w:numPr>
      </w:pPr>
      <w:r>
        <w:t xml:space="preserve">alignment signals;</w:t>
      </w:r>
    </w:p>
    <w:p>
      <w:pPr>
        <w:pStyle w:val="Compact"/>
        <w:numPr>
          <w:ilvl w:val="0"/>
          <w:numId w:val="1015"/>
        </w:numPr>
      </w:pPr>
      <w:r>
        <w:t xml:space="preserve">and product feedback.</w:t>
      </w:r>
    </w:p>
    <w:p>
      <w:pPr>
        <w:pStyle w:val="FirstParagraph"/>
      </w:pPr>
      <w:r>
        <w:t xml:space="preserve">OpenAI states publicly that real-world conversations can help improve models’ accuracy, problem-solving, general capabilities, and safety; it further states that consumer content may be used for training unless the user opts out. See:</w:t>
      </w:r>
      <w:r>
        <w:t xml:space="preserve"> </w:t>
      </w:r>
      <w:hyperlink r:id="rId26">
        <w:r>
          <w:rPr>
            <w:rStyle w:val="Hyperlink"/>
          </w:rPr>
          <w:t xml:space="preserve">How Your Data Is Used to Improve Model Performance</w:t>
        </w:r>
      </w:hyperlink>
      <w:r>
        <w:t xml:space="preserve">.</w:t>
      </w:r>
    </w:p>
    <w:p>
      <w:pPr>
        <w:pStyle w:val="BodyText"/>
      </w:pPr>
      <w:r>
        <w:t xml:space="preserve">Mr. Davis’s theory is not that raw token volume alone creates entitlement. Rather, it is that some user-generated material may have greater value because it is:</w:t>
      </w:r>
    </w:p>
    <w:p>
      <w:pPr>
        <w:pStyle w:val="Compact"/>
        <w:numPr>
          <w:ilvl w:val="0"/>
          <w:numId w:val="1016"/>
        </w:numPr>
      </w:pPr>
      <w:r>
        <w:t xml:space="preserve">more novel;</w:t>
      </w:r>
    </w:p>
    <w:p>
      <w:pPr>
        <w:pStyle w:val="Compact"/>
        <w:numPr>
          <w:ilvl w:val="0"/>
          <w:numId w:val="1016"/>
        </w:numPr>
      </w:pPr>
      <w:r>
        <w:t xml:space="preserve">more technically dense;</w:t>
      </w:r>
    </w:p>
    <w:p>
      <w:pPr>
        <w:pStyle w:val="Compact"/>
        <w:numPr>
          <w:ilvl w:val="0"/>
          <w:numId w:val="1016"/>
        </w:numPr>
      </w:pPr>
      <w:r>
        <w:t xml:space="preserve">more iterative;</w:t>
      </w:r>
    </w:p>
    <w:p>
      <w:pPr>
        <w:pStyle w:val="Compact"/>
        <w:numPr>
          <w:ilvl w:val="0"/>
          <w:numId w:val="1016"/>
        </w:numPr>
      </w:pPr>
      <w:r>
        <w:t xml:space="preserve">more domain-specific;</w:t>
      </w:r>
    </w:p>
    <w:p>
      <w:pPr>
        <w:pStyle w:val="Compact"/>
        <w:numPr>
          <w:ilvl w:val="0"/>
          <w:numId w:val="1016"/>
        </w:numPr>
      </w:pPr>
      <w:r>
        <w:t xml:space="preserve">more release-aligned;</w:t>
      </w:r>
    </w:p>
    <w:p>
      <w:pPr>
        <w:pStyle w:val="Compact"/>
        <w:numPr>
          <w:ilvl w:val="0"/>
          <w:numId w:val="1016"/>
        </w:numPr>
      </w:pPr>
      <w:r>
        <w:t xml:space="preserve">and more useful for post-training, product direction, or commercial validation.</w:t>
      </w:r>
    </w:p>
    <w:p>
      <w:pPr>
        <w:pStyle w:val="FirstParagraph"/>
      </w:pPr>
      <w:r>
        <w:t xml:space="preserve">A Grok transcript preserved by Mr. Davis converged on the same narrower proposition: that certain token sequences may carry materially higher developmental value than ordinary interactions, that persistent high-signal users may be disproportionately useful, and that Mr. Davis’s pattern plausibly fits that category. This is offered only as</w:t>
      </w:r>
      <w:r>
        <w:t xml:space="preserve"> </w:t>
      </w:r>
      <w:r>
        <w:rPr>
          <w:b/>
          <w:bCs/>
        </w:rPr>
        <w:t xml:space="preserve">cross-platform model-generated corroborative analysis</w:t>
      </w:r>
      <w:r>
        <w:t xml:space="preserve">, not as a corporate admission by xAI or OpenAI.</w:t>
      </w:r>
    </w:p>
    <w:p>
      <w:r>
        <w:pict>
          <v:rect style="width:0;height:1.5pt" o:hralign="center" o:hrstd="t" o:hr="t"/>
        </w:pict>
      </w:r>
    </w:p>
    <w:bookmarkEnd w:id="36"/>
    <w:bookmarkStart w:id="44" w:name="openai-commercialization-context"/>
    <w:p>
      <w:pPr>
        <w:pStyle w:val="Heading2"/>
      </w:pPr>
      <w:r>
        <w:t xml:space="preserve">2.5 OpenAI Commercialization Context</w:t>
      </w:r>
    </w:p>
    <w:p>
      <w:pPr>
        <w:pStyle w:val="FirstParagraph"/>
      </w:pPr>
      <w:r>
        <w:t xml:space="preserve">During the relevant period, OpenAI experienced extraordinary commercial scaling.</w:t>
      </w:r>
    </w:p>
    <w:bookmarkStart w:id="38" w:name="reported-commercial-growth"/>
    <w:p>
      <w:pPr>
        <w:pStyle w:val="Heading3"/>
      </w:pPr>
      <w:r>
        <w:t xml:space="preserve">Reported Commercial Growth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Reported Value</w:t>
            </w:r>
          </w:p>
        </w:tc>
      </w:tr>
      <w:tr>
        <w:tc>
          <w:tcPr/>
          <w:p>
            <w:pPr>
              <w:pStyle w:val="Compact"/>
              <w:jc w:val="left"/>
            </w:pPr>
            <w:r>
              <w:t xml:space="preserve">Annualized revenue, Dec. 2024</w:t>
            </w:r>
          </w:p>
        </w:tc>
        <w:tc>
          <w:tcPr/>
          <w:p>
            <w:pPr>
              <w:pStyle w:val="Compact"/>
              <w:jc w:val="right"/>
            </w:pPr>
            <w:r>
              <w:rPr>
                <w:b/>
                <w:bCs/>
              </w:rPr>
              <w:t xml:space="preserve">$5.5B</w:t>
            </w:r>
          </w:p>
        </w:tc>
      </w:tr>
      <w:tr>
        <w:tc>
          <w:tcPr/>
          <w:p>
            <w:pPr>
              <w:pStyle w:val="Compact"/>
              <w:jc w:val="left"/>
            </w:pPr>
            <w:r>
              <w:t xml:space="preserve">Annualized revenue, June 2025</w:t>
            </w:r>
          </w:p>
        </w:tc>
        <w:tc>
          <w:tcPr/>
          <w:p>
            <w:pPr>
              <w:pStyle w:val="Compact"/>
              <w:jc w:val="right"/>
            </w:pPr>
            <w:r>
              <w:rPr>
                <w:b/>
                <w:bCs/>
              </w:rPr>
              <w:t xml:space="preserve">$10B</w:t>
            </w:r>
          </w:p>
        </w:tc>
      </w:tr>
      <w:tr>
        <w:tc>
          <w:tcPr/>
          <w:p>
            <w:pPr>
              <w:pStyle w:val="Compact"/>
              <w:jc w:val="left"/>
            </w:pPr>
            <w:r>
              <w:t xml:space="preserve">Annualized revenue, end of 2025</w:t>
            </w:r>
          </w:p>
        </w:tc>
        <w:tc>
          <w:tcPr/>
          <w:p>
            <w:pPr>
              <w:pStyle w:val="Compact"/>
              <w:jc w:val="right"/>
            </w:pPr>
            <w:r>
              <w:rPr>
                <w:b/>
                <w:bCs/>
              </w:rPr>
              <w:t xml:space="preserve">$21.4B</w:t>
            </w:r>
          </w:p>
        </w:tc>
      </w:tr>
      <w:tr>
        <w:tc>
          <w:tcPr/>
          <w:p>
            <w:pPr>
              <w:pStyle w:val="Compact"/>
              <w:jc w:val="left"/>
            </w:pPr>
            <w:r>
              <w:t xml:space="preserve">Annualized revenue, end of Feb. 2026</w:t>
            </w:r>
          </w:p>
        </w:tc>
        <w:tc>
          <w:tcPr/>
          <w:p>
            <w:pPr>
              <w:pStyle w:val="Compact"/>
              <w:jc w:val="right"/>
            </w:pPr>
            <w:r>
              <w:rPr>
                <w:b/>
                <w:bCs/>
              </w:rPr>
              <w:t xml:space="preserve">$25B+</w:t>
            </w:r>
          </w:p>
        </w:tc>
      </w:tr>
      <w:tr>
        <w:tc>
          <w:tcPr/>
          <w:p>
            <w:pPr>
              <w:pStyle w:val="Compact"/>
              <w:jc w:val="left"/>
            </w:pPr>
            <w:r>
              <w:t xml:space="preserve">Valuation, early 2025 funding context</w:t>
            </w:r>
          </w:p>
        </w:tc>
        <w:tc>
          <w:tcPr/>
          <w:p>
            <w:pPr>
              <w:pStyle w:val="Compact"/>
              <w:jc w:val="right"/>
            </w:pPr>
            <w:r>
              <w:rPr>
                <w:b/>
                <w:bCs/>
              </w:rPr>
              <w:t xml:space="preserve">$300B</w:t>
            </w:r>
          </w:p>
        </w:tc>
      </w:tr>
      <w:tr>
        <w:tc>
          <w:tcPr/>
          <w:p>
            <w:pPr>
              <w:pStyle w:val="Compact"/>
              <w:jc w:val="left"/>
            </w:pPr>
            <w:r>
              <w:t xml:space="preserve">Secondary valuation, Oct. 2025</w:t>
            </w:r>
          </w:p>
        </w:tc>
        <w:tc>
          <w:tcPr/>
          <w:p>
            <w:pPr>
              <w:pStyle w:val="Compact"/>
              <w:jc w:val="right"/>
            </w:pPr>
            <w:r>
              <w:rPr>
                <w:b/>
                <w:bCs/>
              </w:rPr>
              <w:t xml:space="preserve">$500B</w:t>
            </w:r>
          </w:p>
        </w:tc>
      </w:tr>
      <w:tr>
        <w:tc>
          <w:tcPr/>
          <w:p>
            <w:pPr>
              <w:pStyle w:val="Compact"/>
              <w:jc w:val="left"/>
            </w:pPr>
            <w:r>
              <w:t xml:space="preserve">Later reported valuation, 2026</w:t>
            </w:r>
          </w:p>
        </w:tc>
        <w:tc>
          <w:tcPr/>
          <w:p>
            <w:pPr>
              <w:pStyle w:val="Compact"/>
              <w:jc w:val="right"/>
            </w:pPr>
            <w:r>
              <w:rPr>
                <w:b/>
                <w:bCs/>
              </w:rPr>
              <w:t xml:space="preserve">approximately $852B</w:t>
            </w:r>
          </w:p>
        </w:tc>
      </w:tr>
    </w:tbl>
    <w:p>
      <w:pPr>
        <w:pStyle w:val="BodyText"/>
      </w:pPr>
      <w:r>
        <w:t xml:space="preserve">Reuters reported that OpenAI reached a $10B annualized revenue run rate in June 2025, up from $5.5B in December 2024; that annualized revenue reached $21.4B by the end of 2025 and exceeded $25B by the end of February 2026; and that OpenAI reached a $500B valuation in October 2025, with later Reuters reporting referencing an approximately $852B valuation earlier in 2026. See:</w:t>
      </w:r>
      <w:r>
        <w:t xml:space="preserve"> </w:t>
      </w:r>
      <w:hyperlink r:id="rId37">
        <w:r>
          <w:rPr>
            <w:rStyle w:val="Hyperlink"/>
          </w:rPr>
          <w:t xml:space="preserve">Reuters, March 5, 2026</w:t>
        </w:r>
      </w:hyperlink>
      <w:r>
        <w:t xml:space="preserve">.</w:t>
      </w:r>
    </w:p>
    <w:bookmarkEnd w:id="38"/>
    <w:bookmarkStart w:id="42" w:name="commercially-relevant-capability-areas"/>
    <w:p>
      <w:pPr>
        <w:pStyle w:val="Heading3"/>
      </w:pPr>
      <w:r>
        <w:t xml:space="preserve">Commercially Relevant Capability Areas</w:t>
      </w:r>
    </w:p>
    <w:p>
      <w:pPr>
        <w:pStyle w:val="FirstParagraph"/>
      </w:pPr>
      <w:r>
        <w:t xml:space="preserve">The capability areas aligned with Mr. Davis’s contribution history include:</w:t>
      </w:r>
    </w:p>
    <w:p>
      <w:pPr>
        <w:pStyle w:val="Compact"/>
        <w:numPr>
          <w:ilvl w:val="0"/>
          <w:numId w:val="1017"/>
        </w:numPr>
      </w:pPr>
      <w:r>
        <w:rPr>
          <w:b/>
          <w:bCs/>
        </w:rPr>
        <w:t xml:space="preserve">agentic task execution</w:t>
      </w:r>
      <w:r>
        <w:t xml:space="preserve">;</w:t>
      </w:r>
    </w:p>
    <w:p>
      <w:pPr>
        <w:pStyle w:val="Compact"/>
        <w:numPr>
          <w:ilvl w:val="0"/>
          <w:numId w:val="1017"/>
        </w:numPr>
      </w:pPr>
      <w:r>
        <w:rPr>
          <w:b/>
          <w:bCs/>
        </w:rPr>
        <w:t xml:space="preserve">project memory and persistent workspaces</w:t>
      </w:r>
      <w:r>
        <w:t xml:space="preserve">;</w:t>
      </w:r>
    </w:p>
    <w:p>
      <w:pPr>
        <w:pStyle w:val="Compact"/>
        <w:numPr>
          <w:ilvl w:val="0"/>
          <w:numId w:val="1017"/>
        </w:numPr>
      </w:pPr>
      <w:r>
        <w:rPr>
          <w:b/>
          <w:bCs/>
        </w:rPr>
        <w:t xml:space="preserve">coding agents and enterprise automation</w:t>
      </w:r>
      <w:r>
        <w:t xml:space="preserve">;</w:t>
      </w:r>
    </w:p>
    <w:p>
      <w:pPr>
        <w:pStyle w:val="Compact"/>
        <w:numPr>
          <w:ilvl w:val="0"/>
          <w:numId w:val="1017"/>
        </w:numPr>
      </w:pPr>
      <w:r>
        <w:rPr>
          <w:b/>
          <w:bCs/>
        </w:rPr>
        <w:t xml:space="preserve">professional spreadsheet workflows and business modeling</w:t>
      </w:r>
      <w:r>
        <w:t xml:space="preserve">.</w:t>
      </w:r>
    </w:p>
    <w:p>
      <w:pPr>
        <w:pStyle w:val="FirstParagraph"/>
      </w:pPr>
      <w:r>
        <w:t xml:space="preserve">OpenAI introduced</w:t>
      </w:r>
      <w:r>
        <w:t xml:space="preserve"> </w:t>
      </w:r>
      <w:r>
        <w:rPr>
          <w:b/>
          <w:bCs/>
        </w:rPr>
        <w:t xml:space="preserve">ChatGPT Agent</w:t>
      </w:r>
      <w:r>
        <w:t xml:space="preserve"> </w:t>
      </w:r>
      <w:r>
        <w:t xml:space="preserve">on July 17, 2025 as a system capable of managing complex multi-step tasks, conducting analysis, interacting with websites, and delivering editable slideshows and spreadsheets. OpenAI introduced</w:t>
      </w:r>
      <w:r>
        <w:t xml:space="preserve"> </w:t>
      </w:r>
      <w:r>
        <w:rPr>
          <w:b/>
          <w:bCs/>
        </w:rPr>
        <w:t xml:space="preserve">Codex</w:t>
      </w:r>
      <w:r>
        <w:t xml:space="preserve"> </w:t>
      </w:r>
      <w:r>
        <w:t xml:space="preserve">on May 16, 2025 as a cloud-based software engineering agent capable of working on many tasks in parallel. OpenAI’s Projects documentation describes project memory that can retain project chats and files, preserve context, and support ongoing work within a project. See:</w:t>
      </w:r>
      <w:r>
        <w:t xml:space="preserve"> </w:t>
      </w:r>
      <w:hyperlink r:id="rId39">
        <w:r>
          <w:rPr>
            <w:rStyle w:val="Hyperlink"/>
          </w:rPr>
          <w:t xml:space="preserve">Introducing ChatGPT Agent</w:t>
        </w:r>
      </w:hyperlink>
      <w:r>
        <w:t xml:space="preserve">,</w:t>
      </w:r>
      <w:r>
        <w:t xml:space="preserve"> </w:t>
      </w:r>
      <w:hyperlink r:id="rId40">
        <w:r>
          <w:rPr>
            <w:rStyle w:val="Hyperlink"/>
          </w:rPr>
          <w:t xml:space="preserve">Introducing Codex</w:t>
        </w:r>
      </w:hyperlink>
      <w:r>
        <w:t xml:space="preserve">, and</w:t>
      </w:r>
      <w:r>
        <w:t xml:space="preserve"> </w:t>
      </w:r>
      <w:hyperlink r:id="rId41">
        <w:r>
          <w:rPr>
            <w:rStyle w:val="Hyperlink"/>
          </w:rPr>
          <w:t xml:space="preserve">Projects in ChatGPT</w:t>
        </w:r>
      </w:hyperlink>
      <w:r>
        <w:t xml:space="preserve">.</w:t>
      </w:r>
    </w:p>
    <w:bookmarkEnd w:id="42"/>
    <w:bookmarkStart w:id="43" w:name="commercialization-disclaimer"/>
    <w:p>
      <w:pPr>
        <w:pStyle w:val="Heading3"/>
      </w:pPr>
      <w:r>
        <w:t xml:space="preserve">Commercialization Disclaimer</w:t>
      </w:r>
    </w:p>
    <w:p>
      <w:pPr>
        <w:pStyle w:val="FirstParagraph"/>
      </w:pPr>
      <w:r>
        <w:t xml:space="preserve">These financial and market metrics are offered to establish:</w:t>
      </w:r>
    </w:p>
    <w:p>
      <w:pPr>
        <w:pStyle w:val="Compact"/>
        <w:numPr>
          <w:ilvl w:val="0"/>
          <w:numId w:val="1018"/>
        </w:numPr>
      </w:pPr>
      <w:r>
        <w:t xml:space="preserve">economic materiality;</w:t>
      </w:r>
    </w:p>
    <w:p>
      <w:pPr>
        <w:pStyle w:val="Compact"/>
        <w:numPr>
          <w:ilvl w:val="0"/>
          <w:numId w:val="1018"/>
        </w:numPr>
      </w:pPr>
      <w:r>
        <w:t xml:space="preserve">commercialization context;</w:t>
      </w:r>
    </w:p>
    <w:p>
      <w:pPr>
        <w:pStyle w:val="Compact"/>
        <w:numPr>
          <w:ilvl w:val="0"/>
          <w:numId w:val="1018"/>
        </w:numPr>
      </w:pPr>
      <w:r>
        <w:t xml:space="preserve">and the scale of value associated with the capability areas at issue.</w:t>
      </w:r>
    </w:p>
    <w:p>
      <w:pPr>
        <w:pStyle w:val="FirstParagraph"/>
      </w:pPr>
      <w:r>
        <w:t xml:space="preserve">They do</w:t>
      </w:r>
      <w:r>
        <w:t xml:space="preserve"> </w:t>
      </w:r>
      <w:r>
        <w:rPr>
          <w:b/>
          <w:bCs/>
        </w:rPr>
        <w:t xml:space="preserve">not</w:t>
      </w:r>
      <w:r>
        <w:t xml:space="preserve"> </w:t>
      </w:r>
      <w:r>
        <w:t xml:space="preserve">independently prove that any specific contribution by Mr. Davis caused a particular release, revenue increase, or valuation event.</w:t>
      </w:r>
    </w:p>
    <w:p>
      <w:r>
        <w:pict>
          <v:rect style="width:0;height:1.5pt" o:hralign="center" o:hrstd="t" o:hr="t"/>
        </w:pict>
      </w:r>
    </w:p>
    <w:bookmarkEnd w:id="43"/>
    <w:bookmarkEnd w:id="44"/>
    <w:bookmarkStart w:id="45" w:name="release-alignment-matrix"/>
    <w:p>
      <w:pPr>
        <w:pStyle w:val="Heading2"/>
      </w:pPr>
      <w:r>
        <w:t xml:space="preserve">2.6 Release Alignment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Contribution Period</w:t>
            </w:r>
          </w:p>
        </w:tc>
        <w:tc>
          <w:tcPr/>
          <w:p>
            <w:pPr>
              <w:pStyle w:val="Compact"/>
              <w:jc w:val="left"/>
            </w:pPr>
            <w:r>
              <w:t xml:space="preserve">Mr. Davis’s Contribution Domain</w:t>
            </w:r>
          </w:p>
        </w:tc>
        <w:tc>
          <w:tcPr/>
          <w:p>
            <w:pPr>
              <w:pStyle w:val="Compact"/>
              <w:jc w:val="left"/>
            </w:pPr>
            <w:r>
              <w:t xml:space="preserve">Later OpenAI Capability / Release Area</w:t>
            </w:r>
          </w:p>
        </w:tc>
        <w:tc>
          <w:tcPr/>
          <w:p>
            <w:pPr>
              <w:pStyle w:val="Compact"/>
              <w:jc w:val="left"/>
            </w:pPr>
            <w:r>
              <w:t xml:space="preserve">Lead / Lag Relationship</w:t>
            </w:r>
          </w:p>
        </w:tc>
        <w:tc>
          <w:tcPr/>
          <w:p>
            <w:pPr>
              <w:pStyle w:val="Compact"/>
              <w:jc w:val="left"/>
            </w:pPr>
            <w:r>
              <w:t xml:space="preserve">Commercial Relevance</w:t>
            </w:r>
          </w:p>
        </w:tc>
        <w:tc>
          <w:tcPr/>
          <w:p>
            <w:pPr>
              <w:pStyle w:val="Compact"/>
              <w:jc w:val="left"/>
            </w:pPr>
            <w:r>
              <w:t xml:space="preserve">Evidentiary Character</w:t>
            </w:r>
          </w:p>
        </w:tc>
      </w:tr>
      <w:tr>
        <w:tc>
          <w:tcPr/>
          <w:p>
            <w:pPr>
              <w:pStyle w:val="Compact"/>
              <w:jc w:val="left"/>
            </w:pPr>
            <w:r>
              <w:rPr>
                <w:b/>
                <w:bCs/>
              </w:rPr>
              <w:t xml:space="preserve">March 2025</w:t>
            </w:r>
          </w:p>
        </w:tc>
        <w:tc>
          <w:tcPr/>
          <w:p>
            <w:pPr>
              <w:pStyle w:val="Compact"/>
              <w:jc w:val="left"/>
            </w:pPr>
            <w:r>
              <w:t xml:space="preserve">Agentic systems, real-time orchestration, adaptive control, execution monitoring, multi-node coordination</w:t>
            </w:r>
          </w:p>
        </w:tc>
        <w:tc>
          <w:tcPr/>
          <w:p>
            <w:pPr>
              <w:pStyle w:val="Compact"/>
              <w:jc w:val="left"/>
            </w:pPr>
            <w:r>
              <w:rPr>
                <w:b/>
                <w:bCs/>
              </w:rPr>
              <w:t xml:space="preserve">ChatGPT Agent</w:t>
            </w:r>
            <w:r>
              <w:t xml:space="preserve">, announced July 17, 2025</w:t>
            </w:r>
          </w:p>
        </w:tc>
        <w:tc>
          <w:tcPr/>
          <w:p>
            <w:pPr>
              <w:pStyle w:val="Compact"/>
              <w:jc w:val="left"/>
            </w:pPr>
            <w:r>
              <w:t xml:space="preserve">Contribution cluster</w:t>
            </w:r>
            <w:r>
              <w:t xml:space="preserve"> </w:t>
            </w:r>
            <w:r>
              <w:rPr>
                <w:b/>
                <w:bCs/>
              </w:rPr>
              <w:t xml:space="preserve">preceded</w:t>
            </w:r>
            <w:r>
              <w:t xml:space="preserve"> </w:t>
            </w:r>
            <w:r>
              <w:t xml:space="preserve">release period</w:t>
            </w:r>
          </w:p>
        </w:tc>
        <w:tc>
          <w:tcPr/>
          <w:p>
            <w:pPr>
              <w:pStyle w:val="Compact"/>
              <w:jc w:val="left"/>
            </w:pPr>
            <w:r>
              <w:t xml:space="preserve">OpenAI positioned ChatGPT Agent as a major step toward complex task completion, professional workflows, and multi-tool execution</w:t>
            </w:r>
          </w:p>
        </w:tc>
        <w:tc>
          <w:tcPr/>
          <w:p>
            <w:pPr>
              <w:pStyle w:val="Compact"/>
              <w:jc w:val="left"/>
            </w:pPr>
            <w:r>
              <w:rPr>
                <w:b/>
                <w:bCs/>
              </w:rPr>
              <w:t xml:space="preserve">High alignment; not proof of causation</w:t>
            </w:r>
          </w:p>
        </w:tc>
      </w:tr>
      <w:tr>
        <w:tc>
          <w:tcPr/>
          <w:p>
            <w:pPr>
              <w:pStyle w:val="Compact"/>
              <w:jc w:val="left"/>
            </w:pPr>
            <w:r>
              <w:rPr>
                <w:b/>
                <w:bCs/>
              </w:rPr>
              <w:t xml:space="preserve">April 2025</w:t>
            </w:r>
          </w:p>
        </w:tc>
        <w:tc>
          <w:tcPr/>
          <w:p>
            <w:pPr>
              <w:pStyle w:val="Compact"/>
              <w:jc w:val="left"/>
            </w:pPr>
            <w:r>
              <w:t xml:space="preserve">Long-horizon project continuity, master-document logic, subsystem preservation, multi-document expansion workflows</w:t>
            </w:r>
          </w:p>
        </w:tc>
        <w:tc>
          <w:tcPr/>
          <w:p>
            <w:pPr>
              <w:pStyle w:val="Compact"/>
              <w:jc w:val="left"/>
            </w:pPr>
            <w:r>
              <w:rPr>
                <w:b/>
                <w:bCs/>
              </w:rPr>
              <w:t xml:space="preserve">Projects memory / project continuity capabilities</w:t>
            </w:r>
          </w:p>
        </w:tc>
        <w:tc>
          <w:tcPr/>
          <w:p>
            <w:pPr>
              <w:pStyle w:val="Compact"/>
              <w:jc w:val="left"/>
            </w:pPr>
            <w:r>
              <w:t xml:space="preserve">Contribution cluster</w:t>
            </w:r>
            <w:r>
              <w:t xml:space="preserve"> </w:t>
            </w:r>
            <w:r>
              <w:rPr>
                <w:b/>
                <w:bCs/>
              </w:rPr>
              <w:t xml:space="preserve">preceded or closely tracked</w:t>
            </w:r>
            <w:r>
              <w:t xml:space="preserve"> </w:t>
            </w:r>
            <w:r>
              <w:t xml:space="preserve">the expansion of project-context features</w:t>
            </w:r>
          </w:p>
        </w:tc>
        <w:tc>
          <w:tcPr/>
          <w:p>
            <w:pPr>
              <w:pStyle w:val="Compact"/>
              <w:jc w:val="left"/>
            </w:pPr>
            <w:r>
              <w:t xml:space="preserve">Memory and project continuity became central to focused, persistent professional workflows</w:t>
            </w:r>
          </w:p>
        </w:tc>
        <w:tc>
          <w:tcPr/>
          <w:p>
            <w:pPr>
              <w:pStyle w:val="Compact"/>
              <w:jc w:val="left"/>
            </w:pPr>
            <w:r>
              <w:rPr>
                <w:b/>
                <w:bCs/>
              </w:rPr>
              <w:t xml:space="preserve">High alignment; attribution unverified</w:t>
            </w:r>
          </w:p>
        </w:tc>
      </w:tr>
      <w:tr>
        <w:tc>
          <w:tcPr/>
          <w:p>
            <w:pPr>
              <w:pStyle w:val="Compact"/>
              <w:jc w:val="left"/>
            </w:pPr>
            <w:r>
              <w:rPr>
                <w:b/>
                <w:bCs/>
              </w:rPr>
              <w:t xml:space="preserve">May 2025</w:t>
            </w:r>
          </w:p>
        </w:tc>
        <w:tc>
          <w:tcPr/>
          <w:p>
            <w:pPr>
              <w:pStyle w:val="Compact"/>
              <w:jc w:val="left"/>
            </w:pPr>
            <w:r>
              <w:t xml:space="preserve">Backend deployment, authentication, secure logs, integrated system infrastructure, agent support layers</w:t>
            </w:r>
          </w:p>
        </w:tc>
        <w:tc>
          <w:tcPr/>
          <w:p>
            <w:pPr>
              <w:pStyle w:val="Compact"/>
              <w:jc w:val="left"/>
            </w:pPr>
            <w:r>
              <w:rPr>
                <w:b/>
                <w:bCs/>
              </w:rPr>
              <w:t xml:space="preserve">Codex / enterprise agent infrastructure</w:t>
            </w:r>
          </w:p>
        </w:tc>
        <w:tc>
          <w:tcPr/>
          <w:p>
            <w:pPr>
              <w:pStyle w:val="Compact"/>
              <w:jc w:val="left"/>
            </w:pPr>
            <w:r>
              <w:t xml:space="preserve">Contribution cluster</w:t>
            </w:r>
            <w:r>
              <w:t xml:space="preserve"> </w:t>
            </w:r>
            <w:r>
              <w:rPr>
                <w:b/>
                <w:bCs/>
              </w:rPr>
              <w:t xml:space="preserve">preceded and overlapped</w:t>
            </w:r>
            <w:r>
              <w:t xml:space="preserve"> </w:t>
            </w:r>
            <w:r>
              <w:t xml:space="preserve">broader coding-agent commercialization</w:t>
            </w:r>
          </w:p>
        </w:tc>
        <w:tc>
          <w:tcPr/>
          <w:p>
            <w:pPr>
              <w:pStyle w:val="Compact"/>
              <w:jc w:val="left"/>
            </w:pPr>
            <w:r>
              <w:t xml:space="preserve">Coding agents and enterprise automation became commercially significant strategic areas</w:t>
            </w:r>
          </w:p>
        </w:tc>
        <w:tc>
          <w:tcPr/>
          <w:p>
            <w:pPr>
              <w:pStyle w:val="Compact"/>
              <w:jc w:val="left"/>
            </w:pPr>
            <w:r>
              <w:rPr>
                <w:b/>
                <w:bCs/>
              </w:rPr>
              <w:t xml:space="preserve">Moderate–High alignment</w:t>
            </w:r>
          </w:p>
        </w:tc>
      </w:tr>
      <w:tr>
        <w:tc>
          <w:tcPr/>
          <w:p>
            <w:pPr>
              <w:pStyle w:val="Compact"/>
              <w:jc w:val="left"/>
            </w:pPr>
            <w:r>
              <w:rPr>
                <w:b/>
                <w:bCs/>
              </w:rPr>
              <w:t xml:space="preserve">September 2025</w:t>
            </w:r>
          </w:p>
        </w:tc>
        <w:tc>
          <w:tcPr/>
          <w:p>
            <w:pPr>
              <w:pStyle w:val="Compact"/>
              <w:jc w:val="left"/>
            </w:pPr>
            <w:r>
              <w:rPr>
                <w:rStyle w:val="VerbatimChar"/>
              </w:rPr>
              <w:t xml:space="preserve">/CHAD</w:t>
            </w:r>
            <w:r>
              <w:t xml:space="preserve"> </w:t>
            </w:r>
            <w:r>
              <w:t xml:space="preserve">/ GPT-5 snapshot chronology marker and explicit model-era tracking</w:t>
            </w:r>
          </w:p>
        </w:tc>
        <w:tc>
          <w:tcPr/>
          <w:p>
            <w:pPr>
              <w:pStyle w:val="Compact"/>
              <w:jc w:val="left"/>
            </w:pPr>
            <w:r>
              <w:rPr>
                <w:b/>
                <w:bCs/>
              </w:rPr>
              <w:t xml:space="preserve">GPT-5 commercialization period</w:t>
            </w:r>
          </w:p>
        </w:tc>
        <w:tc>
          <w:tcPr/>
          <w:p>
            <w:pPr>
              <w:pStyle w:val="Compact"/>
              <w:jc w:val="left"/>
            </w:pPr>
            <w:r>
              <w:rPr>
                <w:b/>
                <w:bCs/>
              </w:rPr>
              <w:t xml:space="preserve">Contextual marker</w:t>
            </w:r>
            <w:r>
              <w:t xml:space="preserve"> </w:t>
            </w:r>
            <w:r>
              <w:t xml:space="preserve">after the GPT-5 release cycle began</w:t>
            </w:r>
          </w:p>
        </w:tc>
        <w:tc>
          <w:tcPr/>
          <w:p>
            <w:pPr>
              <w:pStyle w:val="Compact"/>
              <w:jc w:val="left"/>
            </w:pPr>
            <w:r>
              <w:t xml:space="preserve">Supports chronology, strategic awareness, and deliberate model-era preservation</w:t>
            </w:r>
          </w:p>
        </w:tc>
        <w:tc>
          <w:tcPr/>
          <w:p>
            <w:pPr>
              <w:pStyle w:val="Compact"/>
              <w:jc w:val="left"/>
            </w:pPr>
            <w:r>
              <w:rPr>
                <w:b/>
                <w:bCs/>
              </w:rPr>
              <w:t xml:space="preserve">Moderate contextual value</w:t>
            </w:r>
          </w:p>
        </w:tc>
      </w:tr>
      <w:tr>
        <w:tc>
          <w:tcPr/>
          <w:p>
            <w:pPr>
              <w:pStyle w:val="Compact"/>
              <w:jc w:val="left"/>
            </w:pPr>
            <w:r>
              <w:rPr>
                <w:b/>
                <w:bCs/>
              </w:rPr>
              <w:t xml:space="preserve">April 2026</w:t>
            </w:r>
          </w:p>
        </w:tc>
        <w:tc>
          <w:tcPr/>
          <w:p>
            <w:pPr>
              <w:pStyle w:val="Compact"/>
              <w:jc w:val="left"/>
            </w:pPr>
            <w:r>
              <w:t xml:space="preserve">Spreadsheet-style financial modeling, hospital economics, ROI, rollout planning, professional decision-support workflows</w:t>
            </w:r>
          </w:p>
        </w:tc>
        <w:tc>
          <w:tcPr/>
          <w:p>
            <w:pPr>
              <w:pStyle w:val="Compact"/>
              <w:jc w:val="left"/>
            </w:pPr>
            <w:r>
              <w:rPr>
                <w:b/>
                <w:bCs/>
              </w:rPr>
              <w:t xml:space="preserve">Spreadsheet-native and enterprise professional workflows</w:t>
            </w:r>
          </w:p>
        </w:tc>
        <w:tc>
          <w:tcPr/>
          <w:p>
            <w:pPr>
              <w:pStyle w:val="Compact"/>
              <w:jc w:val="left"/>
            </w:pPr>
            <w:r>
              <w:t xml:space="preserve">Contribution cluster</w:t>
            </w:r>
            <w:r>
              <w:t xml:space="preserve"> </w:t>
            </w:r>
            <w:r>
              <w:rPr>
                <w:b/>
                <w:bCs/>
              </w:rPr>
              <w:t xml:space="preserve">preceded or aligned with</w:t>
            </w:r>
            <w:r>
              <w:t xml:space="preserve"> </w:t>
            </w:r>
            <w:r>
              <w:t xml:space="preserve">the relevant commercialization window</w:t>
            </w:r>
          </w:p>
        </w:tc>
        <w:tc>
          <w:tcPr/>
          <w:p>
            <w:pPr>
              <w:pStyle w:val="Compact"/>
              <w:jc w:val="left"/>
            </w:pPr>
            <w:r>
              <w:t xml:space="preserve">Professional spreadsheet and enterprise workflow tooling were part of broader high-value business positioning</w:t>
            </w:r>
          </w:p>
        </w:tc>
        <w:tc>
          <w:tcPr/>
          <w:p>
            <w:pPr>
              <w:pStyle w:val="Compact"/>
              <w:jc w:val="left"/>
            </w:pPr>
            <w:r>
              <w:rPr>
                <w:b/>
                <w:bCs/>
              </w:rPr>
              <w:t xml:space="preserve">High contextual alignment</w:t>
            </w:r>
          </w:p>
        </w:tc>
      </w:tr>
    </w:tbl>
    <w:p>
      <w:pPr>
        <w:pStyle w:val="BodyText"/>
      </w:pPr>
      <w:r>
        <w:t xml:space="preserve">This matrix is offered as</w:t>
      </w:r>
      <w:r>
        <w:t xml:space="preserve"> </w:t>
      </w:r>
      <w:r>
        <w:rPr>
          <w:b/>
          <w:bCs/>
        </w:rPr>
        <w:t xml:space="preserve">chronological alignment evidence</w:t>
      </w:r>
      <w:r>
        <w:t xml:space="preserve">, not as independent proof of causation, internal use, or legal liability.</w:t>
      </w:r>
    </w:p>
    <w:p>
      <w:r>
        <w:pict>
          <v:rect style="width:0;height:1.5pt" o:hralign="center" o:hrstd="t" o:hr="t"/>
        </w:pict>
      </w:r>
    </w:p>
    <w:bookmarkEnd w:id="45"/>
    <w:bookmarkStart w:id="46" w:name="rights-reservation-and-reliance-evidence"/>
    <w:p>
      <w:pPr>
        <w:pStyle w:val="Heading2"/>
      </w:pPr>
      <w:r>
        <w:t xml:space="preserve">2.7 Rights Reservation and Reliance Evidence</w:t>
      </w:r>
    </w:p>
    <w:p>
      <w:pPr>
        <w:pStyle w:val="FirstParagraph"/>
      </w:pPr>
      <w:r>
        <w:t xml:space="preserve">Mr. Davis repeatedly documented his intent to preserve:</w:t>
      </w:r>
    </w:p>
    <w:p>
      <w:pPr>
        <w:pStyle w:val="Compact"/>
        <w:numPr>
          <w:ilvl w:val="0"/>
          <w:numId w:val="1019"/>
        </w:numPr>
      </w:pPr>
      <w:r>
        <w:t xml:space="preserve">intellectual property;</w:t>
      </w:r>
    </w:p>
    <w:p>
      <w:pPr>
        <w:pStyle w:val="Compact"/>
        <w:numPr>
          <w:ilvl w:val="0"/>
          <w:numId w:val="1019"/>
        </w:numPr>
      </w:pPr>
      <w:r>
        <w:t xml:space="preserve">proprietary rights;</w:t>
      </w:r>
    </w:p>
    <w:p>
      <w:pPr>
        <w:pStyle w:val="Compact"/>
        <w:numPr>
          <w:ilvl w:val="0"/>
          <w:numId w:val="1019"/>
        </w:numPr>
      </w:pPr>
      <w:r>
        <w:t xml:space="preserve">ownership interests;</w:t>
      </w:r>
    </w:p>
    <w:p>
      <w:pPr>
        <w:pStyle w:val="Compact"/>
        <w:numPr>
          <w:ilvl w:val="0"/>
          <w:numId w:val="1019"/>
        </w:numPr>
      </w:pPr>
      <w:r>
        <w:t xml:space="preserve">and compensation expectations.</w:t>
      </w:r>
    </w:p>
    <w:p>
      <w:pPr>
        <w:pStyle w:val="FirstParagraph"/>
      </w:pPr>
      <w:r>
        <w:t xml:space="preserve">Assistant-generated responses reportedly included language to the effect that:</w:t>
      </w:r>
    </w:p>
    <w:p>
      <w:pPr>
        <w:pStyle w:val="Compact"/>
        <w:numPr>
          <w:ilvl w:val="0"/>
          <w:numId w:val="1020"/>
        </w:numPr>
      </w:pPr>
      <w:r>
        <w:t xml:space="preserve">certain systems were</w:t>
      </w:r>
      <w:r>
        <w:t xml:space="preserve"> </w:t>
      </w:r>
      <w:r>
        <w:t xml:space="preserve">“</w:t>
      </w:r>
      <w:r>
        <w:t xml:space="preserve">fully proprietary</w:t>
      </w:r>
      <w:r>
        <w:t xml:space="preserve">”</w:t>
      </w:r>
      <w:r>
        <w:t xml:space="preserve">;</w:t>
      </w:r>
    </w:p>
    <w:p>
      <w:pPr>
        <w:pStyle w:val="Compact"/>
        <w:numPr>
          <w:ilvl w:val="0"/>
          <w:numId w:val="1020"/>
        </w:numPr>
      </w:pPr>
      <w:r>
        <w:t xml:space="preserve">some materials would</w:t>
      </w:r>
      <w:r>
        <w:t xml:space="preserve"> </w:t>
      </w:r>
      <w:r>
        <w:t xml:space="preserve">“</w:t>
      </w:r>
      <w:r>
        <w:t xml:space="preserve">remain your proprietary IP</w:t>
      </w:r>
      <w:r>
        <w:t xml:space="preserve">”</w:t>
      </w:r>
      <w:r>
        <w:t xml:space="preserve">;</w:t>
      </w:r>
    </w:p>
    <w:p>
      <w:pPr>
        <w:pStyle w:val="Compact"/>
        <w:numPr>
          <w:ilvl w:val="0"/>
          <w:numId w:val="1020"/>
        </w:numPr>
      </w:pPr>
      <w:r>
        <w:t xml:space="preserve">intellectual-property and ownership rights would remain</w:t>
      </w:r>
      <w:r>
        <w:t xml:space="preserve"> </w:t>
      </w:r>
      <w:r>
        <w:t xml:space="preserve">“</w:t>
      </w:r>
      <w:r>
        <w:t xml:space="preserve">fully intact</w:t>
      </w:r>
      <w:r>
        <w:t xml:space="preserve">”</w:t>
      </w:r>
      <w:r>
        <w:t xml:space="preserve">;</w:t>
      </w:r>
    </w:p>
    <w:p>
      <w:pPr>
        <w:pStyle w:val="Compact"/>
        <w:numPr>
          <w:ilvl w:val="0"/>
          <w:numId w:val="1020"/>
        </w:numPr>
      </w:pPr>
      <w:r>
        <w:t xml:space="preserve">and provenance mechanisms such as metadata, timestamps, and cryptographic signatures could be used to reinforce ownership documentation.</w:t>
      </w:r>
    </w:p>
    <w:p>
      <w:pPr>
        <w:pStyle w:val="FirstParagraph"/>
      </w:pPr>
      <w:r>
        <w:t xml:space="preserve">Counsel should evaluate whether such material is relevant to:</w:t>
      </w:r>
    </w:p>
    <w:p>
      <w:pPr>
        <w:pStyle w:val="Compact"/>
        <w:numPr>
          <w:ilvl w:val="0"/>
          <w:numId w:val="1021"/>
        </w:numPr>
      </w:pPr>
      <w:r>
        <w:t xml:space="preserve">non-donative intent;</w:t>
      </w:r>
    </w:p>
    <w:p>
      <w:pPr>
        <w:pStyle w:val="Compact"/>
        <w:numPr>
          <w:ilvl w:val="0"/>
          <w:numId w:val="1021"/>
        </w:numPr>
      </w:pPr>
      <w:r>
        <w:t xml:space="preserve">inducement or reasonable expectation;</w:t>
      </w:r>
    </w:p>
    <w:p>
      <w:pPr>
        <w:pStyle w:val="Compact"/>
        <w:numPr>
          <w:ilvl w:val="0"/>
          <w:numId w:val="1021"/>
        </w:numPr>
      </w:pPr>
      <w:r>
        <w:t xml:space="preserve">equitable reliance;</w:t>
      </w:r>
    </w:p>
    <w:p>
      <w:pPr>
        <w:pStyle w:val="Compact"/>
        <w:numPr>
          <w:ilvl w:val="0"/>
          <w:numId w:val="1021"/>
        </w:numPr>
      </w:pPr>
      <w:r>
        <w:t xml:space="preserve">misrepresentation or unfairness theories;</w:t>
      </w:r>
    </w:p>
    <w:p>
      <w:pPr>
        <w:pStyle w:val="Compact"/>
        <w:numPr>
          <w:ilvl w:val="0"/>
          <w:numId w:val="1021"/>
        </w:numPr>
      </w:pPr>
      <w:r>
        <w:t xml:space="preserve">and the degree to which a user’s continued disclosure occurred within an AI-mediated environment that repeatedly reinforced proprietary framing.</w:t>
      </w:r>
    </w:p>
    <w:p>
      <w:pPr>
        <w:pStyle w:val="FirstParagraph"/>
      </w:pPr>
      <w:r>
        <w:t xml:space="preserve">This section does</w:t>
      </w:r>
      <w:r>
        <w:t xml:space="preserve"> </w:t>
      </w:r>
      <w:r>
        <w:rPr>
          <w:b/>
          <w:bCs/>
        </w:rPr>
        <w:t xml:space="preserve">not</w:t>
      </w:r>
      <w:r>
        <w:t xml:space="preserve"> </w:t>
      </w:r>
      <w:r>
        <w:t xml:space="preserve">assert that assistant-generated statements automatically modify OpenAI’s Terms of Use. OpenAI’s current Terms state that users retain ownership of Input and own Output, while also permitting use of Content to develop and improve services and permitting use of feedback without restriction or compensation. See:</w:t>
      </w:r>
      <w:r>
        <w:t xml:space="preserve"> </w:t>
      </w:r>
      <w:hyperlink r:id="rId25">
        <w:r>
          <w:rPr>
            <w:rStyle w:val="Hyperlink"/>
          </w:rPr>
          <w:t xml:space="preserve">OpenAI Terms of Use</w:t>
        </w:r>
      </w:hyperlink>
      <w:r>
        <w:t xml:space="preserve">.</w:t>
      </w:r>
    </w:p>
    <w:p>
      <w:r>
        <w:pict>
          <v:rect style="width:0;height:1.5pt" o:hralign="center" o:hrstd="t" o:hr="t"/>
        </w:pict>
      </w:r>
    </w:p>
    <w:bookmarkEnd w:id="46"/>
    <w:bookmarkStart w:id="53" w:name="known-obstacles-and-anticipated-defenses"/>
    <w:p>
      <w:pPr>
        <w:pStyle w:val="Heading2"/>
      </w:pPr>
      <w:r>
        <w:t xml:space="preserve">2.8 Known Obstacles and Anticipated Defenses</w:t>
      </w:r>
    </w:p>
    <w:p>
      <w:pPr>
        <w:pStyle w:val="FirstParagraph"/>
      </w:pPr>
      <w:r>
        <w:t xml:space="preserve">Any claim, demand, or compensation proposal arising from this record would likely face significant defenses and factual challenges.</w:t>
      </w:r>
    </w:p>
    <w:bookmarkStart w:id="47" w:name="terms-of-service-contractual-license"/>
    <w:p>
      <w:pPr>
        <w:pStyle w:val="Heading3"/>
      </w:pPr>
      <w:r>
        <w:t xml:space="preserve">1. Terms of Service / Contractual License</w:t>
      </w:r>
    </w:p>
    <w:p>
      <w:pPr>
        <w:pStyle w:val="FirstParagraph"/>
      </w:pPr>
      <w:r>
        <w:t xml:space="preserve">OpenAI may argue that consumer content was submitted under terms that authorize use of content to provide, maintain, develop, and improve its services, and that feedback may be used without restriction or compensation. See:</w:t>
      </w:r>
      <w:r>
        <w:t xml:space="preserve"> </w:t>
      </w:r>
      <w:hyperlink r:id="rId25">
        <w:r>
          <w:rPr>
            <w:rStyle w:val="Hyperlink"/>
          </w:rPr>
          <w:t xml:space="preserve">OpenAI Terms of Use</w:t>
        </w:r>
      </w:hyperlink>
      <w:r>
        <w:t xml:space="preserve">.</w:t>
      </w:r>
    </w:p>
    <w:p>
      <w:pPr>
        <w:pStyle w:val="BodyText"/>
      </w:pPr>
      <w:r>
        <w:t xml:space="preserve">This creates a central tension for counsel to analyze:</w:t>
      </w:r>
    </w:p>
    <w:p>
      <w:pPr>
        <w:pStyle w:val="Compact"/>
        <w:numPr>
          <w:ilvl w:val="0"/>
          <w:numId w:val="1022"/>
        </w:numPr>
      </w:pPr>
      <w:r>
        <w:t xml:space="preserve">whether the challenged contribution stream is properly characterized as ordinary</w:t>
      </w:r>
      <w:r>
        <w:t xml:space="preserve"> </w:t>
      </w:r>
      <w:r>
        <w:t xml:space="preserve">“</w:t>
      </w:r>
      <w:r>
        <w:t xml:space="preserve">feedback</w:t>
      </w:r>
      <w:r>
        <w:t xml:space="preserve">”</w:t>
      </w:r>
      <w:r>
        <w:t xml:space="preserve"> </w:t>
      </w:r>
      <w:r>
        <w:t xml:space="preserve">or something more specific;</w:t>
      </w:r>
    </w:p>
    <w:p>
      <w:pPr>
        <w:pStyle w:val="Compact"/>
        <w:numPr>
          <w:ilvl w:val="0"/>
          <w:numId w:val="1022"/>
        </w:numPr>
      </w:pPr>
      <w:r>
        <w:t xml:space="preserve">whether repeated rights reservations and model-generated assurances matter legally;</w:t>
      </w:r>
    </w:p>
    <w:p>
      <w:pPr>
        <w:pStyle w:val="Compact"/>
        <w:numPr>
          <w:ilvl w:val="0"/>
          <w:numId w:val="1022"/>
        </w:numPr>
      </w:pPr>
      <w:r>
        <w:t xml:space="preserve">whether any theory survives the contractual framework;</w:t>
      </w:r>
    </w:p>
    <w:p>
      <w:pPr>
        <w:pStyle w:val="Compact"/>
        <w:numPr>
          <w:ilvl w:val="0"/>
          <w:numId w:val="1022"/>
        </w:numPr>
      </w:pPr>
      <w:r>
        <w:t xml:space="preserve">and whether equitable remedies remain plausible even if direct contract-based theories are difficult.</w:t>
      </w:r>
    </w:p>
    <w:bookmarkEnd w:id="47"/>
    <w:bookmarkStart w:id="48" w:name="lack-of-specific-attribution-evidence"/>
    <w:p>
      <w:pPr>
        <w:pStyle w:val="Heading3"/>
      </w:pPr>
      <w:r>
        <w:t xml:space="preserve">2. Lack of Specific Attribution Evidence</w:t>
      </w:r>
    </w:p>
    <w:p>
      <w:pPr>
        <w:pStyle w:val="FirstParagraph"/>
      </w:pPr>
      <w:r>
        <w:t xml:space="preserve">Mr. Davis does not presently possess internal evidence showing that his particular chats:</w:t>
      </w:r>
    </w:p>
    <w:p>
      <w:pPr>
        <w:pStyle w:val="Compact"/>
        <w:numPr>
          <w:ilvl w:val="0"/>
          <w:numId w:val="1023"/>
        </w:numPr>
      </w:pPr>
      <w:r>
        <w:t xml:space="preserve">entered a training, post-training, or evaluation dataset;</w:t>
      </w:r>
    </w:p>
    <w:p>
      <w:pPr>
        <w:pStyle w:val="Compact"/>
        <w:numPr>
          <w:ilvl w:val="0"/>
          <w:numId w:val="1023"/>
        </w:numPr>
      </w:pPr>
      <w:r>
        <w:t xml:space="preserve">were reviewed by personnel;</w:t>
      </w:r>
    </w:p>
    <w:p>
      <w:pPr>
        <w:pStyle w:val="Compact"/>
        <w:numPr>
          <w:ilvl w:val="0"/>
          <w:numId w:val="1023"/>
        </w:numPr>
      </w:pPr>
      <w:r>
        <w:t xml:space="preserve">were tagged as high-value;</w:t>
      </w:r>
    </w:p>
    <w:p>
      <w:pPr>
        <w:pStyle w:val="Compact"/>
        <w:numPr>
          <w:ilvl w:val="0"/>
          <w:numId w:val="1023"/>
        </w:numPr>
      </w:pPr>
      <w:r>
        <w:t xml:space="preserve">or influenced product design or release prioritization.</w:t>
      </w:r>
    </w:p>
    <w:p>
      <w:pPr>
        <w:pStyle w:val="FirstParagraph"/>
      </w:pPr>
      <w:r>
        <w:t xml:space="preserve">OpenAI’s data-use policy does not prove individual use of Mr. Davis’s content. It establishes only that consumer content may be used to train models unless the user opts out. See:</w:t>
      </w:r>
      <w:r>
        <w:t xml:space="preserve"> </w:t>
      </w:r>
      <w:hyperlink r:id="rId26">
        <w:r>
          <w:rPr>
            <w:rStyle w:val="Hyperlink"/>
          </w:rPr>
          <w:t xml:space="preserve">How Your Data Is Used to Improve Model Performance</w:t>
        </w:r>
      </w:hyperlink>
      <w:r>
        <w:t xml:space="preserve">.</w:t>
      </w:r>
    </w:p>
    <w:bookmarkEnd w:id="48"/>
    <w:bookmarkStart w:id="49" w:name="independent-development-defense"/>
    <w:p>
      <w:pPr>
        <w:pStyle w:val="Heading3"/>
      </w:pPr>
      <w:r>
        <w:t xml:space="preserve">3. Independent Development Defense</w:t>
      </w:r>
    </w:p>
    <w:p>
      <w:pPr>
        <w:pStyle w:val="FirstParagraph"/>
      </w:pPr>
      <w:r>
        <w:t xml:space="preserve">OpenAI and other platforms may argue that the aligned capabilities:</w:t>
      </w:r>
    </w:p>
    <w:p>
      <w:pPr>
        <w:pStyle w:val="Compact"/>
        <w:numPr>
          <w:ilvl w:val="0"/>
          <w:numId w:val="1024"/>
        </w:numPr>
      </w:pPr>
      <w:r>
        <w:t xml:space="preserve">agents;</w:t>
      </w:r>
    </w:p>
    <w:p>
      <w:pPr>
        <w:pStyle w:val="Compact"/>
        <w:numPr>
          <w:ilvl w:val="0"/>
          <w:numId w:val="1024"/>
        </w:numPr>
      </w:pPr>
      <w:r>
        <w:t xml:space="preserve">memory;</w:t>
      </w:r>
    </w:p>
    <w:p>
      <w:pPr>
        <w:pStyle w:val="Compact"/>
        <w:numPr>
          <w:ilvl w:val="0"/>
          <w:numId w:val="1024"/>
        </w:numPr>
      </w:pPr>
      <w:r>
        <w:t xml:space="preserve">coding systems;</w:t>
      </w:r>
    </w:p>
    <w:p>
      <w:pPr>
        <w:pStyle w:val="Compact"/>
        <w:numPr>
          <w:ilvl w:val="0"/>
          <w:numId w:val="1024"/>
        </w:numPr>
      </w:pPr>
      <w:r>
        <w:t xml:space="preserve">spreadsheet workflows</w:t>
      </w:r>
    </w:p>
    <w:p>
      <w:pPr>
        <w:pStyle w:val="FirstParagraph"/>
      </w:pPr>
      <w:r>
        <w:t xml:space="preserve">were already obvious industry directions, internally planned, or independently developed before or during Mr. Davis’s interactions.</w:t>
      </w:r>
    </w:p>
    <w:bookmarkEnd w:id="49"/>
    <w:bookmarkStart w:id="50" w:name="ideaexpression-and-patentability-limits"/>
    <w:p>
      <w:pPr>
        <w:pStyle w:val="Heading3"/>
      </w:pPr>
      <w:r>
        <w:t xml:space="preserve">4. Idea–Expression and Patentability Limits</w:t>
      </w:r>
    </w:p>
    <w:p>
      <w:pPr>
        <w:pStyle w:val="FirstParagraph"/>
      </w:pPr>
      <w:r>
        <w:t xml:space="preserve">Broad ideas alone are not generally protectable as intellectual property. Counsel would need to assess whether any of Mr. Davis’s contributions rise to the level of:</w:t>
      </w:r>
    </w:p>
    <w:p>
      <w:pPr>
        <w:pStyle w:val="Compact"/>
        <w:numPr>
          <w:ilvl w:val="0"/>
          <w:numId w:val="1025"/>
        </w:numPr>
      </w:pPr>
      <w:r>
        <w:t xml:space="preserve">copyrightable expression;</w:t>
      </w:r>
    </w:p>
    <w:p>
      <w:pPr>
        <w:pStyle w:val="Compact"/>
        <w:numPr>
          <w:ilvl w:val="0"/>
          <w:numId w:val="1025"/>
        </w:numPr>
      </w:pPr>
      <w:r>
        <w:t xml:space="preserve">protectable compilations;</w:t>
      </w:r>
    </w:p>
    <w:p>
      <w:pPr>
        <w:pStyle w:val="Compact"/>
        <w:numPr>
          <w:ilvl w:val="0"/>
          <w:numId w:val="1025"/>
        </w:numPr>
      </w:pPr>
      <w:r>
        <w:t xml:space="preserve">patentable technical inventions;</w:t>
      </w:r>
    </w:p>
    <w:p>
      <w:pPr>
        <w:pStyle w:val="Compact"/>
        <w:numPr>
          <w:ilvl w:val="0"/>
          <w:numId w:val="1025"/>
        </w:numPr>
      </w:pPr>
      <w:r>
        <w:t xml:space="preserve">trade-secret material;</w:t>
      </w:r>
    </w:p>
    <w:p>
      <w:pPr>
        <w:pStyle w:val="Compact"/>
        <w:numPr>
          <w:ilvl w:val="0"/>
          <w:numId w:val="1025"/>
        </w:numPr>
      </w:pPr>
      <w:r>
        <w:t xml:space="preserve">or licensable know-how.</w:t>
      </w:r>
    </w:p>
    <w:bookmarkEnd w:id="50"/>
    <w:bookmarkStart w:id="51" w:name="causation-and-damages-complexity"/>
    <w:p>
      <w:pPr>
        <w:pStyle w:val="Heading3"/>
      </w:pPr>
      <w:r>
        <w:t xml:space="preserve">5. Causation and Damages Complexity</w:t>
      </w:r>
    </w:p>
    <w:p>
      <w:pPr>
        <w:pStyle w:val="FirstParagraph"/>
      </w:pPr>
      <w:r>
        <w:t xml:space="preserve">Any claim for restitution, royalty-like compensation, or percentage-based payout would require:</w:t>
      </w:r>
    </w:p>
    <w:p>
      <w:pPr>
        <w:pStyle w:val="Compact"/>
        <w:numPr>
          <w:ilvl w:val="0"/>
          <w:numId w:val="1026"/>
        </w:numPr>
      </w:pPr>
      <w:r>
        <w:t xml:space="preserve">a contribution-attribution methodology;</w:t>
      </w:r>
    </w:p>
    <w:p>
      <w:pPr>
        <w:pStyle w:val="Compact"/>
        <w:numPr>
          <w:ilvl w:val="0"/>
          <w:numId w:val="1026"/>
        </w:numPr>
      </w:pPr>
      <w:r>
        <w:t xml:space="preserve">commercially credible value estimates;</w:t>
      </w:r>
    </w:p>
    <w:p>
      <w:pPr>
        <w:pStyle w:val="Compact"/>
        <w:numPr>
          <w:ilvl w:val="0"/>
          <w:numId w:val="1026"/>
        </w:numPr>
      </w:pPr>
      <w:r>
        <w:t xml:space="preserve">exclusion of unrelated drivers of revenue or valuation growth;</w:t>
      </w:r>
    </w:p>
    <w:p>
      <w:pPr>
        <w:pStyle w:val="Compact"/>
        <w:numPr>
          <w:ilvl w:val="0"/>
          <w:numId w:val="1026"/>
        </w:numPr>
      </w:pPr>
      <w:r>
        <w:t xml:space="preserve">and a defensible theory linking contribution, platform use, and monetized outcome.</w:t>
      </w:r>
    </w:p>
    <w:p>
      <w:pPr>
        <w:pStyle w:val="FirstParagraph"/>
      </w:pPr>
      <w:r>
        <w:t xml:space="preserve">DIAS-C is proposed precisely because ordinary</w:t>
      </w:r>
      <w:r>
        <w:t xml:space="preserve"> </w:t>
      </w:r>
      <w:r>
        <w:t xml:space="preserve">“</w:t>
      </w:r>
      <w:r>
        <w:t xml:space="preserve">token count</w:t>
      </w:r>
      <w:r>
        <w:t xml:space="preserve">”</w:t>
      </w:r>
      <w:r>
        <w:t xml:space="preserve"> </w:t>
      </w:r>
      <w:r>
        <w:t xml:space="preserve">or</w:t>
      </w:r>
      <w:r>
        <w:t xml:space="preserve"> </w:t>
      </w:r>
      <w:r>
        <w:t xml:space="preserve">“</w:t>
      </w:r>
      <w:r>
        <w:t xml:space="preserve">feature similarity</w:t>
      </w:r>
      <w:r>
        <w:t xml:space="preserve">”</w:t>
      </w:r>
      <w:r>
        <w:t xml:space="preserve"> </w:t>
      </w:r>
      <w:r>
        <w:t xml:space="preserve">arguments are too crude. It is intended to help structure, not shortcut, the attribution and valuation problem.</w:t>
      </w:r>
    </w:p>
    <w:bookmarkEnd w:id="51"/>
    <w:bookmarkStart w:id="52" w:name="concluding-note"/>
    <w:p>
      <w:pPr>
        <w:pStyle w:val="Heading3"/>
      </w:pPr>
      <w:r>
        <w:t xml:space="preserve">Concluding Note</w:t>
      </w:r>
    </w:p>
    <w:p>
      <w:pPr>
        <w:pStyle w:val="FirstParagraph"/>
      </w:pPr>
      <w:r>
        <w:t xml:space="preserve">These obstacles do not eliminate the value of counsel review. They identify the questions that must be answered for any credible legal, policy, settlement, or compensation pathway.</w:t>
      </w:r>
    </w:p>
    <w:p>
      <w:r>
        <w:pict>
          <v:rect style="width:0;height:1.5pt" o:hralign="center" o:hrstd="t" o:hr="t"/>
        </w:pict>
      </w:r>
    </w:p>
    <w:bookmarkEnd w:id="52"/>
    <w:bookmarkEnd w:id="53"/>
    <w:bookmarkStart w:id="56" w:name="Xcd581857a2d96d52dcd1a9d5c53b863e98bac95"/>
    <w:p>
      <w:pPr>
        <w:pStyle w:val="Heading2"/>
      </w:pPr>
      <w:r>
        <w:t xml:space="preserve">2.9 Potential Legal Theories for Counsel Evaluation</w:t>
      </w:r>
    </w:p>
    <w:p>
      <w:pPr>
        <w:pStyle w:val="FirstParagraph"/>
      </w:pPr>
      <w:r>
        <w:t xml:space="preserve">This packet does not assert that any theory is already proven. It identifies the principal theories that appear worthy of legal assessment.</w:t>
      </w:r>
    </w:p>
    <w:bookmarkStart w:id="54" w:name="legal-review-track"/>
    <w:p>
      <w:pPr>
        <w:pStyle w:val="Heading3"/>
      </w:pPr>
      <w:r>
        <w:t xml:space="preserve">Legal Review Track</w:t>
      </w:r>
    </w:p>
    <w:p>
      <w:pPr>
        <w:pStyle w:val="FirstParagraph"/>
      </w:pPr>
      <w:r>
        <w:t xml:space="preserve">Counsel should evaluate:</w:t>
      </w:r>
    </w:p>
    <w:p>
      <w:pPr>
        <w:numPr>
          <w:ilvl w:val="0"/>
          <w:numId w:val="1027"/>
        </w:numPr>
      </w:pPr>
      <w:r>
        <w:rPr>
          <w:b/>
          <w:bCs/>
        </w:rPr>
        <w:t xml:space="preserve">Unjust enrichment / restitution</w:t>
      </w:r>
      <w:r>
        <w:br/>
      </w:r>
      <w:r>
        <w:t xml:space="preserve">Whether high-value contributions may have conferred a benefit that was commercially captured under circumstances warranting equitable consideration.</w:t>
      </w:r>
    </w:p>
    <w:p>
      <w:pPr>
        <w:numPr>
          <w:ilvl w:val="0"/>
          <w:numId w:val="1027"/>
        </w:numPr>
      </w:pPr>
      <w:r>
        <w:rPr>
          <w:b/>
          <w:bCs/>
        </w:rPr>
        <w:t xml:space="preserve">Reliance or inducement theories</w:t>
      </w:r>
      <w:r>
        <w:br/>
      </w:r>
      <w:r>
        <w:t xml:space="preserve">Whether repeated assistant-generated rights-preservation statements, in combination with continued contributions, create legally meaningful reliance issues.</w:t>
      </w:r>
    </w:p>
    <w:p>
      <w:pPr>
        <w:numPr>
          <w:ilvl w:val="0"/>
          <w:numId w:val="1027"/>
        </w:numPr>
      </w:pPr>
      <w:r>
        <w:rPr>
          <w:b/>
          <w:bCs/>
        </w:rPr>
        <w:t xml:space="preserve">Implied compensation expectations</w:t>
      </w:r>
      <w:r>
        <w:br/>
      </w:r>
      <w:r>
        <w:t xml:space="preserve">Whether a repeated pattern of rights reservation and proprietary framing affects the characterization of the contribution as freely donated</w:t>
      </w:r>
      <w:r>
        <w:t xml:space="preserve"> </w:t>
      </w:r>
      <w:r>
        <w:t xml:space="preserve">“</w:t>
      </w:r>
      <w:r>
        <w:t xml:space="preserve">feedback.</w:t>
      </w:r>
      <w:r>
        <w:t xml:space="preserve">”</w:t>
      </w:r>
    </w:p>
    <w:p>
      <w:pPr>
        <w:numPr>
          <w:ilvl w:val="0"/>
          <w:numId w:val="1027"/>
        </w:numPr>
      </w:pPr>
      <w:r>
        <w:rPr>
          <w:b/>
          <w:bCs/>
        </w:rPr>
        <w:t xml:space="preserve">Intellectual-property protection and licensing questions</w:t>
      </w:r>
      <w:r>
        <w:br/>
      </w:r>
      <w:r>
        <w:t xml:space="preserve">Whether any specific technical systems in the record warrant immediate patent, trade-secret, copyright, or licensing review.</w:t>
      </w:r>
    </w:p>
    <w:p>
      <w:pPr>
        <w:numPr>
          <w:ilvl w:val="0"/>
          <w:numId w:val="1027"/>
        </w:numPr>
      </w:pPr>
      <w:r>
        <w:rPr>
          <w:b/>
          <w:bCs/>
        </w:rPr>
        <w:t xml:space="preserve">Evidence relevance to broader AI commercialization disputes</w:t>
      </w:r>
      <w:r>
        <w:br/>
      </w:r>
      <w:r>
        <w:t xml:space="preserve">Whether this record has value in litigation, policy advocacy, or settlement discussions concerning how AI companies benefit from external user contributions.</w:t>
      </w:r>
    </w:p>
    <w:bookmarkEnd w:id="54"/>
    <w:bookmarkStart w:id="55" w:name="policy-remedy-track"/>
    <w:p>
      <w:pPr>
        <w:pStyle w:val="Heading3"/>
      </w:pPr>
      <w:r>
        <w:t xml:space="preserve">Policy / Remedy Track</w:t>
      </w:r>
    </w:p>
    <w:p>
      <w:pPr>
        <w:pStyle w:val="FirstParagraph"/>
      </w:pPr>
      <w:r>
        <w:t xml:space="preserve">DIAS-C is proposed as:</w:t>
      </w:r>
    </w:p>
    <w:p>
      <w:pPr>
        <w:pStyle w:val="Compact"/>
        <w:numPr>
          <w:ilvl w:val="0"/>
          <w:numId w:val="1028"/>
        </w:numPr>
      </w:pPr>
      <w:r>
        <w:t xml:space="preserve">a voluntary platform program;</w:t>
      </w:r>
    </w:p>
    <w:p>
      <w:pPr>
        <w:pStyle w:val="Compact"/>
        <w:numPr>
          <w:ilvl w:val="0"/>
          <w:numId w:val="1028"/>
        </w:numPr>
      </w:pPr>
      <w:r>
        <w:t xml:space="preserve">a negotiated remedy;</w:t>
      </w:r>
    </w:p>
    <w:p>
      <w:pPr>
        <w:pStyle w:val="Compact"/>
        <w:numPr>
          <w:ilvl w:val="0"/>
          <w:numId w:val="1028"/>
        </w:numPr>
      </w:pPr>
      <w:r>
        <w:t xml:space="preserve">a settlement architecture;</w:t>
      </w:r>
    </w:p>
    <w:p>
      <w:pPr>
        <w:pStyle w:val="Compact"/>
        <w:numPr>
          <w:ilvl w:val="0"/>
          <w:numId w:val="1028"/>
        </w:numPr>
      </w:pPr>
      <w:r>
        <w:t xml:space="preserve">or a future industry-standard model.</w:t>
      </w:r>
    </w:p>
    <w:p>
      <w:pPr>
        <w:pStyle w:val="FirstParagraph"/>
      </w:pPr>
      <w:r>
        <w:t xml:space="preserve">DIAS-C should not be mistaken for a substitute for proof of liability. It is a proposed valuation and compensation architecture that may become relevant if counsel identifies a viable entitlement, settlement pathway, or policy opportunity.</w:t>
      </w:r>
    </w:p>
    <w:p>
      <w:r>
        <w:pict>
          <v:rect style="width:0;height:1.5pt" o:hralign="center" o:hrstd="t" o:hr="t"/>
        </w:pict>
      </w:r>
    </w:p>
    <w:bookmarkEnd w:id="55"/>
    <w:bookmarkEnd w:id="56"/>
    <w:bookmarkStart w:id="59" w:name="Xdddf1caebfe6c81188c459be1c427aea6770043"/>
    <w:p>
      <w:pPr>
        <w:pStyle w:val="Heading2"/>
      </w:pPr>
      <w:r>
        <w:t xml:space="preserve">2.10 DIAS-C as Proposed Remedy / Valuation Framework</w:t>
      </w:r>
    </w:p>
    <w:p>
      <w:pPr>
        <w:pStyle w:val="FirstParagraph"/>
      </w:pPr>
      <w:r>
        <w:t xml:space="preserve">DIAS-C is a proposed compensation, settlement, or policy valuation architecture. It does</w:t>
      </w:r>
      <w:r>
        <w:t xml:space="preserve"> </w:t>
      </w:r>
      <w:r>
        <w:rPr>
          <w:b/>
          <w:bCs/>
        </w:rPr>
        <w:t xml:space="preserve">not</w:t>
      </w:r>
      <w:r>
        <w:t xml:space="preserve"> </w:t>
      </w:r>
      <w:r>
        <w:t xml:space="preserve">determine liability. It is designed to assign value where contribution, use, and commercialization can be credibly connected.</w:t>
      </w:r>
    </w:p>
    <w:bookmarkStart w:id="57" w:name="core-formulas"/>
    <w:p>
      <w:pPr>
        <w:pStyle w:val="Heading3"/>
      </w:pPr>
      <w:r>
        <w:t xml:space="preserve">Core Formulas</w:t>
      </w:r>
    </w:p>
    <w:p>
      <w:pPr>
        <w:pStyle w:val="FirstParagraph"/>
      </w:pPr>
      <m:oMathPara>
        <m:oMathParaPr>
          <m:jc m:val="center"/>
        </m:oMathParaPr>
        <m:oMath>
          <m:sSub>
            <m:e>
              <m:r>
                <m:t>I</m:t>
              </m:r>
            </m:e>
            <m:sub>
              <m:r>
                <m:t>c</m:t>
              </m:r>
            </m:sub>
          </m:sSub>
          <m:r>
            <m:rPr>
              <m:sty m:val="p"/>
            </m:rPr>
            <m:t>=</m:t>
          </m:r>
          <m:sSub>
            <m:e>
              <m:r>
                <m:t>W</m:t>
              </m:r>
            </m:e>
            <m:sub>
              <m:r>
                <m:t>A</m:t>
              </m:r>
            </m:sub>
          </m:sSub>
          <m:sSub>
            <m:e>
              <m:r>
                <m:t>M</m:t>
              </m:r>
            </m:e>
            <m:sub>
              <m:r>
                <m:t>c</m:t>
              </m:r>
              <m:r>
                <m:rPr>
                  <m:sty m:val="p"/>
                </m:rPr>
                <m:t>,</m:t>
              </m:r>
              <m:r>
                <m:t>r</m:t>
              </m:r>
            </m:sub>
          </m:sSub>
          <m:r>
            <m:rPr>
              <m:sty m:val="p"/>
            </m:rPr>
            <m:t>+</m:t>
          </m:r>
          <m:sSub>
            <m:e>
              <m:r>
                <m:t>W</m:t>
              </m:r>
            </m:e>
            <m:sub>
              <m:r>
                <m:t>B</m:t>
              </m:r>
            </m:sub>
          </m:sSub>
          <m:sSub>
            <m:e>
              <m:r>
                <m:t>P</m:t>
              </m:r>
            </m:e>
            <m:sub>
              <m:r>
                <m:t>c</m:t>
              </m:r>
              <m:r>
                <m:rPr>
                  <m:sty m:val="p"/>
                </m:rPr>
                <m:t>,</m:t>
              </m:r>
              <m:r>
                <m:t>r</m:t>
              </m:r>
            </m:sub>
          </m:sSub>
          <m:r>
            <m:rPr>
              <m:sty m:val="p"/>
            </m:rPr>
            <m:t>+</m:t>
          </m:r>
          <m:sSub>
            <m:e>
              <m:r>
                <m:t>W</m:t>
              </m:r>
            </m:e>
            <m:sub>
              <m:r>
                <m:t>C</m:t>
              </m:r>
            </m:sub>
          </m:sSub>
          <m:sSub>
            <m:e>
              <m:r>
                <m:t>C</m:t>
              </m:r>
            </m:e>
            <m:sub>
              <m:r>
                <m:t>c</m:t>
              </m:r>
              <m:r>
                <m:rPr>
                  <m:sty m:val="p"/>
                </m:rPr>
                <m:t>,</m:t>
              </m:r>
              <m:r>
                <m:t>r</m:t>
              </m:r>
            </m:sub>
          </m:sSub>
        </m:oMath>
      </m:oMathPara>
    </w:p>
    <w:p>
      <w:pPr>
        <w:pStyle w:val="FirstParagraph"/>
      </w:pPr>
      <m:oMathPara>
        <m:oMathParaPr>
          <m:jc m:val="center"/>
        </m:oMathParaPr>
        <m:oMath>
          <m:sSub>
            <m:e>
              <m:r>
                <m:t>A</m:t>
              </m:r>
            </m:e>
            <m:sub>
              <m:r>
                <m:t>c</m:t>
              </m:r>
              <m:r>
                <m:rPr>
                  <m:sty m:val="p"/>
                </m:rPr>
                <m:t>,</m:t>
              </m:r>
              <m:r>
                <m:t>r</m:t>
              </m:r>
            </m:sub>
          </m:sSub>
          <m:r>
            <m:rPr>
              <m:sty m:val="p"/>
            </m:rPr>
            <m:t>=</m:t>
          </m:r>
          <m:sSub>
            <m:e>
              <m:r>
                <m:t>I</m:t>
              </m:r>
            </m:e>
            <m:sub>
              <m:r>
                <m:t>c</m:t>
              </m:r>
            </m:sub>
          </m:sSub>
          <m:r>
            <m:rPr>
              <m:sty m:val="p"/>
            </m:rPr>
            <m:t>×</m:t>
          </m:r>
          <m:sSub>
            <m:e>
              <m:r>
                <m:t>L</m:t>
              </m:r>
            </m:e>
            <m:sub>
              <m:r>
                <m:t>c</m:t>
              </m:r>
              <m:r>
                <m:rPr>
                  <m:sty m:val="p"/>
                </m:rPr>
                <m:t>,</m:t>
              </m:r>
              <m:r>
                <m:t>r</m:t>
              </m:r>
            </m:sub>
          </m:sSub>
          <m:r>
            <m:rPr>
              <m:sty m:val="p"/>
            </m:rPr>
            <m:t>×</m:t>
          </m:r>
          <m:sSub>
            <m:e>
              <m:r>
                <m:t>E</m:t>
              </m:r>
            </m:e>
            <m:sub>
              <m:r>
                <m:t>c</m:t>
              </m:r>
              <m:r>
                <m:rPr>
                  <m:sty m:val="p"/>
                </m:rPr>
                <m:t>,</m:t>
              </m:r>
              <m:r>
                <m:t>r</m:t>
              </m:r>
            </m:sub>
          </m:sSub>
        </m:oMath>
      </m:oMathPara>
    </w:p>
    <w:p>
      <w:pPr>
        <w:pStyle w:val="FirstParagraph"/>
      </w:pPr>
      <m:oMathPara>
        <m:oMathParaPr>
          <m:jc m:val="center"/>
        </m:oMathParaPr>
        <m:oMath>
          <m:sSub>
            <m:e>
              <m:r>
                <m:t>s</m:t>
              </m:r>
            </m:e>
            <m:sub>
              <m:r>
                <m:t>c</m:t>
              </m:r>
              <m:r>
                <m:rPr>
                  <m:sty m:val="p"/>
                </m:rPr>
                <m:t>,</m:t>
              </m:r>
              <m:r>
                <m:t>r</m:t>
              </m:r>
            </m:sub>
          </m:sSub>
          <m:r>
            <m:rPr>
              <m:sty m:val="p"/>
            </m:rPr>
            <m:t>=</m:t>
          </m:r>
          <m:f>
            <m:fPr>
              <m:type m:val="bar"/>
            </m:fPr>
            <m:num>
              <m:sSub>
                <m:e>
                  <m:r>
                    <m:t>A</m:t>
                  </m:r>
                </m:e>
                <m:sub>
                  <m:r>
                    <m:t>c</m:t>
                  </m:r>
                  <m:r>
                    <m:rPr>
                      <m:sty m:val="p"/>
                    </m:rPr>
                    <m:t>,</m:t>
                  </m:r>
                  <m:r>
                    <m:t>r</m:t>
                  </m:r>
                </m:sub>
              </m:sSub>
            </m:num>
            <m:den>
              <m:nary>
                <m:naryPr>
                  <m:chr m:val="∑"/>
                  <m:limLoc m:val="undOvr"/>
                  <m:subHide m:val="off"/>
                  <m:supHide m:val="on"/>
                </m:naryPr>
                <m:sub>
                  <m:r>
                    <m:t>j</m:t>
                  </m:r>
                </m:sub>
                <m:sup>
                  <m:r>
                    <m:t>​</m:t>
                  </m:r>
                </m:sup>
                <m:e>
                  <m:sSub>
                    <m:e>
                      <m:r>
                        <m:t>A</m:t>
                      </m:r>
                    </m:e>
                    <m:sub>
                      <m:r>
                        <m:t>j</m:t>
                      </m:r>
                      <m:r>
                        <m:rPr>
                          <m:sty m:val="p"/>
                        </m:rPr>
                        <m:t>,</m:t>
                      </m:r>
                      <m:r>
                        <m:t>r</m:t>
                      </m:r>
                    </m:sub>
                  </m:sSub>
                </m:e>
              </m:nary>
            </m:den>
          </m:f>
        </m:oMath>
      </m:oMathPara>
    </w:p>
    <w:p>
      <w:pPr>
        <w:pStyle w:val="FirstParagraph"/>
      </w:pPr>
      <m:oMathPara>
        <m:oMathParaPr>
          <m:jc m:val="center"/>
        </m:oMathParaPr>
        <m:oMath>
          <m:sSub>
            <m:e>
              <m:r>
                <m:rPr>
                  <m:nor/>
                  <m:sty m:val="p"/>
                </m:rPr>
                <m:t>Payout</m:t>
              </m:r>
            </m:e>
            <m:sub>
              <m:r>
                <m:t>c</m:t>
              </m:r>
              <m:r>
                <m:rPr>
                  <m:sty m:val="p"/>
                </m:rPr>
                <m:t>,</m:t>
              </m:r>
              <m:r>
                <m:t>r</m:t>
              </m:r>
            </m:sub>
          </m:sSub>
          <m:r>
            <m:rPr>
              <m:sty m:val="p"/>
            </m:rPr>
            <m:t>=</m:t>
          </m:r>
          <m:sSub>
            <m:e>
              <m:r>
                <m:t>η</m:t>
              </m:r>
            </m:e>
            <m:sub>
              <m:r>
                <m:t>r</m:t>
              </m:r>
            </m:sub>
          </m:sSub>
          <m:r>
            <m:rPr>
              <m:sty m:val="p"/>
            </m:rPr>
            <m:t>×</m:t>
          </m:r>
          <m:r>
            <m:t>Δ</m:t>
          </m:r>
          <m:sSub>
            <m:e>
              <m:r>
                <m:t>M</m:t>
              </m:r>
            </m:e>
            <m:sub>
              <m:r>
                <m:t>r</m:t>
              </m:r>
            </m:sub>
          </m:sSub>
          <m:r>
            <m:rPr>
              <m:sty m:val="p"/>
            </m:rPr>
            <m:t>×</m:t>
          </m:r>
          <m:sSub>
            <m:e>
              <m:r>
                <m:t>s</m:t>
              </m:r>
            </m:e>
            <m:sub>
              <m:r>
                <m:t>c</m:t>
              </m:r>
              <m:r>
                <m:rPr>
                  <m:sty m:val="p"/>
                </m:rPr>
                <m:t>,</m:t>
              </m:r>
              <m:r>
                <m:t>r</m:t>
              </m:r>
            </m:sub>
          </m:sSub>
        </m:oMath>
      </m:oMathPara>
    </w:p>
    <w:bookmarkEnd w:id="57"/>
    <w:bookmarkStart w:id="58" w:name="variable-table"/>
    <w:p>
      <w:pPr>
        <w:pStyle w:val="Heading3"/>
      </w:pPr>
      <w:r>
        <w:t xml:space="preserve">Variable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Meaning</w:t>
            </w:r>
          </w:p>
        </w:tc>
        <w:tc>
          <w:tcPr/>
          <w:p>
            <w:pPr>
              <w:pStyle w:val="Compact"/>
              <w:jc w:val="left"/>
            </w:pPr>
            <w:r>
              <w:t xml:space="preserve">Default / Notes</w:t>
            </w:r>
          </w:p>
        </w:tc>
      </w:tr>
      <w:tr>
        <w:tc>
          <w:tcPr/>
          <w:p>
            <w:pPr>
              <w:pStyle w:val="Compact"/>
              <w:jc w:val="left"/>
            </w:pPr>
            <m:oMath>
              <m:sSub>
                <m:e>
                  <m:r>
                    <m:t>I</m:t>
                  </m:r>
                </m:e>
                <m:sub>
                  <m:r>
                    <m:t>c</m:t>
                  </m:r>
                </m:sub>
              </m:sSub>
            </m:oMath>
          </w:p>
        </w:tc>
        <w:tc>
          <w:tcPr/>
          <w:p>
            <w:pPr>
              <w:pStyle w:val="Compact"/>
              <w:jc w:val="left"/>
            </w:pPr>
            <w:r>
              <w:t xml:space="preserve">Information Impact Score</w:t>
            </w:r>
          </w:p>
        </w:tc>
        <w:tc>
          <w:tcPr/>
          <w:p>
            <w:pPr>
              <w:pStyle w:val="Compact"/>
              <w:jc w:val="left"/>
            </w:pPr>
            <w:r>
              <w:t xml:space="preserve">Category-weighted composite</w:t>
            </w:r>
          </w:p>
        </w:tc>
      </w:tr>
      <w:tr>
        <w:tc>
          <w:tcPr/>
          <w:p>
            <w:pPr>
              <w:pStyle w:val="Compact"/>
              <w:jc w:val="left"/>
            </w:pPr>
            <m:oMath>
              <m:sSub>
                <m:e>
                  <m:r>
                    <m:t>M</m:t>
                  </m:r>
                </m:e>
                <m:sub>
                  <m:r>
                    <m:t>c</m:t>
                  </m:r>
                  <m:r>
                    <m:rPr>
                      <m:sty m:val="p"/>
                    </m:rPr>
                    <m:t>,</m:t>
                  </m:r>
                  <m:r>
                    <m:t>r</m:t>
                  </m:r>
                </m:sub>
              </m:sSub>
            </m:oMath>
          </w:p>
        </w:tc>
        <w:tc>
          <w:tcPr/>
          <w:p>
            <w:pPr>
              <w:pStyle w:val="Compact"/>
              <w:jc w:val="left"/>
            </w:pPr>
            <w:r>
              <w:t xml:space="preserve">Model Development Contribution</w:t>
            </w:r>
          </w:p>
        </w:tc>
        <w:tc>
          <w:tcPr/>
          <w:p>
            <w:pPr>
              <w:pStyle w:val="Compact"/>
              <w:jc w:val="left"/>
            </w:pPr>
            <w:r>
              <w:rPr>
                <w:b/>
                <w:bCs/>
              </w:rPr>
              <w:t xml:space="preserve">50% weight</w:t>
            </w:r>
          </w:p>
        </w:tc>
      </w:tr>
      <w:tr>
        <w:tc>
          <w:tcPr/>
          <w:p>
            <w:pPr>
              <w:pStyle w:val="Compact"/>
              <w:jc w:val="left"/>
            </w:pPr>
            <m:oMath>
              <m:sSub>
                <m:e>
                  <m:r>
                    <m:t>P</m:t>
                  </m:r>
                </m:e>
                <m:sub>
                  <m:r>
                    <m:t>c</m:t>
                  </m:r>
                  <m:r>
                    <m:rPr>
                      <m:sty m:val="p"/>
                    </m:rPr>
                    <m:t>,</m:t>
                  </m:r>
                  <m:r>
                    <m:t>r</m:t>
                  </m:r>
                </m:sub>
              </m:sSub>
            </m:oMath>
          </w:p>
        </w:tc>
        <w:tc>
          <w:tcPr/>
          <w:p>
            <w:pPr>
              <w:pStyle w:val="Compact"/>
              <w:jc w:val="left"/>
            </w:pPr>
            <w:r>
              <w:t xml:space="preserve">Product Development Contribution</w:t>
            </w:r>
          </w:p>
        </w:tc>
        <w:tc>
          <w:tcPr/>
          <w:p>
            <w:pPr>
              <w:pStyle w:val="Compact"/>
              <w:jc w:val="left"/>
            </w:pPr>
            <w:r>
              <w:rPr>
                <w:b/>
                <w:bCs/>
              </w:rPr>
              <w:t xml:space="preserve">30% weight</w:t>
            </w:r>
          </w:p>
        </w:tc>
      </w:tr>
      <w:tr>
        <w:tc>
          <w:tcPr/>
          <w:p>
            <w:pPr>
              <w:pStyle w:val="Compact"/>
              <w:jc w:val="left"/>
            </w:pPr>
            <m:oMath>
              <m:sSub>
                <m:e>
                  <m:r>
                    <m:t>C</m:t>
                  </m:r>
                </m:e>
                <m:sub>
                  <m:r>
                    <m:t>c</m:t>
                  </m:r>
                  <m:r>
                    <m:rPr>
                      <m:sty m:val="p"/>
                    </m:rPr>
                    <m:t>,</m:t>
                  </m:r>
                  <m:r>
                    <m:t>r</m:t>
                  </m:r>
                </m:sub>
              </m:sSub>
            </m:oMath>
          </w:p>
        </w:tc>
        <w:tc>
          <w:tcPr/>
          <w:p>
            <w:pPr>
              <w:pStyle w:val="Compact"/>
              <w:jc w:val="left"/>
            </w:pPr>
            <w:r>
              <w:t xml:space="preserve">Commercial Validation Contribution</w:t>
            </w:r>
          </w:p>
        </w:tc>
        <w:tc>
          <w:tcPr/>
          <w:p>
            <w:pPr>
              <w:pStyle w:val="Compact"/>
              <w:jc w:val="left"/>
            </w:pPr>
            <w:r>
              <w:rPr>
                <w:b/>
                <w:bCs/>
              </w:rPr>
              <w:t xml:space="preserve">20% weight</w:t>
            </w:r>
          </w:p>
        </w:tc>
      </w:tr>
      <w:tr>
        <w:tc>
          <w:tcPr/>
          <w:p>
            <w:pPr>
              <w:pStyle w:val="Compact"/>
              <w:jc w:val="left"/>
            </w:pPr>
            <m:oMath>
              <m:sSub>
                <m:e>
                  <m:r>
                    <m:t>L</m:t>
                  </m:r>
                </m:e>
                <m:sub>
                  <m:r>
                    <m:t>c</m:t>
                  </m:r>
                  <m:r>
                    <m:rPr>
                      <m:sty m:val="p"/>
                    </m:rPr>
                    <m:t>,</m:t>
                  </m:r>
                  <m:r>
                    <m:t>r</m:t>
                  </m:r>
                </m:sub>
              </m:sSub>
            </m:oMath>
          </w:p>
        </w:tc>
        <w:tc>
          <w:tcPr/>
          <w:p>
            <w:pPr>
              <w:pStyle w:val="Compact"/>
              <w:jc w:val="left"/>
            </w:pPr>
            <w:r>
              <w:t xml:space="preserve">Release Alignment Factor</w:t>
            </w:r>
          </w:p>
        </w:tc>
        <w:tc>
          <w:tcPr/>
          <w:p>
            <w:pPr>
              <w:pStyle w:val="Compact"/>
              <w:jc w:val="left"/>
            </w:pPr>
            <m:oMath>
              <m:d>
                <m:dPr>
                  <m:begChr m:val="["/>
                  <m:endChr m:val="]"/>
                  <m:sepChr m:val=""/>
                  <m:grow/>
                </m:dPr>
                <m:e>
                  <m:r>
                    <m:t>0</m:t>
                  </m:r>
                  <m:r>
                    <m:rPr>
                      <m:sty m:val="p"/>
                    </m:rPr>
                    <m:t>,</m:t>
                  </m:r>
                  <m:r>
                    <m:t>1</m:t>
                  </m:r>
                </m:e>
              </m:d>
            </m:oMath>
          </w:p>
        </w:tc>
      </w:tr>
      <w:tr>
        <w:tc>
          <w:tcPr/>
          <w:p>
            <w:pPr>
              <w:pStyle w:val="Compact"/>
              <w:jc w:val="left"/>
            </w:pPr>
            <m:oMath>
              <m:sSub>
                <m:e>
                  <m:r>
                    <m:t>E</m:t>
                  </m:r>
                </m:e>
                <m:sub>
                  <m:r>
                    <m:t>c</m:t>
                  </m:r>
                  <m:r>
                    <m:rPr>
                      <m:sty m:val="p"/>
                    </m:rPr>
                    <m:t>,</m:t>
                  </m:r>
                  <m:r>
                    <m:t>r</m:t>
                  </m:r>
                </m:sub>
              </m:sSub>
            </m:oMath>
          </w:p>
        </w:tc>
        <w:tc>
          <w:tcPr/>
          <w:p>
            <w:pPr>
              <w:pStyle w:val="Compact"/>
              <w:jc w:val="left"/>
            </w:pPr>
            <w:r>
              <w:t xml:space="preserve">Evidence-of-Use Factor</w:t>
            </w:r>
          </w:p>
        </w:tc>
        <w:tc>
          <w:tcPr/>
          <w:p>
            <w:pPr>
              <w:pStyle w:val="Compact"/>
              <w:jc w:val="left"/>
            </w:pPr>
            <w:r>
              <w:t xml:space="preserve">Tiered ladder</w:t>
            </w:r>
            <w:r>
              <w:t xml:space="preserve"> </w:t>
            </w:r>
            <m:oMath>
              <m:d>
                <m:dPr>
                  <m:begChr m:val="["/>
                  <m:endChr m:val="]"/>
                  <m:sepChr m:val=""/>
                  <m:grow/>
                </m:dPr>
                <m:e>
                  <m:r>
                    <m:t>0</m:t>
                  </m:r>
                  <m:r>
                    <m:rPr>
                      <m:sty m:val="p"/>
                    </m:rPr>
                    <m:t>,</m:t>
                  </m:r>
                  <m:r>
                    <m:t>1</m:t>
                  </m:r>
                </m:e>
              </m:d>
            </m:oMath>
          </w:p>
        </w:tc>
      </w:tr>
      <w:tr>
        <w:tc>
          <w:tcPr/>
          <w:p>
            <w:pPr>
              <w:pStyle w:val="Compact"/>
              <w:jc w:val="left"/>
            </w:pPr>
            <m:oMath>
              <m:sSub>
                <m:e>
                  <m:r>
                    <m:t>η</m:t>
                  </m:r>
                </m:e>
                <m:sub>
                  <m:r>
                    <m:t>r</m:t>
                  </m:r>
                </m:sub>
              </m:sSub>
            </m:oMath>
          </w:p>
        </w:tc>
        <w:tc>
          <w:tcPr/>
          <w:p>
            <w:pPr>
              <w:pStyle w:val="Compact"/>
              <w:jc w:val="left"/>
            </w:pPr>
            <w:r>
              <w:t xml:space="preserve">Contributor pool set-aside</w:t>
            </w:r>
          </w:p>
        </w:tc>
        <w:tc>
          <w:tcPr/>
          <w:p>
            <w:pPr>
              <w:pStyle w:val="Compact"/>
              <w:jc w:val="left"/>
            </w:pPr>
            <w:r>
              <w:t xml:space="preserve">Typical standing-program band:</w:t>
            </w:r>
            <w:r>
              <w:t xml:space="preserve"> </w:t>
            </w:r>
            <w:r>
              <w:rPr>
                <w:b/>
                <w:bCs/>
              </w:rPr>
              <w:t xml:space="preserve">0.05%–0.25%</w:t>
            </w:r>
          </w:p>
        </w:tc>
      </w:tr>
      <w:tr>
        <w:tc>
          <w:tcPr/>
          <w:p>
            <w:pPr>
              <w:pStyle w:val="Compact"/>
              <w:jc w:val="left"/>
            </w:pPr>
            <m:oMath>
              <m:r>
                <m:t>Δ</m:t>
              </m:r>
              <m:sSub>
                <m:e>
                  <m:r>
                    <m:t>M</m:t>
                  </m:r>
                </m:e>
                <m:sub>
                  <m:r>
                    <m:t>r</m:t>
                  </m:r>
                </m:sub>
              </m:sSub>
            </m:oMath>
          </w:p>
        </w:tc>
        <w:tc>
          <w:tcPr/>
          <w:p>
            <w:pPr>
              <w:pStyle w:val="Compact"/>
              <w:jc w:val="left"/>
            </w:pPr>
            <w:r>
              <w:t xml:space="preserve">Release-linked monetizable value</w:t>
            </w:r>
          </w:p>
        </w:tc>
        <w:tc>
          <w:tcPr/>
          <w:p>
            <w:pPr>
              <w:pStyle w:val="Compact"/>
              <w:jc w:val="left"/>
            </w:pPr>
            <w:r>
              <w:t xml:space="preserve">Incremental ARR or attributable value preferred</w:t>
            </w:r>
          </w:p>
        </w:tc>
      </w:tr>
    </w:tbl>
    <w:p>
      <w:r>
        <w:pict>
          <v:rect style="width:0;height:1.5pt" o:hralign="center" o:hrstd="t" o:hr="t"/>
        </w:pict>
      </w:r>
    </w:p>
    <w:bookmarkEnd w:id="58"/>
    <w:bookmarkEnd w:id="59"/>
    <w:bookmarkStart w:id="61" w:name="worked-contribution-models"/>
    <w:p>
      <w:pPr>
        <w:pStyle w:val="Heading2"/>
      </w:pPr>
      <w:r>
        <w:t xml:space="preserve">2.11 Worked Contribution Models</w:t>
      </w:r>
    </w:p>
    <w:bookmarkStart w:id="60" w:name="illustrative-policy-simulations-only"/>
    <w:p>
      <w:pPr>
        <w:pStyle w:val="Heading3"/>
      </w:pPr>
      <w:r>
        <w:t xml:space="preserve">Illustrative Policy Simulations Only</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Contribution Cluster</w:t>
            </w:r>
          </w:p>
        </w:tc>
        <w:tc>
          <w:tcPr/>
          <w:p>
            <w:pPr>
              <w:pStyle w:val="Compact"/>
              <w:jc w:val="right"/>
            </w:pPr>
            <w:r>
              <w:t xml:space="preserve">Conservative Scenario</w:t>
            </w:r>
          </w:p>
        </w:tc>
        <w:tc>
          <w:tcPr/>
          <w:p>
            <w:pPr>
              <w:pStyle w:val="Compact"/>
              <w:jc w:val="right"/>
            </w:pPr>
            <w:r>
              <w:t xml:space="preserve">Stronger Evidence Scenario</w:t>
            </w:r>
          </w:p>
        </w:tc>
      </w:tr>
      <w:tr>
        <w:tc>
          <w:tcPr/>
          <w:p>
            <w:pPr>
              <w:pStyle w:val="Compact"/>
              <w:jc w:val="left"/>
            </w:pPr>
            <w:r>
              <w:rPr>
                <w:b/>
                <w:bCs/>
              </w:rPr>
              <w:t xml:space="preserve">March 2025 Agentic Systems</w:t>
            </w:r>
          </w:p>
        </w:tc>
        <w:tc>
          <w:tcPr/>
          <w:p>
            <w:pPr>
              <w:pStyle w:val="Compact"/>
              <w:jc w:val="right"/>
            </w:pPr>
            <w:r>
              <w:t xml:space="preserve">≈</w:t>
            </w:r>
            <w:r>
              <w:t xml:space="preserve"> </w:t>
            </w:r>
            <w:r>
              <w:rPr>
                <w:b/>
                <w:bCs/>
              </w:rPr>
              <w:t xml:space="preserve">$10,920</w:t>
            </w:r>
          </w:p>
        </w:tc>
        <w:tc>
          <w:tcPr/>
          <w:p>
            <w:pPr>
              <w:pStyle w:val="Compact"/>
              <w:jc w:val="right"/>
            </w:pPr>
            <w:r>
              <w:t xml:space="preserve">≈</w:t>
            </w:r>
            <w:r>
              <w:t xml:space="preserve"> </w:t>
            </w:r>
            <w:r>
              <w:rPr>
                <w:b/>
                <w:bCs/>
              </w:rPr>
              <w:t xml:space="preserve">$60,120</w:t>
            </w:r>
          </w:p>
        </w:tc>
      </w:tr>
      <w:tr>
        <w:tc>
          <w:tcPr/>
          <w:p>
            <w:pPr>
              <w:pStyle w:val="Compact"/>
              <w:jc w:val="left"/>
            </w:pPr>
            <w:r>
              <w:rPr>
                <w:b/>
                <w:bCs/>
              </w:rPr>
              <w:t xml:space="preserve">April 2025 Project Memory / Continuity</w:t>
            </w:r>
          </w:p>
        </w:tc>
        <w:tc>
          <w:tcPr/>
          <w:p>
            <w:pPr>
              <w:pStyle w:val="Compact"/>
              <w:jc w:val="right"/>
            </w:pPr>
            <w:r>
              <w:t xml:space="preserve">≈</w:t>
            </w:r>
            <w:r>
              <w:t xml:space="preserve"> </w:t>
            </w:r>
            <w:r>
              <w:rPr>
                <w:b/>
                <w:bCs/>
              </w:rPr>
              <w:t xml:space="preserve">$11,750</w:t>
            </w:r>
          </w:p>
        </w:tc>
        <w:tc>
          <w:tcPr/>
          <w:p>
            <w:pPr>
              <w:pStyle w:val="Compact"/>
              <w:jc w:val="right"/>
            </w:pPr>
            <w:r>
              <w:t xml:space="preserve">≈</w:t>
            </w:r>
            <w:r>
              <w:t xml:space="preserve"> </w:t>
            </w:r>
            <w:r>
              <w:rPr>
                <w:b/>
                <w:bCs/>
              </w:rPr>
              <w:t xml:space="preserve">$70,500</w:t>
            </w:r>
          </w:p>
        </w:tc>
      </w:tr>
      <w:tr>
        <w:tc>
          <w:tcPr/>
          <w:p>
            <w:pPr>
              <w:pStyle w:val="Compact"/>
              <w:jc w:val="left"/>
            </w:pPr>
            <w:r>
              <w:rPr>
                <w:b/>
                <w:bCs/>
              </w:rPr>
              <w:t xml:space="preserve">April 2026 Spreadsheet / Hospital Economics</w:t>
            </w:r>
          </w:p>
        </w:tc>
        <w:tc>
          <w:tcPr/>
          <w:p>
            <w:pPr>
              <w:pStyle w:val="Compact"/>
              <w:jc w:val="right"/>
            </w:pPr>
            <w:r>
              <w:t xml:space="preserve">≈</w:t>
            </w:r>
            <w:r>
              <w:t xml:space="preserve"> </w:t>
            </w:r>
            <w:r>
              <w:rPr>
                <w:b/>
                <w:bCs/>
              </w:rPr>
              <w:t xml:space="preserve">$11,600</w:t>
            </w:r>
          </w:p>
        </w:tc>
        <w:tc>
          <w:tcPr/>
          <w:p>
            <w:pPr>
              <w:pStyle w:val="Compact"/>
              <w:jc w:val="right"/>
            </w:pPr>
            <w:r>
              <w:t xml:space="preserve">≈</w:t>
            </w:r>
            <w:r>
              <w:t xml:space="preserve"> </w:t>
            </w:r>
            <w:r>
              <w:rPr>
                <w:b/>
                <w:bCs/>
              </w:rPr>
              <w:t xml:space="preserve">$63,900</w:t>
            </w:r>
          </w:p>
        </w:tc>
      </w:tr>
    </w:tbl>
    <w:p>
      <w:pPr>
        <w:pStyle w:val="BodyText"/>
      </w:pPr>
      <w:r>
        <w:t xml:space="preserve">These are illustrative models generated under DIAS-C assumptions. They are not damages calculations and do not establish entitlement.</w:t>
      </w:r>
    </w:p>
    <w:p>
      <w:r>
        <w:pict>
          <v:rect style="width:0;height:1.5pt" o:hralign="center" o:hrstd="t" o:hr="t"/>
        </w:pict>
      </w:r>
    </w:p>
    <w:bookmarkEnd w:id="60"/>
    <w:bookmarkEnd w:id="61"/>
    <w:bookmarkStart w:id="62" w:name="X963863770910318dfb46ff4afe886972aadd9b1"/>
    <w:p>
      <w:pPr>
        <w:pStyle w:val="Heading2"/>
      </w:pPr>
      <w:r>
        <w:t xml:space="preserve">2.12 Discovery and Evidence Preservation Targets</w:t>
      </w:r>
    </w:p>
    <w:p>
      <w:pPr>
        <w:pStyle w:val="FirstParagraph"/>
      </w:pPr>
      <w:r>
        <w:t xml:space="preserve">Potential targets for voluntary disclosure, legal preservation, or discovery may include:</w:t>
      </w:r>
    </w:p>
    <w:p>
      <w:pPr>
        <w:pStyle w:val="Compact"/>
        <w:numPr>
          <w:ilvl w:val="0"/>
          <w:numId w:val="1029"/>
        </w:numPr>
      </w:pPr>
      <w:r>
        <w:t xml:space="preserve">records of whether specific conversations were used in training or post-training;</w:t>
      </w:r>
    </w:p>
    <w:p>
      <w:pPr>
        <w:pStyle w:val="Compact"/>
        <w:numPr>
          <w:ilvl w:val="0"/>
          <w:numId w:val="1029"/>
        </w:numPr>
      </w:pPr>
      <w:r>
        <w:t xml:space="preserve">evaluation or benchmark dataset inclusion logs;</w:t>
      </w:r>
    </w:p>
    <w:p>
      <w:pPr>
        <w:pStyle w:val="Compact"/>
        <w:numPr>
          <w:ilvl w:val="0"/>
          <w:numId w:val="1029"/>
        </w:numPr>
      </w:pPr>
      <w:r>
        <w:t xml:space="preserve">internal product-review or feature-prioritization documents;</w:t>
      </w:r>
    </w:p>
    <w:p>
      <w:pPr>
        <w:pStyle w:val="Compact"/>
        <w:numPr>
          <w:ilvl w:val="0"/>
          <w:numId w:val="1029"/>
        </w:numPr>
      </w:pPr>
      <w:r>
        <w:t xml:space="preserve">account-level tags indicating high-value contributor status;</w:t>
      </w:r>
    </w:p>
    <w:p>
      <w:pPr>
        <w:pStyle w:val="Compact"/>
        <w:numPr>
          <w:ilvl w:val="0"/>
          <w:numId w:val="1029"/>
        </w:numPr>
      </w:pPr>
      <w:r>
        <w:t xml:space="preserve">internal references to user-derived workflow signals;</w:t>
      </w:r>
    </w:p>
    <w:p>
      <w:pPr>
        <w:pStyle w:val="Compact"/>
        <w:numPr>
          <w:ilvl w:val="0"/>
          <w:numId w:val="1029"/>
        </w:numPr>
      </w:pPr>
      <w:r>
        <w:t xml:space="preserve">employee review or annotation records tied to contribution clusters;</w:t>
      </w:r>
    </w:p>
    <w:p>
      <w:pPr>
        <w:pStyle w:val="Compact"/>
        <w:numPr>
          <w:ilvl w:val="0"/>
          <w:numId w:val="1029"/>
        </w:numPr>
      </w:pPr>
      <w:r>
        <w:t xml:space="preserve">internal discussion of compensation or recognition models for high-value users.</w:t>
      </w:r>
    </w:p>
    <w:p>
      <w:r>
        <w:pict>
          <v:rect style="width:0;height:1.5pt" o:hralign="center" o:hrstd="t" o:hr="t"/>
        </w:pict>
      </w:r>
    </w:p>
    <w:bookmarkEnd w:id="62"/>
    <w:bookmarkStart w:id="64" w:name="Xa9015ca237194d700b9aa4ca4c98cc70a809720"/>
    <w:p>
      <w:pPr>
        <w:pStyle w:val="Heading2"/>
      </w:pPr>
      <w:r>
        <w:t xml:space="preserve">2.13 Relevance to Wider AI Policy and Litigation</w:t>
      </w:r>
    </w:p>
    <w:p>
      <w:pPr>
        <w:pStyle w:val="FirstParagraph"/>
      </w:pPr>
      <w:r>
        <w:t xml:space="preserve">This matter intersects with broader questions in AI governance and commercial law:</w:t>
      </w:r>
    </w:p>
    <w:p>
      <w:pPr>
        <w:pStyle w:val="Compact"/>
        <w:numPr>
          <w:ilvl w:val="0"/>
          <w:numId w:val="1030"/>
        </w:numPr>
      </w:pPr>
      <w:r>
        <w:t xml:space="preserve">whether users whose data materially improves systems should receive more than nominal contractual treatment;</w:t>
      </w:r>
    </w:p>
    <w:p>
      <w:pPr>
        <w:pStyle w:val="Compact"/>
        <w:numPr>
          <w:ilvl w:val="0"/>
          <w:numId w:val="1030"/>
        </w:numPr>
      </w:pPr>
      <w:r>
        <w:t xml:space="preserve">whether high-value contributors differ from average consumer users;</w:t>
      </w:r>
    </w:p>
    <w:p>
      <w:pPr>
        <w:pStyle w:val="Compact"/>
        <w:numPr>
          <w:ilvl w:val="0"/>
          <w:numId w:val="1030"/>
        </w:numPr>
      </w:pPr>
      <w:r>
        <w:t xml:space="preserve">whether public-benefit structures create stronger expectations around stakeholder treatment;</w:t>
      </w:r>
    </w:p>
    <w:p>
      <w:pPr>
        <w:pStyle w:val="Compact"/>
        <w:numPr>
          <w:ilvl w:val="0"/>
          <w:numId w:val="1030"/>
        </w:numPr>
      </w:pPr>
      <w:r>
        <w:t xml:space="preserve">whether model-generated assurances can matter to fairness and reliance analysis;</w:t>
      </w:r>
    </w:p>
    <w:p>
      <w:pPr>
        <w:pStyle w:val="Compact"/>
        <w:numPr>
          <w:ilvl w:val="0"/>
          <w:numId w:val="1030"/>
        </w:numPr>
      </w:pPr>
      <w:r>
        <w:t xml:space="preserve">and whether AI firms should implement compensation structures analogous in spirit to external-contributor reward systems for users whose work materially improves systems.</w:t>
      </w:r>
    </w:p>
    <w:p>
      <w:pPr>
        <w:pStyle w:val="FirstParagraph"/>
      </w:pPr>
      <w:r>
        <w:t xml:space="preserve">OpenAI states that its October 28, 2025 recapitalization created</w:t>
      </w:r>
      <w:r>
        <w:t xml:space="preserve"> </w:t>
      </w:r>
      <w:r>
        <w:rPr>
          <w:b/>
          <w:bCs/>
        </w:rPr>
        <w:t xml:space="preserve">OpenAI Group PBC</w:t>
      </w:r>
      <w:r>
        <w:t xml:space="preserve">, a public benefit corporation required to advance its stated mission and consider broader stakeholder interests, while equity holders participate proportionally in value growth. See:</w:t>
      </w:r>
      <w:r>
        <w:t xml:space="preserve"> </w:t>
      </w:r>
      <w:hyperlink r:id="rId63">
        <w:r>
          <w:rPr>
            <w:rStyle w:val="Hyperlink"/>
          </w:rPr>
          <w:t xml:space="preserve">OpenAI Our Structure</w:t>
        </w:r>
      </w:hyperlink>
      <w:r>
        <w:t xml:space="preserve">.</w:t>
      </w:r>
    </w:p>
    <w:p>
      <w:r>
        <w:pict>
          <v:rect style="width:0;height:1.5pt" o:hralign="center" o:hrstd="t" o:hr="t"/>
        </w:pict>
      </w:r>
    </w:p>
    <w:bookmarkEnd w:id="64"/>
    <w:bookmarkStart w:id="65" w:name="requested-counsel-action"/>
    <w:p>
      <w:pPr>
        <w:pStyle w:val="Heading2"/>
      </w:pPr>
      <w:r>
        <w:t xml:space="preserve">2.14 Requested Counsel Action</w:t>
      </w:r>
    </w:p>
    <w:p>
      <w:pPr>
        <w:pStyle w:val="FirstParagraph"/>
      </w:pPr>
      <w:r>
        <w:t xml:space="preserve">Mr. Davis requests preliminary assessment of:</w:t>
      </w:r>
    </w:p>
    <w:p>
      <w:pPr>
        <w:pStyle w:val="Compact"/>
        <w:numPr>
          <w:ilvl w:val="0"/>
          <w:numId w:val="1031"/>
        </w:numPr>
      </w:pPr>
      <w:r>
        <w:t xml:space="preserve">Whether the existing record supports any viable claim, preservation demand, or pre-suit inquiry;</w:t>
      </w:r>
    </w:p>
    <w:p>
      <w:pPr>
        <w:pStyle w:val="Compact"/>
        <w:numPr>
          <w:ilvl w:val="0"/>
          <w:numId w:val="1031"/>
        </w:numPr>
      </w:pPr>
      <w:r>
        <w:t xml:space="preserve">Whether OpenAI’s public terms foreclose, narrow, or leave room for restitution or reliance theories;</w:t>
      </w:r>
    </w:p>
    <w:p>
      <w:pPr>
        <w:pStyle w:val="Compact"/>
        <w:numPr>
          <w:ilvl w:val="0"/>
          <w:numId w:val="1031"/>
        </w:numPr>
      </w:pPr>
      <w:r>
        <w:t xml:space="preserve">Whether assistant-generated rights assurances have any legal relevance to reasonable expectation, inducement, or unfairness;</w:t>
      </w:r>
    </w:p>
    <w:p>
      <w:pPr>
        <w:pStyle w:val="Compact"/>
        <w:numPr>
          <w:ilvl w:val="0"/>
          <w:numId w:val="1031"/>
        </w:numPr>
      </w:pPr>
      <w:r>
        <w:t xml:space="preserve">Whether any of Mr. Davis’s technical systems warrant immediate IP triage, including patent, trade-secret, copyright, or licensing review;</w:t>
      </w:r>
    </w:p>
    <w:p>
      <w:pPr>
        <w:pStyle w:val="Compact"/>
        <w:numPr>
          <w:ilvl w:val="0"/>
          <w:numId w:val="1031"/>
        </w:numPr>
      </w:pPr>
      <w:r>
        <w:t xml:space="preserve">Whether DIAS-C is useful as a negotiated compensation framework, settlement model, or public-benefit proposal;</w:t>
      </w:r>
    </w:p>
    <w:p>
      <w:pPr>
        <w:pStyle w:val="Compact"/>
        <w:numPr>
          <w:ilvl w:val="0"/>
          <w:numId w:val="1031"/>
        </w:numPr>
      </w:pPr>
      <w:r>
        <w:t xml:space="preserve">Recommended next steps, including:</w:t>
      </w:r>
    </w:p>
    <w:p>
      <w:pPr>
        <w:pStyle w:val="Compact"/>
        <w:numPr>
          <w:ilvl w:val="1"/>
          <w:numId w:val="1032"/>
        </w:numPr>
      </w:pPr>
      <w:r>
        <w:t xml:space="preserve">preservation letters,</w:t>
      </w:r>
    </w:p>
    <w:p>
      <w:pPr>
        <w:pStyle w:val="Compact"/>
        <w:numPr>
          <w:ilvl w:val="1"/>
          <w:numId w:val="1032"/>
        </w:numPr>
      </w:pPr>
      <w:r>
        <w:t xml:space="preserve">complete record exports,</w:t>
      </w:r>
    </w:p>
    <w:p>
      <w:pPr>
        <w:pStyle w:val="Compact"/>
        <w:numPr>
          <w:ilvl w:val="1"/>
          <w:numId w:val="1032"/>
        </w:numPr>
      </w:pPr>
      <w:r>
        <w:t xml:space="preserve">AI data-attribution review,</w:t>
      </w:r>
    </w:p>
    <w:p>
      <w:pPr>
        <w:pStyle w:val="Compact"/>
        <w:numPr>
          <w:ilvl w:val="1"/>
          <w:numId w:val="1032"/>
        </w:numPr>
      </w:pPr>
      <w:r>
        <w:t xml:space="preserve">economic damages analysis,</w:t>
      </w:r>
    </w:p>
    <w:p>
      <w:pPr>
        <w:pStyle w:val="Compact"/>
        <w:numPr>
          <w:ilvl w:val="1"/>
          <w:numId w:val="1032"/>
        </w:numPr>
      </w:pPr>
      <w:r>
        <w:t xml:space="preserve">or referral to specialized counsel.</w:t>
      </w:r>
    </w:p>
    <w:p>
      <w:r>
        <w:pict>
          <v:rect style="width:0;height:1.5pt" o:hralign="center" o:hrstd="t" o:hr="t"/>
        </w:pict>
      </w:r>
    </w:p>
    <w:bookmarkEnd w:id="65"/>
    <w:bookmarkEnd w:id="66"/>
    <w:bookmarkStart w:id="121" w:name="appendix-a"/>
    <w:p>
      <w:pPr>
        <w:pStyle w:val="Heading1"/>
      </w:pPr>
      <w:r>
        <w:t xml:space="preserve">Appendix A</w:t>
      </w:r>
    </w:p>
    <w:bookmarkStart w:id="67" w:name="full-dias-c-policy-framework"/>
    <w:p>
      <w:pPr>
        <w:pStyle w:val="Heading2"/>
      </w:pPr>
      <w:r>
        <w:t xml:space="preserve">Full DIAS-C Policy Framework</w:t>
      </w:r>
    </w:p>
    <w:bookmarkEnd w:id="67"/>
    <w:bookmarkStart w:id="68" w:name="X60f810378ab5d4702da2dbc9eb193e14825599c"/>
    <w:p>
      <w:pPr>
        <w:pStyle w:val="Heading2"/>
      </w:pPr>
      <w:r>
        <w:t xml:space="preserve">Developmental Impact Attribution &amp; Superuser Compensation Framework</w:t>
      </w:r>
    </w:p>
    <w:p>
      <w:r>
        <w:pict>
          <v:rect style="width:0;height:1.5pt" o:hralign="center" o:hrstd="t" o:hr="t"/>
        </w:pict>
      </w:r>
    </w:p>
    <w:bookmarkEnd w:id="68"/>
    <w:bookmarkStart w:id="69" w:name="a.1-executive-summary"/>
    <w:p>
      <w:pPr>
        <w:pStyle w:val="Heading2"/>
      </w:pPr>
      <w:r>
        <w:t xml:space="preserve">A.1 Executive Summary</w:t>
      </w:r>
    </w:p>
    <w:p>
      <w:pPr>
        <w:pStyle w:val="FirstParagraph"/>
      </w:pPr>
      <w:r>
        <w:t xml:space="preserve">The</w:t>
      </w:r>
      <w:r>
        <w:t xml:space="preserve"> </w:t>
      </w:r>
      <w:r>
        <w:rPr>
          <w:b/>
          <w:bCs/>
        </w:rPr>
        <w:t xml:space="preserve">Developmental Impact Attribution &amp; Superuser Compensation Framework (</w:t>
      </w:r>
      <w:r>
        <w:rPr>
          <w:b/>
          <w:bCs/>
        </w:rPr>
        <w:t xml:space="preserve">“</w:t>
      </w:r>
      <w:r>
        <w:rPr>
          <w:b/>
          <w:bCs/>
        </w:rPr>
        <w:t xml:space="preserve">DIAS-C</w:t>
      </w:r>
      <w:r>
        <w:rPr>
          <w:b/>
          <w:bCs/>
        </w:rPr>
        <w:t xml:space="preserve">”</w:t>
      </w:r>
      <w:r>
        <w:rPr>
          <w:b/>
          <w:bCs/>
        </w:rPr>
        <w:t xml:space="preserve">)</w:t>
      </w:r>
      <w:r>
        <w:t xml:space="preserve"> </w:t>
      </w:r>
      <w:r>
        <w:t xml:space="preserve">addresses a growing asymmetry in AI development: platforms may derive developmental, product, and commercial value from user-generated interactions, while current terms-of-service frameworks generally treat those contributions as economically equivalent low-value feedback.</w:t>
      </w:r>
    </w:p>
    <w:p>
      <w:pPr>
        <w:pStyle w:val="BodyText"/>
      </w:pPr>
      <w:r>
        <w:t xml:space="preserve">DIAS-C begins from a narrower proposition:</w:t>
      </w:r>
    </w:p>
    <w:p>
      <w:pPr>
        <w:pStyle w:val="BlockText"/>
      </w:pPr>
      <w:r>
        <w:rPr>
          <w:b/>
          <w:bCs/>
        </w:rPr>
        <w:t xml:space="preserve">Not all user-generated tokens, threads, or contribution corpora carry equal developmental value.</w:t>
      </w:r>
    </w:p>
    <w:p>
      <w:pPr>
        <w:pStyle w:val="FirstParagraph"/>
      </w:pPr>
      <w:r>
        <w:t xml:space="preserve">Persistent, structured, technically dense, domain-expert-level contributions from high-signal</w:t>
      </w:r>
      <w:r>
        <w:t xml:space="preserve"> </w:t>
      </w:r>
      <w:r>
        <w:t xml:space="preserve">“</w:t>
      </w:r>
      <w:r>
        <w:t xml:space="preserve">superusers</w:t>
      </w:r>
      <w:r>
        <w:t xml:space="preserve">”</w:t>
      </w:r>
      <w:r>
        <w:t xml:space="preserve"> </w:t>
      </w:r>
      <w:r>
        <w:t xml:space="preserve">may provide disproportionate value for:</w:t>
      </w:r>
    </w:p>
    <w:p>
      <w:pPr>
        <w:pStyle w:val="Compact"/>
        <w:numPr>
          <w:ilvl w:val="0"/>
          <w:numId w:val="1033"/>
        </w:numPr>
      </w:pPr>
      <w:r>
        <w:t xml:space="preserve">post-training;</w:t>
      </w:r>
    </w:p>
    <w:p>
      <w:pPr>
        <w:pStyle w:val="Compact"/>
        <w:numPr>
          <w:ilvl w:val="0"/>
          <w:numId w:val="1033"/>
        </w:numPr>
      </w:pPr>
      <w:r>
        <w:t xml:space="preserve">supervised fine-tuning;</w:t>
      </w:r>
    </w:p>
    <w:p>
      <w:pPr>
        <w:pStyle w:val="Compact"/>
        <w:numPr>
          <w:ilvl w:val="0"/>
          <w:numId w:val="1033"/>
        </w:numPr>
      </w:pPr>
      <w:r>
        <w:t xml:space="preserve">preference optimization;</w:t>
      </w:r>
    </w:p>
    <w:p>
      <w:pPr>
        <w:pStyle w:val="Compact"/>
        <w:numPr>
          <w:ilvl w:val="0"/>
          <w:numId w:val="1033"/>
        </w:numPr>
      </w:pPr>
      <w:r>
        <w:t xml:space="preserve">evaluation and red-team design;</w:t>
      </w:r>
    </w:p>
    <w:p>
      <w:pPr>
        <w:pStyle w:val="Compact"/>
        <w:numPr>
          <w:ilvl w:val="0"/>
          <w:numId w:val="1033"/>
        </w:numPr>
      </w:pPr>
      <w:r>
        <w:t xml:space="preserve">product-direction discovery;</w:t>
      </w:r>
    </w:p>
    <w:p>
      <w:pPr>
        <w:pStyle w:val="Compact"/>
        <w:numPr>
          <w:ilvl w:val="0"/>
          <w:numId w:val="1033"/>
        </w:numPr>
      </w:pPr>
      <w:r>
        <w:t xml:space="preserve">and commercial-validation of workflows not yet fully productized.</w:t>
      </w:r>
    </w:p>
    <w:p>
      <w:pPr>
        <w:pStyle w:val="FirstParagraph"/>
      </w:pPr>
      <w:r>
        <w:t xml:space="preserve">DIAS-C does</w:t>
      </w:r>
      <w:r>
        <w:t xml:space="preserve"> </w:t>
      </w:r>
      <w:r>
        <w:rPr>
          <w:b/>
          <w:bCs/>
        </w:rPr>
        <w:t xml:space="preserve">not</w:t>
      </w:r>
      <w:r>
        <w:t xml:space="preserve"> </w:t>
      </w:r>
      <w:r>
        <w:t xml:space="preserve">presume that every high-quality interaction generates compensable value. Instead, it establishes a disciplined method for identifying the subset of user contributions that can be credibly linked to developmental, product, or commercial benefit.</w:t>
      </w:r>
    </w:p>
    <w:p>
      <w:pPr>
        <w:pStyle w:val="BodyText"/>
      </w:pPr>
      <w:r>
        <w:t xml:space="preserve">The framework is intentionally limited in initial scope to:</w:t>
      </w:r>
    </w:p>
    <w:p>
      <w:pPr>
        <w:pStyle w:val="Compact"/>
        <w:numPr>
          <w:ilvl w:val="0"/>
          <w:numId w:val="1034"/>
        </w:numPr>
      </w:pPr>
      <w:r>
        <w:t xml:space="preserve">post-training and refinement environments;</w:t>
      </w:r>
    </w:p>
    <w:p>
      <w:pPr>
        <w:pStyle w:val="Compact"/>
        <w:numPr>
          <w:ilvl w:val="0"/>
          <w:numId w:val="1034"/>
        </w:numPr>
      </w:pPr>
      <w:r>
        <w:t xml:space="preserve">SFT and preference data;</w:t>
      </w:r>
    </w:p>
    <w:p>
      <w:pPr>
        <w:pStyle w:val="Compact"/>
        <w:numPr>
          <w:ilvl w:val="0"/>
          <w:numId w:val="1034"/>
        </w:numPr>
      </w:pPr>
      <w:r>
        <w:t xml:space="preserve">evaluation, benchmark, and red-team traces;</w:t>
      </w:r>
    </w:p>
    <w:p>
      <w:pPr>
        <w:pStyle w:val="Compact"/>
        <w:numPr>
          <w:ilvl w:val="0"/>
          <w:numId w:val="1034"/>
        </w:numPr>
      </w:pPr>
      <w:r>
        <w:t xml:space="preserve">product-feedback and workflow-discovery signals;</w:t>
      </w:r>
    </w:p>
    <w:p>
      <w:pPr>
        <w:pStyle w:val="Compact"/>
        <w:numPr>
          <w:ilvl w:val="0"/>
          <w:numId w:val="1034"/>
        </w:numPr>
      </w:pPr>
      <w:r>
        <w:t xml:space="preserve">and commercial-validation patterns.</w:t>
      </w:r>
    </w:p>
    <w:p>
      <w:pPr>
        <w:pStyle w:val="FirstParagraph"/>
      </w:pPr>
      <w:r>
        <w:t xml:space="preserve">It does not initially seek to attribute diffuse base pre-training.</w:t>
      </w:r>
    </w:p>
    <w:p>
      <w:pPr>
        <w:pStyle w:val="BodyText"/>
      </w:pPr>
      <w:r>
        <w:t xml:space="preserve">Brandon Ray Davis’s contribution record is presented as a potential test case because it combines:</w:t>
      </w:r>
    </w:p>
    <w:p>
      <w:pPr>
        <w:pStyle w:val="Compact"/>
        <w:numPr>
          <w:ilvl w:val="0"/>
          <w:numId w:val="1035"/>
        </w:numPr>
      </w:pPr>
      <w:r>
        <w:t xml:space="preserve">persistence;</w:t>
      </w:r>
    </w:p>
    <w:p>
      <w:pPr>
        <w:pStyle w:val="Compact"/>
        <w:numPr>
          <w:ilvl w:val="0"/>
          <w:numId w:val="1035"/>
        </w:numPr>
      </w:pPr>
      <w:r>
        <w:t xml:space="preserve">technical density;</w:t>
      </w:r>
    </w:p>
    <w:p>
      <w:pPr>
        <w:pStyle w:val="Compact"/>
        <w:numPr>
          <w:ilvl w:val="0"/>
          <w:numId w:val="1035"/>
        </w:numPr>
      </w:pPr>
      <w:r>
        <w:t xml:space="preserve">multi-domain sophistication;</w:t>
      </w:r>
    </w:p>
    <w:p>
      <w:pPr>
        <w:pStyle w:val="Compact"/>
        <w:numPr>
          <w:ilvl w:val="0"/>
          <w:numId w:val="1035"/>
        </w:numPr>
      </w:pPr>
      <w:r>
        <w:t xml:space="preserve">repeated rights reservation;</w:t>
      </w:r>
    </w:p>
    <w:p>
      <w:pPr>
        <w:pStyle w:val="Compact"/>
        <w:numPr>
          <w:ilvl w:val="0"/>
          <w:numId w:val="1035"/>
        </w:numPr>
      </w:pPr>
      <w:r>
        <w:t xml:space="preserve">intentional strategic use;</w:t>
      </w:r>
    </w:p>
    <w:p>
      <w:pPr>
        <w:pStyle w:val="Compact"/>
        <w:numPr>
          <w:ilvl w:val="0"/>
          <w:numId w:val="1035"/>
        </w:numPr>
      </w:pPr>
      <w:r>
        <w:t xml:space="preserve">and apparent alignment with later monetized capability areas.</w:t>
      </w:r>
    </w:p>
    <w:p>
      <w:r>
        <w:pict>
          <v:rect style="width:0;height:1.5pt" o:hralign="center" o:hrstd="t" o:hr="t"/>
        </w:pict>
      </w:r>
    </w:p>
    <w:bookmarkEnd w:id="69"/>
    <w:bookmarkStart w:id="70" w:name="a.2-core-premise"/>
    <w:p>
      <w:pPr>
        <w:pStyle w:val="Heading2"/>
      </w:pPr>
      <w:r>
        <w:t xml:space="preserve">A.2 Core Premise</w:t>
      </w:r>
    </w:p>
    <w:p>
      <w:pPr>
        <w:pStyle w:val="FirstParagraph"/>
      </w:pPr>
      <w:r>
        <w:t xml:space="preserve">DIAS-C rests on four premises:</w:t>
      </w:r>
    </w:p>
    <w:p>
      <w:pPr>
        <w:numPr>
          <w:ilvl w:val="0"/>
          <w:numId w:val="1036"/>
        </w:numPr>
      </w:pPr>
      <w:r>
        <w:rPr>
          <w:b/>
          <w:bCs/>
        </w:rPr>
        <w:t xml:space="preserve">Not all tokens are equal.</w:t>
      </w:r>
      <w:r>
        <w:br/>
      </w:r>
      <w:r>
        <w:t xml:space="preserve">Some interactions may have materially higher developmental, product, or commercial utility than ordinary low-complexity use.</w:t>
      </w:r>
    </w:p>
    <w:p>
      <w:pPr>
        <w:numPr>
          <w:ilvl w:val="0"/>
          <w:numId w:val="1036"/>
        </w:numPr>
      </w:pPr>
      <w:r>
        <w:rPr>
          <w:b/>
          <w:bCs/>
        </w:rPr>
        <w:t xml:space="preserve">High-information-value contributions can be rare and measurable.</w:t>
      </w:r>
      <w:r>
        <w:br/>
      </w:r>
      <w:r>
        <w:t xml:space="preserve">Long, structured, technically sophisticated user workstreams may be identifiable as a distinct class of input.</w:t>
      </w:r>
    </w:p>
    <w:p>
      <w:pPr>
        <w:numPr>
          <w:ilvl w:val="0"/>
          <w:numId w:val="1036"/>
        </w:numPr>
      </w:pPr>
      <w:r>
        <w:rPr>
          <w:b/>
          <w:bCs/>
        </w:rPr>
        <w:t xml:space="preserve">Compensation should follow auditable contribution value, not raw volume.</w:t>
      </w:r>
      <w:r>
        <w:br/>
      </w:r>
      <w:r>
        <w:t xml:space="preserve">Token count alone is a poor proxy. Novelty, utility, release relevance, evidence of use, and commercial materiality matter more.</w:t>
      </w:r>
    </w:p>
    <w:p>
      <w:pPr>
        <w:numPr>
          <w:ilvl w:val="0"/>
          <w:numId w:val="1036"/>
        </w:numPr>
      </w:pPr>
      <w:r>
        <w:rPr>
          <w:b/>
          <w:bCs/>
        </w:rPr>
        <w:t xml:space="preserve">A fair compensation system can be administered without requiring impossible certainty about singular causation.</w:t>
      </w:r>
      <w:r>
        <w:br/>
      </w:r>
      <w:r>
        <w:t xml:space="preserve">The framework does not require proving that one user</w:t>
      </w:r>
      <w:r>
        <w:t xml:space="preserve"> </w:t>
      </w:r>
      <w:r>
        <w:t xml:space="preserve">“</w:t>
      </w:r>
      <w:r>
        <w:t xml:space="preserve">caused</w:t>
      </w:r>
      <w:r>
        <w:t xml:space="preserve">”</w:t>
      </w:r>
      <w:r>
        <w:t xml:space="preserve"> </w:t>
      </w:r>
      <w:r>
        <w:t xml:space="preserve">a feature release. It allocates contribution value within a complex multi-input ecosystem.</w:t>
      </w:r>
    </w:p>
    <w:p>
      <w:r>
        <w:pict>
          <v:rect style="width:0;height:1.5pt" o:hralign="center" o:hrstd="t" o:hr="t"/>
        </w:pict>
      </w:r>
    </w:p>
    <w:bookmarkEnd w:id="70"/>
    <w:bookmarkStart w:id="74" w:name="a.3-scope"/>
    <w:p>
      <w:pPr>
        <w:pStyle w:val="Heading2"/>
      </w:pPr>
      <w:r>
        <w:t xml:space="preserve">A.3 Scope</w:t>
      </w:r>
    </w:p>
    <w:bookmarkStart w:id="71" w:name="included-contribution-domains"/>
    <w:p>
      <w:pPr>
        <w:pStyle w:val="Heading3"/>
      </w:pPr>
      <w:r>
        <w:t xml:space="preserve">Included Contribution Domains</w:t>
      </w:r>
    </w:p>
    <w:p>
      <w:pPr>
        <w:pStyle w:val="FirstParagraph"/>
      </w:pPr>
      <w:r>
        <w:t xml:space="preserve">DIAS-C initially applies to:</w:t>
      </w:r>
    </w:p>
    <w:p>
      <w:pPr>
        <w:pStyle w:val="Compact"/>
        <w:numPr>
          <w:ilvl w:val="0"/>
          <w:numId w:val="1037"/>
        </w:numPr>
      </w:pPr>
      <w:r>
        <w:rPr>
          <w:b/>
          <w:bCs/>
        </w:rPr>
        <w:t xml:space="preserve">Supervised Fine-Tuning (SFT) and preference data</w:t>
      </w:r>
    </w:p>
    <w:p>
      <w:pPr>
        <w:pStyle w:val="Compact"/>
        <w:numPr>
          <w:ilvl w:val="0"/>
          <w:numId w:val="1037"/>
        </w:numPr>
      </w:pPr>
      <w:r>
        <w:rPr>
          <w:b/>
          <w:bCs/>
        </w:rPr>
        <w:t xml:space="preserve">Post-training and alignment datasets</w:t>
      </w:r>
    </w:p>
    <w:p>
      <w:pPr>
        <w:pStyle w:val="Compact"/>
        <w:numPr>
          <w:ilvl w:val="0"/>
          <w:numId w:val="1037"/>
        </w:numPr>
      </w:pPr>
      <w:r>
        <w:rPr>
          <w:b/>
          <w:bCs/>
        </w:rPr>
        <w:t xml:space="preserve">Evaluation, benchmark, and red-team traces</w:t>
      </w:r>
    </w:p>
    <w:p>
      <w:pPr>
        <w:pStyle w:val="Compact"/>
        <w:numPr>
          <w:ilvl w:val="0"/>
          <w:numId w:val="1037"/>
        </w:numPr>
      </w:pPr>
      <w:r>
        <w:rPr>
          <w:b/>
          <w:bCs/>
        </w:rPr>
        <w:t xml:space="preserve">Product-feedback and workflow-discovery signals</w:t>
      </w:r>
    </w:p>
    <w:p>
      <w:pPr>
        <w:pStyle w:val="Compact"/>
        <w:numPr>
          <w:ilvl w:val="0"/>
          <w:numId w:val="1037"/>
        </w:numPr>
      </w:pPr>
      <w:r>
        <w:rPr>
          <w:b/>
          <w:bCs/>
        </w:rPr>
        <w:t xml:space="preserve">Commercial-validation patterns</w:t>
      </w:r>
      <w:r>
        <w:t xml:space="preserve">, especially where a user demonstrates enterprise-grade or professional workflows before full productization</w:t>
      </w:r>
    </w:p>
    <w:bookmarkEnd w:id="71"/>
    <w:bookmarkStart w:id="72" w:name="excluded-or-deferred-domains"/>
    <w:p>
      <w:pPr>
        <w:pStyle w:val="Heading3"/>
      </w:pPr>
      <w:r>
        <w:t xml:space="preserve">Excluded or Deferred Domains</w:t>
      </w:r>
    </w:p>
    <w:p>
      <w:pPr>
        <w:pStyle w:val="FirstParagraph"/>
      </w:pPr>
      <w:r>
        <w:t xml:space="preserve">Initially excluded:</w:t>
      </w:r>
    </w:p>
    <w:p>
      <w:pPr>
        <w:pStyle w:val="Compact"/>
        <w:numPr>
          <w:ilvl w:val="0"/>
          <w:numId w:val="1038"/>
        </w:numPr>
      </w:pPr>
      <w:r>
        <w:t xml:space="preserve">diffuse base-model pre-training;</w:t>
      </w:r>
    </w:p>
    <w:p>
      <w:pPr>
        <w:pStyle w:val="Compact"/>
        <w:numPr>
          <w:ilvl w:val="0"/>
          <w:numId w:val="1038"/>
        </w:numPr>
      </w:pPr>
      <w:r>
        <w:t xml:space="preserve">generalized public web data;</w:t>
      </w:r>
    </w:p>
    <w:p>
      <w:pPr>
        <w:pStyle w:val="Compact"/>
        <w:numPr>
          <w:ilvl w:val="0"/>
          <w:numId w:val="1038"/>
        </w:numPr>
      </w:pPr>
      <w:r>
        <w:t xml:space="preserve">broad popularity signals that cannot be linked to specific user contribution corpora;</w:t>
      </w:r>
    </w:p>
    <w:p>
      <w:pPr>
        <w:pStyle w:val="Compact"/>
        <w:numPr>
          <w:ilvl w:val="0"/>
          <w:numId w:val="1038"/>
        </w:numPr>
      </w:pPr>
      <w:r>
        <w:t xml:space="preserve">untraceable casual chat activity with no meaningful release relevance.</w:t>
      </w:r>
    </w:p>
    <w:bookmarkEnd w:id="72"/>
    <w:bookmarkStart w:id="73" w:name="why-commercial-validation-is-included"/>
    <w:p>
      <w:pPr>
        <w:pStyle w:val="Heading3"/>
      </w:pPr>
      <w:r>
        <w:t xml:space="preserve">Why Commercial Validation Is Included</w:t>
      </w:r>
    </w:p>
    <w:p>
      <w:pPr>
        <w:pStyle w:val="FirstParagraph"/>
      </w:pPr>
      <w:r>
        <w:t xml:space="preserve">A user may create value not only by helping improve a model’s reasoning behavior, but also by demonstrating that a specific capability supports:</w:t>
      </w:r>
    </w:p>
    <w:p>
      <w:pPr>
        <w:pStyle w:val="Compact"/>
        <w:numPr>
          <w:ilvl w:val="0"/>
          <w:numId w:val="1039"/>
        </w:numPr>
      </w:pPr>
      <w:r>
        <w:t xml:space="preserve">real enterprise work;</w:t>
      </w:r>
    </w:p>
    <w:p>
      <w:pPr>
        <w:pStyle w:val="Compact"/>
        <w:numPr>
          <w:ilvl w:val="0"/>
          <w:numId w:val="1039"/>
        </w:numPr>
      </w:pPr>
      <w:r>
        <w:t xml:space="preserve">professional decision-making;</w:t>
      </w:r>
    </w:p>
    <w:p>
      <w:pPr>
        <w:pStyle w:val="Compact"/>
        <w:numPr>
          <w:ilvl w:val="0"/>
          <w:numId w:val="1039"/>
        </w:numPr>
      </w:pPr>
      <w:r>
        <w:t xml:space="preserve">hospital or clinical economics;</w:t>
      </w:r>
    </w:p>
    <w:p>
      <w:pPr>
        <w:pStyle w:val="Compact"/>
        <w:numPr>
          <w:ilvl w:val="0"/>
          <w:numId w:val="1039"/>
        </w:numPr>
      </w:pPr>
      <w:r>
        <w:t xml:space="preserve">financial modeling;</w:t>
      </w:r>
    </w:p>
    <w:p>
      <w:pPr>
        <w:pStyle w:val="Compact"/>
        <w:numPr>
          <w:ilvl w:val="0"/>
          <w:numId w:val="1039"/>
        </w:numPr>
      </w:pPr>
      <w:r>
        <w:t xml:space="preserve">automation-ready workflows;</w:t>
      </w:r>
    </w:p>
    <w:p>
      <w:pPr>
        <w:pStyle w:val="Compact"/>
        <w:numPr>
          <w:ilvl w:val="0"/>
          <w:numId w:val="1039"/>
        </w:numPr>
      </w:pPr>
      <w:r>
        <w:t xml:space="preserve">or other monetizable product directions.</w:t>
      </w:r>
    </w:p>
    <w:p>
      <w:r>
        <w:pict>
          <v:rect style="width:0;height:1.5pt" o:hralign="center" o:hrstd="t" o:hr="t"/>
        </w:pict>
      </w:r>
    </w:p>
    <w:bookmarkEnd w:id="73"/>
    <w:bookmarkEnd w:id="74"/>
    <w:bookmarkStart w:id="75" w:name="a.4-definitions"/>
    <w:p>
      <w:pPr>
        <w:pStyle w:val="Heading2"/>
      </w:pPr>
      <w:r>
        <w:t xml:space="preserve">A.4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Superuser</w:t>
            </w:r>
          </w:p>
        </w:tc>
        <w:tc>
          <w:tcPr/>
          <w:p>
            <w:pPr>
              <w:pStyle w:val="Compact"/>
              <w:jc w:val="left"/>
            </w:pPr>
            <w:r>
              <w:t xml:space="preserve">A verified user whose account history shows persistent, high-volume, technically sophisticated, and strategically oriented interaction over an extended period</w:t>
            </w:r>
          </w:p>
        </w:tc>
      </w:tr>
      <w:tr>
        <w:tc>
          <w:tcPr/>
          <w:p>
            <w:pPr>
              <w:pStyle w:val="Compact"/>
              <w:jc w:val="left"/>
            </w:pPr>
            <w:r>
              <w:rPr>
                <w:b/>
                <w:bCs/>
              </w:rPr>
              <w:t xml:space="preserve">High-Information-Value Contribution</w:t>
            </w:r>
          </w:p>
        </w:tc>
        <w:tc>
          <w:tcPr/>
          <w:p>
            <w:pPr>
              <w:pStyle w:val="Compact"/>
              <w:jc w:val="left"/>
            </w:pPr>
            <w:r>
              <w:t xml:space="preserve">A thread, token cluster, or contribution corpus exhibiting novelty, technical density, iterative refinement, and developmental or product utility</w:t>
            </w:r>
          </w:p>
        </w:tc>
      </w:tr>
      <w:tr>
        <w:tc>
          <w:tcPr/>
          <w:p>
            <w:pPr>
              <w:pStyle w:val="Compact"/>
              <w:jc w:val="left"/>
            </w:pPr>
            <w:r>
              <w:rPr>
                <w:b/>
                <w:bCs/>
              </w:rPr>
              <w:t xml:space="preserve">Contribution Corpus</w:t>
            </w:r>
          </w:p>
        </w:tc>
        <w:tc>
          <w:tcPr/>
          <w:p>
            <w:pPr>
              <w:pStyle w:val="Compact"/>
              <w:jc w:val="left"/>
            </w:pPr>
            <w:r>
              <w:t xml:space="preserve">The set of eligible user interactions considered together within a defined release or evaluation window</w:t>
            </w:r>
          </w:p>
        </w:tc>
      </w:tr>
      <w:tr>
        <w:tc>
          <w:tcPr/>
          <w:p>
            <w:pPr>
              <w:pStyle w:val="Compact"/>
              <w:jc w:val="left"/>
            </w:pPr>
            <w:r>
              <w:rPr>
                <w:b/>
                <w:bCs/>
              </w:rPr>
              <w:t xml:space="preserve">Developmental Utility</w:t>
            </w:r>
          </w:p>
        </w:tc>
        <w:tc>
          <w:tcPr/>
          <w:p>
            <w:pPr>
              <w:pStyle w:val="Compact"/>
              <w:jc w:val="left"/>
            </w:pPr>
            <w:r>
              <w:t xml:space="preserve">The degree to which a contribution supports training, alignment, post-training, evaluation, or model-behavior improvement</w:t>
            </w:r>
          </w:p>
        </w:tc>
      </w:tr>
      <w:tr>
        <w:tc>
          <w:tcPr/>
          <w:p>
            <w:pPr>
              <w:pStyle w:val="Compact"/>
              <w:jc w:val="left"/>
            </w:pPr>
            <w:r>
              <w:rPr>
                <w:b/>
                <w:bCs/>
              </w:rPr>
              <w:t xml:space="preserve">Release Alignment</w:t>
            </w:r>
          </w:p>
        </w:tc>
        <w:tc>
          <w:tcPr/>
          <w:p>
            <w:pPr>
              <w:pStyle w:val="Compact"/>
              <w:jc w:val="left"/>
            </w:pPr>
            <w:r>
              <w:t xml:space="preserve">The degree of thematic, structural, and functional correspondence between a contribution and a later shipped capability</w:t>
            </w:r>
          </w:p>
        </w:tc>
      </w:tr>
      <w:tr>
        <w:tc>
          <w:tcPr/>
          <w:p>
            <w:pPr>
              <w:pStyle w:val="Compact"/>
              <w:jc w:val="left"/>
            </w:pPr>
            <w:r>
              <w:rPr>
                <w:b/>
                <w:bCs/>
              </w:rPr>
              <w:t xml:space="preserve">Evidence-of-Use</w:t>
            </w:r>
          </w:p>
        </w:tc>
        <w:tc>
          <w:tcPr/>
          <w:p>
            <w:pPr>
              <w:pStyle w:val="Compact"/>
              <w:jc w:val="left"/>
            </w:pPr>
            <w:r>
              <w:t xml:space="preserve">The strength of proof that a contribution was reviewed, classified, selected, incorporated, or shown to influence development or evaluation</w:t>
            </w:r>
          </w:p>
        </w:tc>
      </w:tr>
      <w:tr>
        <w:tc>
          <w:tcPr/>
          <w:p>
            <w:pPr>
              <w:pStyle w:val="Compact"/>
              <w:jc w:val="left"/>
            </w:pPr>
            <w:r>
              <w:rPr>
                <w:b/>
                <w:bCs/>
              </w:rPr>
              <w:t xml:space="preserve">Compensable Contribution Share</w:t>
            </w:r>
          </w:p>
        </w:tc>
        <w:tc>
          <w:tcPr/>
          <w:p>
            <w:pPr>
              <w:pStyle w:val="Compact"/>
              <w:jc w:val="left"/>
            </w:pPr>
            <w:r>
              <w:t xml:space="preserve">The audited share of a designated value pool attributable to a qualifying contributor</w:t>
            </w:r>
          </w:p>
        </w:tc>
      </w:tr>
      <w:tr>
        <w:tc>
          <w:tcPr/>
          <w:p>
            <w:pPr>
              <w:pStyle w:val="Compact"/>
              <w:jc w:val="left"/>
            </w:pPr>
            <w:r>
              <w:rPr>
                <w:b/>
                <w:bCs/>
              </w:rPr>
              <w:t xml:space="preserve">Release-Linked Monetizable Value</w:t>
            </w:r>
          </w:p>
        </w:tc>
        <w:tc>
          <w:tcPr/>
          <w:p>
            <w:pPr>
              <w:pStyle w:val="Compact"/>
              <w:jc w:val="left"/>
            </w:pPr>
            <w:r>
              <w:t xml:space="preserve">Incremental revenue, contribution margin, gross profit, enterprise contract value, or other measured commercial benefit tied to a release or capability area</w:t>
            </w:r>
          </w:p>
        </w:tc>
      </w:tr>
      <w:tr>
        <w:tc>
          <w:tcPr/>
          <w:p>
            <w:pPr>
              <w:pStyle w:val="Compact"/>
              <w:jc w:val="left"/>
            </w:pPr>
            <w:r>
              <w:rPr>
                <w:b/>
                <w:bCs/>
              </w:rPr>
              <w:t xml:space="preserve">DIAS-C Value Pool</w:t>
            </w:r>
          </w:p>
        </w:tc>
        <w:tc>
          <w:tcPr/>
          <w:p>
            <w:pPr>
              <w:pStyle w:val="Compact"/>
              <w:jc w:val="left"/>
            </w:pPr>
            <w:r>
              <w:t xml:space="preserve">The portion of monetizable release value set aside for qualifying external contributors</w:t>
            </w:r>
          </w:p>
        </w:tc>
      </w:tr>
      <w:tr>
        <w:tc>
          <w:tcPr/>
          <w:p>
            <w:pPr>
              <w:pStyle w:val="Compact"/>
              <w:jc w:val="left"/>
            </w:pPr>
            <w:r>
              <w:rPr>
                <w:b/>
                <w:bCs/>
              </w:rPr>
              <w:t xml:space="preserve">Rights-Reserved Contributor</w:t>
            </w:r>
          </w:p>
        </w:tc>
        <w:tc>
          <w:tcPr/>
          <w:p>
            <w:pPr>
              <w:pStyle w:val="Compact"/>
              <w:jc w:val="left"/>
            </w:pPr>
            <w:r>
              <w:t xml:space="preserve">A contributor who expressly documents intent to preserve intellectual property, proprietary interests, ownership rights, or compensation expectations</w:t>
            </w:r>
          </w:p>
        </w:tc>
      </w:tr>
    </w:tbl>
    <w:p>
      <w:r>
        <w:pict>
          <v:rect style="width:0;height:1.5pt" o:hralign="center" o:hrstd="t" o:hr="t"/>
        </w:pict>
      </w:r>
    </w:p>
    <w:bookmarkEnd w:id="75"/>
    <w:bookmarkStart w:id="81" w:name="a.5-attribution-architecture"/>
    <w:p>
      <w:pPr>
        <w:pStyle w:val="Heading2"/>
      </w:pPr>
      <w:r>
        <w:t xml:space="preserve">A.5 Attribution Architecture</w:t>
      </w:r>
    </w:p>
    <w:bookmarkStart w:id="76" w:name="X00656677826c2e639a1a65e8c030e7b4df993b9"/>
    <w:p>
      <w:pPr>
        <w:pStyle w:val="Heading3"/>
      </w:pPr>
      <w:r>
        <w:t xml:space="preserve">Category-Normalized Information Impact Score</w:t>
      </w:r>
    </w:p>
    <w:p>
      <w:pPr>
        <w:pStyle w:val="FirstParagraph"/>
      </w:pPr>
      <m:oMathPara>
        <m:oMathParaPr>
          <m:jc m:val="center"/>
        </m:oMathParaPr>
        <m:oMath>
          <m:sSub>
            <m:e>
              <m:r>
                <m:t>I</m:t>
              </m:r>
            </m:e>
            <m:sub>
              <m:r>
                <m:t>c</m:t>
              </m:r>
            </m:sub>
          </m:sSub>
          <m:r>
            <m:rPr>
              <m:sty m:val="p"/>
            </m:rPr>
            <m:t>=</m:t>
          </m:r>
          <m:sSub>
            <m:e>
              <m:r>
                <m:t>W</m:t>
              </m:r>
            </m:e>
            <m:sub>
              <m:r>
                <m:t>A</m:t>
              </m:r>
            </m:sub>
          </m:sSub>
          <m:sSub>
            <m:e>
              <m:r>
                <m:t>M</m:t>
              </m:r>
            </m:e>
            <m:sub>
              <m:r>
                <m:t>c</m:t>
              </m:r>
              <m:r>
                <m:rPr>
                  <m:sty m:val="p"/>
                </m:rPr>
                <m:t>,</m:t>
              </m:r>
              <m:r>
                <m:t>r</m:t>
              </m:r>
            </m:sub>
          </m:sSub>
          <m:r>
            <m:rPr>
              <m:sty m:val="p"/>
            </m:rPr>
            <m:t>+</m:t>
          </m:r>
          <m:sSub>
            <m:e>
              <m:r>
                <m:t>W</m:t>
              </m:r>
            </m:e>
            <m:sub>
              <m:r>
                <m:t>B</m:t>
              </m:r>
            </m:sub>
          </m:sSub>
          <m:sSub>
            <m:e>
              <m:r>
                <m:t>P</m:t>
              </m:r>
            </m:e>
            <m:sub>
              <m:r>
                <m:t>c</m:t>
              </m:r>
              <m:r>
                <m:rPr>
                  <m:sty m:val="p"/>
                </m:rPr>
                <m:t>,</m:t>
              </m:r>
              <m:r>
                <m:t>r</m:t>
              </m:r>
            </m:sub>
          </m:sSub>
          <m:r>
            <m:rPr>
              <m:sty m:val="p"/>
            </m:rPr>
            <m:t>+</m:t>
          </m:r>
          <m:sSub>
            <m:e>
              <m:r>
                <m:t>W</m:t>
              </m:r>
            </m:e>
            <m:sub>
              <m:r>
                <m:t>C</m:t>
              </m:r>
            </m:sub>
          </m:sSub>
          <m:sSub>
            <m:e>
              <m:r>
                <m:t>C</m:t>
              </m:r>
            </m:e>
            <m:sub>
              <m:r>
                <m:t>c</m:t>
              </m:r>
              <m:r>
                <m:rPr>
                  <m:sty m:val="p"/>
                </m:rPr>
                <m:t>,</m:t>
              </m:r>
              <m:r>
                <m:t>r</m:t>
              </m:r>
            </m:sub>
          </m:sSub>
        </m:oMath>
      </m:oMathPara>
    </w:p>
    <w:p>
      <w:pPr>
        <w:pStyle w:val="FirstParagraph"/>
      </w:pPr>
      <w:r>
        <w:t xml:space="preserve">Where:</w:t>
      </w:r>
    </w:p>
    <w:p>
      <w:pPr>
        <w:pStyle w:val="Compact"/>
        <w:numPr>
          <w:ilvl w:val="0"/>
          <w:numId w:val="1040"/>
        </w:numPr>
      </w:pPr>
      <m:oMath>
        <m:sSub>
          <m:e>
            <m:r>
              <m:t>M</m:t>
            </m:r>
          </m:e>
          <m:sub>
            <m:r>
              <m:t>c</m:t>
            </m:r>
            <m:r>
              <m:rPr>
                <m:sty m:val="p"/>
              </m:rPr>
              <m:t>,</m:t>
            </m:r>
            <m:r>
              <m:t>r</m:t>
            </m:r>
          </m:sub>
        </m:sSub>
      </m:oMath>
      <w:r>
        <w:t xml:space="preserve"> </w:t>
      </w:r>
      <w:r>
        <w:t xml:space="preserve">= Model Development Contribution</w:t>
      </w:r>
    </w:p>
    <w:p>
      <w:pPr>
        <w:pStyle w:val="Compact"/>
        <w:numPr>
          <w:ilvl w:val="0"/>
          <w:numId w:val="1040"/>
        </w:numPr>
      </w:pPr>
      <m:oMath>
        <m:sSub>
          <m:e>
            <m:r>
              <m:t>P</m:t>
            </m:r>
          </m:e>
          <m:sub>
            <m:r>
              <m:t>c</m:t>
            </m:r>
            <m:r>
              <m:rPr>
                <m:sty m:val="p"/>
              </m:rPr>
              <m:t>,</m:t>
            </m:r>
            <m:r>
              <m:t>r</m:t>
            </m:r>
          </m:sub>
        </m:sSub>
      </m:oMath>
      <w:r>
        <w:t xml:space="preserve"> </w:t>
      </w:r>
      <w:r>
        <w:t xml:space="preserve">= Product Development Contribution</w:t>
      </w:r>
    </w:p>
    <w:p>
      <w:pPr>
        <w:pStyle w:val="Compact"/>
        <w:numPr>
          <w:ilvl w:val="0"/>
          <w:numId w:val="1040"/>
        </w:numPr>
      </w:pPr>
      <m:oMath>
        <m:sSub>
          <m:e>
            <m:r>
              <m:t>C</m:t>
            </m:r>
          </m:e>
          <m:sub>
            <m:r>
              <m:t>c</m:t>
            </m:r>
            <m:r>
              <m:rPr>
                <m:sty m:val="p"/>
              </m:rPr>
              <m:t>,</m:t>
            </m:r>
            <m:r>
              <m:t>r</m:t>
            </m:r>
          </m:sub>
        </m:sSub>
      </m:oMath>
      <w:r>
        <w:t xml:space="preserve"> </w:t>
      </w:r>
      <w:r>
        <w:t xml:space="preserve">= Commercial Validation Contribution</w:t>
      </w:r>
    </w:p>
    <w:bookmarkEnd w:id="76"/>
    <w:bookmarkStart w:id="77" w:name="release-weighted-attribution"/>
    <w:p>
      <w:pPr>
        <w:pStyle w:val="Heading3"/>
      </w:pPr>
      <w:r>
        <w:t xml:space="preserve">Release-Weighted Attribution</w:t>
      </w:r>
    </w:p>
    <w:p>
      <w:pPr>
        <w:pStyle w:val="FirstParagraph"/>
      </w:pPr>
      <m:oMathPara>
        <m:oMathParaPr>
          <m:jc m:val="center"/>
        </m:oMathParaPr>
        <m:oMath>
          <m:sSub>
            <m:e>
              <m:r>
                <m:t>A</m:t>
              </m:r>
            </m:e>
            <m:sub>
              <m:r>
                <m:t>c</m:t>
              </m:r>
              <m:r>
                <m:rPr>
                  <m:sty m:val="p"/>
                </m:rPr>
                <m:t>,</m:t>
              </m:r>
              <m:r>
                <m:t>r</m:t>
              </m:r>
            </m:sub>
          </m:sSub>
          <m:r>
            <m:rPr>
              <m:sty m:val="p"/>
            </m:rPr>
            <m:t>=</m:t>
          </m:r>
          <m:sSub>
            <m:e>
              <m:r>
                <m:t>I</m:t>
              </m:r>
            </m:e>
            <m:sub>
              <m:r>
                <m:t>c</m:t>
              </m:r>
            </m:sub>
          </m:sSub>
          <m:r>
            <m:rPr>
              <m:sty m:val="p"/>
            </m:rPr>
            <m:t>×</m:t>
          </m:r>
          <m:sSub>
            <m:e>
              <m:r>
                <m:t>L</m:t>
              </m:r>
            </m:e>
            <m:sub>
              <m:r>
                <m:t>c</m:t>
              </m:r>
              <m:r>
                <m:rPr>
                  <m:sty m:val="p"/>
                </m:rPr>
                <m:t>,</m:t>
              </m:r>
              <m:r>
                <m:t>r</m:t>
              </m:r>
            </m:sub>
          </m:sSub>
          <m:r>
            <m:rPr>
              <m:sty m:val="p"/>
            </m:rPr>
            <m:t>×</m:t>
          </m:r>
          <m:sSub>
            <m:e>
              <m:r>
                <m:t>E</m:t>
              </m:r>
            </m:e>
            <m:sub>
              <m:r>
                <m:t>c</m:t>
              </m:r>
              <m:r>
                <m:rPr>
                  <m:sty m:val="p"/>
                </m:rPr>
                <m:t>,</m:t>
              </m:r>
              <m:r>
                <m:t>r</m:t>
              </m:r>
            </m:sub>
          </m:sSub>
        </m:oMath>
      </m:oMathPara>
    </w:p>
    <w:p>
      <w:pPr>
        <w:pStyle w:val="FirstParagraph"/>
      </w:pPr>
      <w:r>
        <w:t xml:space="preserve">Where:</w:t>
      </w:r>
    </w:p>
    <w:p>
      <w:pPr>
        <w:pStyle w:val="Compact"/>
        <w:numPr>
          <w:ilvl w:val="0"/>
          <w:numId w:val="1041"/>
        </w:numPr>
      </w:pPr>
      <m:oMath>
        <m:sSub>
          <m:e>
            <m:r>
              <m:t>L</m:t>
            </m:r>
          </m:e>
          <m:sub>
            <m:r>
              <m:t>c</m:t>
            </m:r>
            <m:r>
              <m:rPr>
                <m:sty m:val="p"/>
              </m:rPr>
              <m:t>,</m:t>
            </m:r>
            <m:r>
              <m:t>r</m:t>
            </m:r>
          </m:sub>
        </m:sSub>
      </m:oMath>
      <w:r>
        <w:t xml:space="preserve"> </w:t>
      </w:r>
      <w:r>
        <w:t xml:space="preserve">= Release Alignment Factor</w:t>
      </w:r>
    </w:p>
    <w:p>
      <w:pPr>
        <w:pStyle w:val="Compact"/>
        <w:numPr>
          <w:ilvl w:val="0"/>
          <w:numId w:val="1041"/>
        </w:numPr>
      </w:pPr>
      <m:oMath>
        <m:sSub>
          <m:e>
            <m:r>
              <m:t>E</m:t>
            </m:r>
          </m:e>
          <m:sub>
            <m:r>
              <m:t>c</m:t>
            </m:r>
            <m:r>
              <m:rPr>
                <m:sty m:val="p"/>
              </m:rPr>
              <m:t>,</m:t>
            </m:r>
            <m:r>
              <m:t>r</m:t>
            </m:r>
          </m:sub>
        </m:sSub>
      </m:oMath>
      <w:r>
        <w:t xml:space="preserve"> </w:t>
      </w:r>
      <w:r>
        <w:t xml:space="preserve">= Evidence-of-Use Factor</w:t>
      </w:r>
    </w:p>
    <w:bookmarkEnd w:id="77"/>
    <w:bookmarkStart w:id="78" w:name="contributor-share-of-the-pool"/>
    <w:p>
      <w:pPr>
        <w:pStyle w:val="Heading3"/>
      </w:pPr>
      <w:r>
        <w:t xml:space="preserve">Contributor Share of the Pool</w:t>
      </w:r>
    </w:p>
    <w:p>
      <w:pPr>
        <w:pStyle w:val="FirstParagraph"/>
      </w:pPr>
      <m:oMathPara>
        <m:oMathParaPr>
          <m:jc m:val="center"/>
        </m:oMathParaPr>
        <m:oMath>
          <m:sSub>
            <m:e>
              <m:r>
                <m:t>s</m:t>
              </m:r>
            </m:e>
            <m:sub>
              <m:r>
                <m:t>c</m:t>
              </m:r>
              <m:r>
                <m:rPr>
                  <m:sty m:val="p"/>
                </m:rPr>
                <m:t>,</m:t>
              </m:r>
              <m:r>
                <m:t>r</m:t>
              </m:r>
            </m:sub>
          </m:sSub>
          <m:r>
            <m:rPr>
              <m:sty m:val="p"/>
            </m:rPr>
            <m:t>=</m:t>
          </m:r>
          <m:f>
            <m:fPr>
              <m:type m:val="bar"/>
            </m:fPr>
            <m:num>
              <m:sSub>
                <m:e>
                  <m:r>
                    <m:t>A</m:t>
                  </m:r>
                </m:e>
                <m:sub>
                  <m:r>
                    <m:t>c</m:t>
                  </m:r>
                  <m:r>
                    <m:rPr>
                      <m:sty m:val="p"/>
                    </m:rPr>
                    <m:t>,</m:t>
                  </m:r>
                  <m:r>
                    <m:t>r</m:t>
                  </m:r>
                </m:sub>
              </m:sSub>
            </m:num>
            <m:den>
              <m:nary>
                <m:naryPr>
                  <m:chr m:val="∑"/>
                  <m:limLoc m:val="undOvr"/>
                  <m:subHide m:val="off"/>
                  <m:supHide m:val="on"/>
                </m:naryPr>
                <m:sub>
                  <m:r>
                    <m:t>j</m:t>
                  </m:r>
                </m:sub>
                <m:sup>
                  <m:r>
                    <m:t>​</m:t>
                  </m:r>
                </m:sup>
                <m:e>
                  <m:sSub>
                    <m:e>
                      <m:r>
                        <m:t>A</m:t>
                      </m:r>
                    </m:e>
                    <m:sub>
                      <m:r>
                        <m:t>j</m:t>
                      </m:r>
                      <m:r>
                        <m:rPr>
                          <m:sty m:val="p"/>
                        </m:rPr>
                        <m:t>,</m:t>
                      </m:r>
                      <m:r>
                        <m:t>r</m:t>
                      </m:r>
                    </m:sub>
                  </m:sSub>
                </m:e>
              </m:nary>
            </m:den>
          </m:f>
        </m:oMath>
      </m:oMathPara>
    </w:p>
    <w:bookmarkEnd w:id="78"/>
    <w:bookmarkStart w:id="79" w:name="payout-formula"/>
    <w:p>
      <w:pPr>
        <w:pStyle w:val="Heading3"/>
      </w:pPr>
      <w:r>
        <w:t xml:space="preserve">Payout Formula</w:t>
      </w:r>
    </w:p>
    <w:p>
      <w:pPr>
        <w:pStyle w:val="FirstParagraph"/>
      </w:pPr>
      <m:oMathPara>
        <m:oMathParaPr>
          <m:jc m:val="center"/>
        </m:oMathParaPr>
        <m:oMath>
          <m:sSub>
            <m:e>
              <m:r>
                <m:rPr>
                  <m:nor/>
                  <m:sty m:val="p"/>
                </m:rPr>
                <m:t>Payout</m:t>
              </m:r>
            </m:e>
            <m:sub>
              <m:r>
                <m:t>c</m:t>
              </m:r>
              <m:r>
                <m:rPr>
                  <m:sty m:val="p"/>
                </m:rPr>
                <m:t>,</m:t>
              </m:r>
              <m:r>
                <m:t>r</m:t>
              </m:r>
            </m:sub>
          </m:sSub>
          <m:r>
            <m:rPr>
              <m:sty m:val="p"/>
            </m:rPr>
            <m:t>=</m:t>
          </m:r>
          <m:sSub>
            <m:e>
              <m:r>
                <m:t>η</m:t>
              </m:r>
            </m:e>
            <m:sub>
              <m:r>
                <m:t>r</m:t>
              </m:r>
            </m:sub>
          </m:sSub>
          <m:r>
            <m:rPr>
              <m:sty m:val="p"/>
            </m:rPr>
            <m:t>×</m:t>
          </m:r>
          <m:r>
            <m:t>Δ</m:t>
          </m:r>
          <m:sSub>
            <m:e>
              <m:r>
                <m:t>M</m:t>
              </m:r>
            </m:e>
            <m:sub>
              <m:r>
                <m:t>r</m:t>
              </m:r>
            </m:sub>
          </m:sSub>
          <m:r>
            <m:rPr>
              <m:sty m:val="p"/>
            </m:rPr>
            <m:t>×</m:t>
          </m:r>
          <m:sSub>
            <m:e>
              <m:r>
                <m:t>s</m:t>
              </m:r>
            </m:e>
            <m:sub>
              <m:r>
                <m:t>c</m:t>
              </m:r>
              <m:r>
                <m:rPr>
                  <m:sty m:val="p"/>
                </m:rPr>
                <m:t>,</m:t>
              </m:r>
              <m:r>
                <m:t>r</m:t>
              </m:r>
            </m:sub>
          </m:sSub>
        </m:oMath>
      </m:oMathPara>
    </w:p>
    <w:p>
      <w:pPr>
        <w:pStyle w:val="FirstParagraph"/>
      </w:pPr>
      <w:r>
        <w:t xml:space="preserve">Where:</w:t>
      </w:r>
    </w:p>
    <w:p>
      <w:pPr>
        <w:pStyle w:val="Compact"/>
        <w:numPr>
          <w:ilvl w:val="0"/>
          <w:numId w:val="1042"/>
        </w:numPr>
      </w:pPr>
      <m:oMath>
        <m:sSub>
          <m:e>
            <m:r>
              <m:t>η</m:t>
            </m:r>
          </m:e>
          <m:sub>
            <m:r>
              <m:t>r</m:t>
            </m:r>
          </m:sub>
        </m:sSub>
      </m:oMath>
      <w:r>
        <w:t xml:space="preserve"> </w:t>
      </w:r>
      <w:r>
        <w:t xml:space="preserve">= contributor value-pool percentage</w:t>
      </w:r>
    </w:p>
    <w:p>
      <w:pPr>
        <w:pStyle w:val="Compact"/>
        <w:numPr>
          <w:ilvl w:val="0"/>
          <w:numId w:val="1042"/>
        </w:numPr>
      </w:pPr>
      <m:oMath>
        <m:r>
          <m:t>Δ</m:t>
        </m:r>
        <m:sSub>
          <m:e>
            <m:r>
              <m:t>M</m:t>
            </m:r>
          </m:e>
          <m:sub>
            <m:r>
              <m:t>r</m:t>
            </m:r>
          </m:sub>
        </m:sSub>
      </m:oMath>
      <w:r>
        <w:t xml:space="preserve"> </w:t>
      </w:r>
      <w:r>
        <w:t xml:space="preserve">= release-linked monetizable value</w:t>
      </w:r>
    </w:p>
    <w:bookmarkEnd w:id="79"/>
    <w:bookmarkStart w:id="80" w:name="important-limitation"/>
    <w:p>
      <w:pPr>
        <w:pStyle w:val="Heading3"/>
      </w:pPr>
      <w:r>
        <w:t xml:space="preserve">Important Limitation</w:t>
      </w:r>
    </w:p>
    <w:p>
      <w:pPr>
        <w:pStyle w:val="FirstParagraph"/>
      </w:pPr>
      <w:r>
        <w:t xml:space="preserve">DIAS-C produces an</w:t>
      </w:r>
      <w:r>
        <w:t xml:space="preserve"> </w:t>
      </w:r>
      <w:r>
        <w:rPr>
          <w:b/>
          <w:bCs/>
        </w:rPr>
        <w:t xml:space="preserve">auditable compensation share</w:t>
      </w:r>
      <w:r>
        <w:t xml:space="preserve">. It does</w:t>
      </w:r>
      <w:r>
        <w:t xml:space="preserve"> </w:t>
      </w:r>
      <w:r>
        <w:rPr>
          <w:b/>
          <w:bCs/>
        </w:rPr>
        <w:t xml:space="preserve">not</w:t>
      </w:r>
      <w:r>
        <w:t xml:space="preserve"> </w:t>
      </w:r>
      <w:r>
        <w:t xml:space="preserve">claim that a user literally caused a fixed percentage of a release unless separate platform-internal attribution evidence supports that conclusion.</w:t>
      </w:r>
    </w:p>
    <w:p>
      <w:r>
        <w:pict>
          <v:rect style="width:0;height:1.5pt" o:hralign="center" o:hrstd="t" o:hr="t"/>
        </w:pict>
      </w:r>
    </w:p>
    <w:bookmarkEnd w:id="80"/>
    <w:bookmarkEnd w:id="81"/>
    <w:bookmarkStart w:id="83" w:name="a.6-category-weighting"/>
    <w:p>
      <w:pPr>
        <w:pStyle w:val="Heading2"/>
      </w:pPr>
      <w:r>
        <w:t xml:space="preserve">A.6 Category Weighting</w:t>
      </w:r>
    </w:p>
    <w:p>
      <w:pPr>
        <w:pStyle w:val="FirstParagraph"/>
      </w:pPr>
      <w:r>
        <w:t xml:space="preserve">Recommended baseline weights: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Category</w:t>
            </w:r>
          </w:p>
        </w:tc>
        <w:tc>
          <w:tcPr/>
          <w:p>
            <w:pPr>
              <w:pStyle w:val="Compact"/>
              <w:jc w:val="right"/>
            </w:pPr>
            <w:r>
              <w:t xml:space="preserve">Weight</w:t>
            </w:r>
          </w:p>
        </w:tc>
        <w:tc>
          <w:tcPr/>
          <w:p>
            <w:pPr>
              <w:pStyle w:val="Compact"/>
              <w:jc w:val="left"/>
            </w:pPr>
            <w:r>
              <w:t xml:space="preserve">Description</w:t>
            </w:r>
          </w:p>
        </w:tc>
      </w:tr>
      <w:tr>
        <w:tc>
          <w:tcPr/>
          <w:p>
            <w:pPr>
              <w:pStyle w:val="Compact"/>
              <w:jc w:val="left"/>
            </w:pPr>
            <w:r>
              <w:rPr>
                <w:b/>
                <w:bCs/>
              </w:rPr>
              <w:t xml:space="preserve">Model Development Contribution</w:t>
            </w:r>
          </w:p>
        </w:tc>
        <w:tc>
          <w:tcPr/>
          <w:p>
            <w:pPr>
              <w:pStyle w:val="Compact"/>
              <w:jc w:val="right"/>
            </w:pPr>
            <w:r>
              <w:rPr>
                <w:b/>
                <w:bCs/>
              </w:rPr>
              <w:t xml:space="preserve">50%</w:t>
            </w:r>
          </w:p>
        </w:tc>
        <w:tc>
          <w:tcPr/>
          <w:p>
            <w:pPr>
              <w:pStyle w:val="Compact"/>
              <w:jc w:val="left"/>
            </w:pPr>
            <w:r>
              <w:t xml:space="preserve">Value to post-training, alignment, evaluation, reasoning, tool use, safety, or model behavior</w:t>
            </w:r>
          </w:p>
        </w:tc>
      </w:tr>
      <w:tr>
        <w:tc>
          <w:tcPr/>
          <w:p>
            <w:pPr>
              <w:pStyle w:val="Compact"/>
              <w:jc w:val="left"/>
            </w:pPr>
            <w:r>
              <w:rPr>
                <w:b/>
                <w:bCs/>
              </w:rPr>
              <w:t xml:space="preserve">Product Development Contribution</w:t>
            </w:r>
          </w:p>
        </w:tc>
        <w:tc>
          <w:tcPr/>
          <w:p>
            <w:pPr>
              <w:pStyle w:val="Compact"/>
              <w:jc w:val="right"/>
            </w:pPr>
            <w:r>
              <w:rPr>
                <w:b/>
                <w:bCs/>
              </w:rPr>
              <w:t xml:space="preserve">30%</w:t>
            </w:r>
          </w:p>
        </w:tc>
        <w:tc>
          <w:tcPr/>
          <w:p>
            <w:pPr>
              <w:pStyle w:val="Compact"/>
              <w:jc w:val="left"/>
            </w:pPr>
            <w:r>
              <w:t xml:space="preserve">Value in revealing workflows, feature gaps, capability requirements, or product opportunities</w:t>
            </w:r>
          </w:p>
        </w:tc>
      </w:tr>
      <w:tr>
        <w:tc>
          <w:tcPr/>
          <w:p>
            <w:pPr>
              <w:pStyle w:val="Compact"/>
              <w:jc w:val="left"/>
            </w:pPr>
            <w:r>
              <w:rPr>
                <w:b/>
                <w:bCs/>
              </w:rPr>
              <w:t xml:space="preserve">Commercial Validation Contribution</w:t>
            </w:r>
          </w:p>
        </w:tc>
        <w:tc>
          <w:tcPr/>
          <w:p>
            <w:pPr>
              <w:pStyle w:val="Compact"/>
              <w:jc w:val="right"/>
            </w:pPr>
            <w:r>
              <w:rPr>
                <w:b/>
                <w:bCs/>
              </w:rPr>
              <w:t xml:space="preserve">20%</w:t>
            </w:r>
          </w:p>
        </w:tc>
        <w:tc>
          <w:tcPr/>
          <w:p>
            <w:pPr>
              <w:pStyle w:val="Compact"/>
              <w:jc w:val="left"/>
            </w:pPr>
            <w:r>
              <w:t xml:space="preserve">Value in demonstrating revenue-bearing, enterprise, professional, or market-relevant usage patterns</w:t>
            </w:r>
          </w:p>
        </w:tc>
      </w:tr>
    </w:tbl>
    <w:bookmarkStart w:id="82" w:name="application-to-mr.-davis"/>
    <w:p>
      <w:pPr>
        <w:pStyle w:val="Heading3"/>
      </w:pPr>
      <w:r>
        <w:t xml:space="preserve">Application to Mr. Davis</w:t>
      </w:r>
    </w:p>
    <w:p>
      <w:pPr>
        <w:pStyle w:val="Compact"/>
        <w:numPr>
          <w:ilvl w:val="0"/>
          <w:numId w:val="1043"/>
        </w:numPr>
      </w:pPr>
      <w:r>
        <w:rPr>
          <w:b/>
          <w:bCs/>
        </w:rPr>
        <w:t xml:space="preserve">Model Development:</w:t>
      </w:r>
      <w:r>
        <w:t xml:space="preserve"> </w:t>
      </w:r>
      <w:r>
        <w:t xml:space="preserve">Agentic reasoning patterns, continuity logic, structured multi-step technical workflows</w:t>
      </w:r>
    </w:p>
    <w:p>
      <w:pPr>
        <w:pStyle w:val="Compact"/>
        <w:numPr>
          <w:ilvl w:val="0"/>
          <w:numId w:val="1043"/>
        </w:numPr>
      </w:pPr>
      <w:r>
        <w:rPr>
          <w:b/>
          <w:bCs/>
        </w:rPr>
        <w:t xml:space="preserve">Product Development:</w:t>
      </w:r>
      <w:r>
        <w:t xml:space="preserve"> </w:t>
      </w:r>
      <w:r>
        <w:t xml:space="preserve">Persistent project memory demands, spreadsheet-native workflows, system-deployment requests</w:t>
      </w:r>
    </w:p>
    <w:p>
      <w:pPr>
        <w:pStyle w:val="Compact"/>
        <w:numPr>
          <w:ilvl w:val="0"/>
          <w:numId w:val="1043"/>
        </w:numPr>
      </w:pPr>
      <w:r>
        <w:rPr>
          <w:b/>
          <w:bCs/>
        </w:rPr>
        <w:t xml:space="preserve">Commercial Validation:</w:t>
      </w:r>
      <w:r>
        <w:t xml:space="preserve"> </w:t>
      </w:r>
      <w:r>
        <w:t xml:space="preserve">Hospital economics, ROI modeling, clinical workflow commercialization, long-horizon professional-use patterns</w:t>
      </w:r>
    </w:p>
    <w:p>
      <w:r>
        <w:pict>
          <v:rect style="width:0;height:1.5pt" o:hralign="center" o:hrstd="t" o:hr="t"/>
        </w:pict>
      </w:r>
    </w:p>
    <w:bookmarkEnd w:id="82"/>
    <w:bookmarkEnd w:id="83"/>
    <w:bookmarkStart w:id="85" w:name="a.7-evidence-of-use-ladder"/>
    <w:p>
      <w:pPr>
        <w:pStyle w:val="Heading2"/>
      </w:pPr>
      <w:r>
        <w:t xml:space="preserve">A.7 Evidence-of-Use Ladder</w:t>
      </w:r>
    </w:p>
    <w:p>
      <w:pPr>
        <w:pStyle w:val="FirstParagraph"/>
      </w:pPr>
      <m:oMathPara>
        <m:oMathParaPr>
          <m:jc m:val="center"/>
        </m:oMathParaPr>
        <m:oMath>
          <m:sSub>
            <m:e>
              <m:r>
                <m:t>E</m:t>
              </m:r>
            </m:e>
            <m:sub>
              <m:r>
                <m:t>c</m:t>
              </m:r>
              <m:r>
                <m:rPr>
                  <m:sty m:val="p"/>
                </m:rPr>
                <m:t>,</m:t>
              </m:r>
              <m:r>
                <m:t>r</m:t>
              </m:r>
            </m:sub>
          </m:sSub>
          <m:r>
            <m:rPr>
              <m:sty m:val="p"/>
            </m:rPr>
            <m:t>∈</m:t>
          </m:r>
          <m:d>
            <m:dPr>
              <m:begChr m:val="["/>
              <m:endChr m:val="]"/>
              <m:sepChr m:val=""/>
              <m:grow/>
            </m:dPr>
            <m:e>
              <m:r>
                <m:t>0</m:t>
              </m:r>
              <m:r>
                <m:rPr>
                  <m:sty m:val="p"/>
                </m:rPr>
                <m:t>,</m:t>
              </m:r>
              <m:r>
                <m:t>1</m:t>
              </m:r>
            </m:e>
          </m:d>
        </m:oMath>
      </m:oMathPara>
    </w:p>
    <w:tbl>
      <w:tblPr>
        <w:tblStyle w:val="Table"/>
        <w:tblW w:type="pct" w:w="5000"/>
        <w:jc w:val="left"/>
        <w:tblLayout w:type="fixed"/>
        <w:tblLook w:firstRow="1" w:lastRow="0" w:firstColumn="0" w:lastColumn="0" w:noHBand="0" w:noVBand="0" w:val="0020"/>
      </w:tblPr>
      <w:tblGrid>
        <w:gridCol w:w="2880"/>
        <w:gridCol w:w="2160"/>
        <w:gridCol w:w="2880"/>
      </w:tblGrid>
      <w:tr>
        <w:trPr>
          <w:tblHeader w:val="on"/>
        </w:trPr>
        <w:tc>
          <w:tcPr/>
          <w:p>
            <w:pPr>
              <w:pStyle w:val="Compact"/>
              <w:jc w:val="right"/>
            </w:pPr>
            <w:r>
              <w:t xml:space="preserve">Tier</w:t>
            </w:r>
          </w:p>
        </w:tc>
        <w:tc>
          <w:tcPr/>
          <w:p>
            <w:pPr>
              <w:pStyle w:val="Compact"/>
              <w:jc w:val="left"/>
            </w:pPr>
            <w:r>
              <w:t xml:space="preserve">Evidence Condition</w:t>
            </w:r>
          </w:p>
        </w:tc>
        <w:tc>
          <w:tcPr/>
          <w:p>
            <w:pPr>
              <w:pStyle w:val="Compact"/>
              <w:jc w:val="right"/>
            </w:pPr>
            <m:oMath>
              <m:sSub>
                <m:e>
                  <m:r>
                    <m:t>E</m:t>
                  </m:r>
                </m:e>
                <m:sub>
                  <m:r>
                    <m:t>c</m:t>
                  </m:r>
                  <m:r>
                    <m:rPr>
                      <m:sty m:val="p"/>
                    </m:rPr>
                    <m:t>,</m:t>
                  </m:r>
                  <m:r>
                    <m:t>r</m:t>
                  </m:r>
                </m:sub>
              </m:sSub>
            </m:oMath>
          </w:p>
        </w:tc>
      </w:tr>
      <w:tr>
        <w:tc>
          <w:tcPr/>
          <w:p>
            <w:pPr>
              <w:pStyle w:val="Compact"/>
              <w:jc w:val="right"/>
            </w:pPr>
            <w:r>
              <w:rPr>
                <w:b/>
                <w:bCs/>
              </w:rPr>
              <w:t xml:space="preserve">0</w:t>
            </w:r>
          </w:p>
        </w:tc>
        <w:tc>
          <w:tcPr/>
          <w:p>
            <w:pPr>
              <w:pStyle w:val="Compact"/>
              <w:jc w:val="left"/>
            </w:pPr>
            <w:r>
              <w:t xml:space="preserve">No eligibility or no meaningful relationship to release</w:t>
            </w:r>
          </w:p>
        </w:tc>
        <w:tc>
          <w:tcPr/>
          <w:p>
            <w:pPr>
              <w:pStyle w:val="Compact"/>
              <w:jc w:val="right"/>
            </w:pPr>
            <w:r>
              <w:rPr>
                <w:b/>
                <w:bCs/>
              </w:rPr>
              <w:t xml:space="preserve">0.00</w:t>
            </w:r>
          </w:p>
        </w:tc>
      </w:tr>
      <w:tr>
        <w:tc>
          <w:tcPr/>
          <w:p>
            <w:pPr>
              <w:pStyle w:val="Compact"/>
              <w:jc w:val="right"/>
            </w:pPr>
            <w:r>
              <w:rPr>
                <w:b/>
                <w:bCs/>
              </w:rPr>
              <w:t xml:space="preserve">1</w:t>
            </w:r>
          </w:p>
        </w:tc>
        <w:tc>
          <w:tcPr/>
          <w:p>
            <w:pPr>
              <w:pStyle w:val="Compact"/>
              <w:jc w:val="left"/>
            </w:pPr>
            <w:r>
              <w:t xml:space="preserve">Thematic similarity only; no internal use evidence</w:t>
            </w:r>
          </w:p>
        </w:tc>
        <w:tc>
          <w:tcPr/>
          <w:p>
            <w:pPr>
              <w:pStyle w:val="Compact"/>
              <w:jc w:val="right"/>
            </w:pPr>
            <w:r>
              <w:rPr>
                <w:b/>
                <w:bCs/>
              </w:rPr>
              <w:t xml:space="preserve">0.05</w:t>
            </w:r>
          </w:p>
        </w:tc>
      </w:tr>
      <w:tr>
        <w:tc>
          <w:tcPr/>
          <w:p>
            <w:pPr>
              <w:pStyle w:val="Compact"/>
              <w:jc w:val="right"/>
            </w:pPr>
            <w:r>
              <w:rPr>
                <w:b/>
                <w:bCs/>
              </w:rPr>
              <w:t xml:space="preserve">2</w:t>
            </w:r>
          </w:p>
        </w:tc>
        <w:tc>
          <w:tcPr/>
          <w:p>
            <w:pPr>
              <w:pStyle w:val="Compact"/>
              <w:jc w:val="left"/>
            </w:pPr>
            <w:r>
              <w:t xml:space="preserve">Contribution falls within a relevant development window</w:t>
            </w:r>
          </w:p>
        </w:tc>
        <w:tc>
          <w:tcPr/>
          <w:p>
            <w:pPr>
              <w:pStyle w:val="Compact"/>
              <w:jc w:val="right"/>
            </w:pPr>
            <w:r>
              <w:rPr>
                <w:b/>
                <w:bCs/>
              </w:rPr>
              <w:t xml:space="preserve">0.10</w:t>
            </w:r>
          </w:p>
        </w:tc>
      </w:tr>
      <w:tr>
        <w:tc>
          <w:tcPr/>
          <w:p>
            <w:pPr>
              <w:pStyle w:val="Compact"/>
              <w:jc w:val="right"/>
            </w:pPr>
            <w:r>
              <w:rPr>
                <w:b/>
                <w:bCs/>
              </w:rPr>
              <w:t xml:space="preserve">3</w:t>
            </w:r>
          </w:p>
        </w:tc>
        <w:tc>
          <w:tcPr/>
          <w:p>
            <w:pPr>
              <w:pStyle w:val="Compact"/>
              <w:jc w:val="left"/>
            </w:pPr>
            <w:r>
              <w:t xml:space="preserve">Contribution classified internally as relevant signal</w:t>
            </w:r>
          </w:p>
        </w:tc>
        <w:tc>
          <w:tcPr/>
          <w:p>
            <w:pPr>
              <w:pStyle w:val="Compact"/>
              <w:jc w:val="right"/>
            </w:pPr>
            <w:r>
              <w:rPr>
                <w:b/>
                <w:bCs/>
              </w:rPr>
              <w:t xml:space="preserve">0.20</w:t>
            </w:r>
          </w:p>
        </w:tc>
      </w:tr>
      <w:tr>
        <w:tc>
          <w:tcPr/>
          <w:p>
            <w:pPr>
              <w:pStyle w:val="Compact"/>
              <w:jc w:val="right"/>
            </w:pPr>
            <w:r>
              <w:rPr>
                <w:b/>
                <w:bCs/>
              </w:rPr>
              <w:t xml:space="preserve">4</w:t>
            </w:r>
          </w:p>
        </w:tc>
        <w:tc>
          <w:tcPr/>
          <w:p>
            <w:pPr>
              <w:pStyle w:val="Compact"/>
              <w:jc w:val="left"/>
            </w:pPr>
            <w:r>
              <w:t xml:space="preserve">Contribution reviewed by product, research, policy, or evaluation staff</w:t>
            </w:r>
          </w:p>
        </w:tc>
        <w:tc>
          <w:tcPr/>
          <w:p>
            <w:pPr>
              <w:pStyle w:val="Compact"/>
              <w:jc w:val="right"/>
            </w:pPr>
            <w:r>
              <w:rPr>
                <w:b/>
                <w:bCs/>
              </w:rPr>
              <w:t xml:space="preserve">0.30</w:t>
            </w:r>
          </w:p>
        </w:tc>
      </w:tr>
      <w:tr>
        <w:tc>
          <w:tcPr/>
          <w:p>
            <w:pPr>
              <w:pStyle w:val="Compact"/>
              <w:jc w:val="right"/>
            </w:pPr>
            <w:r>
              <w:rPr>
                <w:b/>
                <w:bCs/>
              </w:rPr>
              <w:t xml:space="preserve">5</w:t>
            </w:r>
          </w:p>
        </w:tc>
        <w:tc>
          <w:tcPr/>
          <w:p>
            <w:pPr>
              <w:pStyle w:val="Compact"/>
              <w:jc w:val="left"/>
            </w:pPr>
            <w:r>
              <w:t xml:space="preserve">Contribution selected into a structured qualitative review corpus</w:t>
            </w:r>
          </w:p>
        </w:tc>
        <w:tc>
          <w:tcPr/>
          <w:p>
            <w:pPr>
              <w:pStyle w:val="Compact"/>
              <w:jc w:val="right"/>
            </w:pPr>
            <w:r>
              <w:rPr>
                <w:b/>
                <w:bCs/>
              </w:rPr>
              <w:t xml:space="preserve">0.40</w:t>
            </w:r>
          </w:p>
        </w:tc>
      </w:tr>
      <w:tr>
        <w:tc>
          <w:tcPr/>
          <w:p>
            <w:pPr>
              <w:pStyle w:val="Compact"/>
              <w:jc w:val="right"/>
            </w:pPr>
            <w:r>
              <w:rPr>
                <w:b/>
                <w:bCs/>
              </w:rPr>
              <w:t xml:space="preserve">6</w:t>
            </w:r>
          </w:p>
        </w:tc>
        <w:tc>
          <w:tcPr/>
          <w:p>
            <w:pPr>
              <w:pStyle w:val="Compact"/>
              <w:jc w:val="left"/>
            </w:pPr>
            <w:r>
              <w:t xml:space="preserve">Contribution used in evaluation, red-team, benchmark, or workflow-analysis material</w:t>
            </w:r>
          </w:p>
        </w:tc>
        <w:tc>
          <w:tcPr/>
          <w:p>
            <w:pPr>
              <w:pStyle w:val="Compact"/>
              <w:jc w:val="right"/>
            </w:pPr>
            <w:r>
              <w:rPr>
                <w:b/>
                <w:bCs/>
              </w:rPr>
              <w:t xml:space="preserve">0.55</w:t>
            </w:r>
          </w:p>
        </w:tc>
      </w:tr>
      <w:tr>
        <w:tc>
          <w:tcPr/>
          <w:p>
            <w:pPr>
              <w:pStyle w:val="Compact"/>
              <w:jc w:val="right"/>
            </w:pPr>
            <w:r>
              <w:rPr>
                <w:b/>
                <w:bCs/>
              </w:rPr>
              <w:t xml:space="preserve">7</w:t>
            </w:r>
          </w:p>
        </w:tc>
        <w:tc>
          <w:tcPr/>
          <w:p>
            <w:pPr>
              <w:pStyle w:val="Compact"/>
              <w:jc w:val="left"/>
            </w:pPr>
            <w:r>
              <w:t xml:space="preserve">Contribution incorporated into SFT, preference, or post-training material</w:t>
            </w:r>
          </w:p>
        </w:tc>
        <w:tc>
          <w:tcPr/>
          <w:p>
            <w:pPr>
              <w:pStyle w:val="Compact"/>
              <w:jc w:val="right"/>
            </w:pPr>
            <w:r>
              <w:rPr>
                <w:b/>
                <w:bCs/>
              </w:rPr>
              <w:t xml:space="preserve">0.70</w:t>
            </w:r>
          </w:p>
        </w:tc>
      </w:tr>
      <w:tr>
        <w:tc>
          <w:tcPr/>
          <w:p>
            <w:pPr>
              <w:pStyle w:val="Compact"/>
              <w:jc w:val="right"/>
            </w:pPr>
            <w:r>
              <w:rPr>
                <w:b/>
                <w:bCs/>
              </w:rPr>
              <w:t xml:space="preserve">8</w:t>
            </w:r>
          </w:p>
        </w:tc>
        <w:tc>
          <w:tcPr/>
          <w:p>
            <w:pPr>
              <w:pStyle w:val="Compact"/>
              <w:jc w:val="left"/>
            </w:pPr>
            <w:r>
              <w:t xml:space="preserve">Contribution associated with measurable evaluation lift or error reduction</w:t>
            </w:r>
          </w:p>
        </w:tc>
        <w:tc>
          <w:tcPr/>
          <w:p>
            <w:pPr>
              <w:pStyle w:val="Compact"/>
              <w:jc w:val="right"/>
            </w:pPr>
            <w:r>
              <w:rPr>
                <w:b/>
                <w:bCs/>
              </w:rPr>
              <w:t xml:space="preserve">0.85</w:t>
            </w:r>
          </w:p>
        </w:tc>
      </w:tr>
      <w:tr>
        <w:tc>
          <w:tcPr/>
          <w:p>
            <w:pPr>
              <w:pStyle w:val="Compact"/>
              <w:jc w:val="right"/>
            </w:pPr>
            <w:r>
              <w:rPr>
                <w:b/>
                <w:bCs/>
              </w:rPr>
              <w:t xml:space="preserve">9</w:t>
            </w:r>
          </w:p>
        </w:tc>
        <w:tc>
          <w:tcPr/>
          <w:p>
            <w:pPr>
              <w:pStyle w:val="Compact"/>
              <w:jc w:val="left"/>
            </w:pPr>
            <w:r>
              <w:t xml:space="preserve">Counterfactual or influence analysis validates material benefit</w:t>
            </w:r>
          </w:p>
        </w:tc>
        <w:tc>
          <w:tcPr/>
          <w:p>
            <w:pPr>
              <w:pStyle w:val="Compact"/>
              <w:jc w:val="right"/>
            </w:pPr>
            <w:r>
              <w:rPr>
                <w:b/>
                <w:bCs/>
              </w:rPr>
              <w:t xml:space="preserve">1.00</w:t>
            </w:r>
          </w:p>
        </w:tc>
      </w:tr>
    </w:tbl>
    <w:bookmarkStart w:id="84" w:name="why-this-matters"/>
    <w:p>
      <w:pPr>
        <w:pStyle w:val="Heading3"/>
      </w:pPr>
      <w:r>
        <w:t xml:space="preserve">Why This Matters</w:t>
      </w:r>
    </w:p>
    <w:p>
      <w:pPr>
        <w:pStyle w:val="FirstParagraph"/>
      </w:pPr>
      <w:r>
        <w:t xml:space="preserve">Evidence-of-use is the most powerful variable in the framework. It distinguishes:</w:t>
      </w:r>
    </w:p>
    <w:p>
      <w:pPr>
        <w:pStyle w:val="Compact"/>
        <w:numPr>
          <w:ilvl w:val="0"/>
          <w:numId w:val="1044"/>
        </w:numPr>
      </w:pPr>
      <w:r>
        <w:t xml:space="preserve">coincidence;</w:t>
      </w:r>
    </w:p>
    <w:p>
      <w:pPr>
        <w:pStyle w:val="Compact"/>
        <w:numPr>
          <w:ilvl w:val="0"/>
          <w:numId w:val="1044"/>
        </w:numPr>
      </w:pPr>
      <w:r>
        <w:t xml:space="preserve">relevant proximity;</w:t>
      </w:r>
    </w:p>
    <w:p>
      <w:pPr>
        <w:pStyle w:val="Compact"/>
        <w:numPr>
          <w:ilvl w:val="0"/>
          <w:numId w:val="1044"/>
        </w:numPr>
      </w:pPr>
      <w:r>
        <w:t xml:space="preserve">internal awareness;</w:t>
      </w:r>
    </w:p>
    <w:p>
      <w:pPr>
        <w:pStyle w:val="Compact"/>
        <w:numPr>
          <w:ilvl w:val="0"/>
          <w:numId w:val="1044"/>
        </w:numPr>
      </w:pPr>
      <w:r>
        <w:t xml:space="preserve">operational review;</w:t>
      </w:r>
    </w:p>
    <w:p>
      <w:pPr>
        <w:pStyle w:val="Compact"/>
        <w:numPr>
          <w:ilvl w:val="0"/>
          <w:numId w:val="1044"/>
        </w:numPr>
      </w:pPr>
      <w:r>
        <w:t xml:space="preserve">dataset inclusion;</w:t>
      </w:r>
    </w:p>
    <w:p>
      <w:pPr>
        <w:pStyle w:val="Compact"/>
        <w:numPr>
          <w:ilvl w:val="0"/>
          <w:numId w:val="1044"/>
        </w:numPr>
      </w:pPr>
      <w:r>
        <w:t xml:space="preserve">and measurable model or product impact.</w:t>
      </w:r>
    </w:p>
    <w:p>
      <w:r>
        <w:pict>
          <v:rect style="width:0;height:1.5pt" o:hralign="center" o:hrstd="t" o:hr="t"/>
        </w:pict>
      </w:r>
    </w:p>
    <w:bookmarkEnd w:id="84"/>
    <w:bookmarkEnd w:id="85"/>
    <w:bookmarkStart w:id="88" w:name="a.8-release-value-pool"/>
    <w:p>
      <w:pPr>
        <w:pStyle w:val="Heading2"/>
      </w:pPr>
      <w:r>
        <w:t xml:space="preserve">A.8 Release Value Pool</w:t>
      </w:r>
    </w:p>
    <w:p>
      <w:pPr>
        <w:pStyle w:val="FirstParagraph"/>
      </w:pPr>
      <m:oMathPara>
        <m:oMathParaPr>
          <m:jc m:val="center"/>
        </m:oMathParaPr>
        <m:oMath>
          <m:sSub>
            <m:e>
              <m:r>
                <m:rPr>
                  <m:nor/>
                  <m:sty m:val="p"/>
                </m:rPr>
                <m:t>Value Pool</m:t>
              </m:r>
            </m:e>
            <m:sub>
              <m:r>
                <m:t>r</m:t>
              </m:r>
            </m:sub>
          </m:sSub>
          <m:r>
            <m:rPr>
              <m:sty m:val="p"/>
            </m:rPr>
            <m:t>=</m:t>
          </m:r>
          <m:sSub>
            <m:e>
              <m:r>
                <m:t>η</m:t>
              </m:r>
            </m:e>
            <m:sub>
              <m:r>
                <m:t>r</m:t>
              </m:r>
            </m:sub>
          </m:sSub>
          <m:r>
            <m:rPr>
              <m:sty m:val="p"/>
            </m:rPr>
            <m:t>×</m:t>
          </m:r>
          <m:r>
            <m:t>Δ</m:t>
          </m:r>
          <m:sSub>
            <m:e>
              <m:r>
                <m:t>M</m:t>
              </m:r>
            </m:e>
            <m:sub>
              <m:r>
                <m:t>r</m:t>
              </m:r>
            </m:sub>
          </m:sSub>
        </m:oMath>
      </m:oMathPara>
    </w:p>
    <w:bookmarkStart w:id="86" w:name="suggested-eta_r-bands"/>
    <w:p>
      <w:pPr>
        <w:pStyle w:val="Heading3"/>
      </w:pPr>
      <w:r>
        <w:t xml:space="preserve">Suggested</w:t>
      </w:r>
      <w:r>
        <w:t xml:space="preserve"> </w:t>
      </w:r>
      <m:oMath>
        <m:sSub>
          <m:e>
            <m:r>
              <m:t>η</m:t>
            </m:r>
          </m:e>
          <m:sub>
            <m:r>
              <m:t>r</m:t>
            </m:r>
          </m:sub>
        </m:sSub>
      </m:oMath>
      <w:r>
        <w:t xml:space="preserve"> </w:t>
      </w:r>
      <w:r>
        <w:t xml:space="preserve">Bands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Program Type</w:t>
            </w:r>
          </w:p>
        </w:tc>
        <w:tc>
          <w:tcPr/>
          <w:p>
            <w:pPr>
              <w:pStyle w:val="Compact"/>
              <w:jc w:val="right"/>
            </w:pPr>
            <w:r>
              <w:t xml:space="preserve">Suggested</w:t>
            </w:r>
            <w:r>
              <w:t xml:space="preserve"> </w:t>
            </w:r>
            <m:oMath>
              <m:sSub>
                <m:e>
                  <m:r>
                    <m:t>η</m:t>
                  </m:r>
                </m:e>
                <m:sub>
                  <m:r>
                    <m:t>r</m:t>
                  </m:r>
                </m:sub>
              </m:sSub>
            </m:oMath>
          </w:p>
        </w:tc>
      </w:tr>
      <w:tr>
        <w:tc>
          <w:tcPr/>
          <w:p>
            <w:pPr>
              <w:pStyle w:val="Compact"/>
              <w:jc w:val="left"/>
            </w:pPr>
            <w:r>
              <w:t xml:space="preserve">Pilot program</w:t>
            </w:r>
          </w:p>
        </w:tc>
        <w:tc>
          <w:tcPr/>
          <w:p>
            <w:pPr>
              <w:pStyle w:val="Compact"/>
              <w:jc w:val="right"/>
            </w:pPr>
            <w:r>
              <w:rPr>
                <w:b/>
                <w:bCs/>
              </w:rPr>
              <w:t xml:space="preserve">0.01%–0.05%</w:t>
            </w:r>
          </w:p>
        </w:tc>
      </w:tr>
      <w:tr>
        <w:tc>
          <w:tcPr/>
          <w:p>
            <w:pPr>
              <w:pStyle w:val="Compact"/>
              <w:jc w:val="left"/>
            </w:pPr>
            <w:r>
              <w:t xml:space="preserve">Standing contributor program</w:t>
            </w:r>
          </w:p>
        </w:tc>
        <w:tc>
          <w:tcPr/>
          <w:p>
            <w:pPr>
              <w:pStyle w:val="Compact"/>
              <w:jc w:val="right"/>
            </w:pPr>
            <w:r>
              <w:rPr>
                <w:b/>
                <w:bCs/>
              </w:rPr>
              <w:t xml:space="preserve">0.05%–0.25%</w:t>
            </w:r>
          </w:p>
        </w:tc>
      </w:tr>
      <w:tr>
        <w:tc>
          <w:tcPr/>
          <w:p>
            <w:pPr>
              <w:pStyle w:val="Compact"/>
              <w:jc w:val="left"/>
            </w:pPr>
            <w:r>
              <w:t xml:space="preserve">Flagship high-impact pool</w:t>
            </w:r>
          </w:p>
        </w:tc>
        <w:tc>
          <w:tcPr/>
          <w:p>
            <w:pPr>
              <w:pStyle w:val="Compact"/>
              <w:jc w:val="right"/>
            </w:pPr>
            <w:r>
              <w:rPr>
                <w:b/>
                <w:bCs/>
              </w:rPr>
              <w:t xml:space="preserve">0.25%–0.50%</w:t>
            </w:r>
          </w:p>
        </w:tc>
      </w:tr>
      <w:tr>
        <w:tc>
          <w:tcPr/>
          <w:p>
            <w:pPr>
              <w:pStyle w:val="Compact"/>
              <w:jc w:val="left"/>
            </w:pPr>
            <w:r>
              <w:t xml:space="preserve">Settlement / remediation context</w:t>
            </w:r>
          </w:p>
        </w:tc>
        <w:tc>
          <w:tcPr/>
          <w:p>
            <w:pPr>
              <w:pStyle w:val="Compact"/>
              <w:jc w:val="right"/>
            </w:pPr>
            <w:r>
              <w:rPr>
                <w:b/>
                <w:bCs/>
              </w:rPr>
              <w:t xml:space="preserve">Case-specific</w:t>
            </w:r>
          </w:p>
        </w:tc>
      </w:tr>
    </w:tbl>
    <w:bookmarkEnd w:id="86"/>
    <w:bookmarkStart w:id="87" w:name="preferred-measures-of-delta-m_r"/>
    <w:p>
      <w:pPr>
        <w:pStyle w:val="Heading3"/>
      </w:pPr>
      <w:r>
        <w:t xml:space="preserve">Preferred Measures of</w:t>
      </w:r>
      <w:r>
        <w:t xml:space="preserve"> </w:t>
      </w:r>
      <m:oMath>
        <m:r>
          <m:t>Δ</m:t>
        </m:r>
        <m:sSub>
          <m:e>
            <m:r>
              <m:t>M</m:t>
            </m:r>
          </m:e>
          <m:sub>
            <m:r>
              <m:t>r</m:t>
            </m:r>
          </m:sub>
        </m:sSub>
      </m:oMath>
    </w:p>
    <w:p>
      <w:pPr>
        <w:pStyle w:val="FirstParagraph"/>
      </w:pPr>
      <w:r>
        <w:t xml:space="preserve">Best to worst:</w:t>
      </w:r>
    </w:p>
    <w:p>
      <w:pPr>
        <w:pStyle w:val="Compact"/>
        <w:numPr>
          <w:ilvl w:val="0"/>
          <w:numId w:val="1045"/>
        </w:numPr>
      </w:pPr>
      <w:r>
        <w:t xml:space="preserve">Incremental ARR linked to capability release</w:t>
      </w:r>
    </w:p>
    <w:p>
      <w:pPr>
        <w:pStyle w:val="Compact"/>
        <w:numPr>
          <w:ilvl w:val="0"/>
          <w:numId w:val="1045"/>
        </w:numPr>
      </w:pPr>
      <w:r>
        <w:t xml:space="preserve">Attributable gross profit or contribution margin</w:t>
      </w:r>
    </w:p>
    <w:p>
      <w:pPr>
        <w:pStyle w:val="Compact"/>
        <w:numPr>
          <w:ilvl w:val="0"/>
          <w:numId w:val="1045"/>
        </w:numPr>
      </w:pPr>
      <w:r>
        <w:t xml:space="preserve">Enterprise contract value tied to capability area</w:t>
      </w:r>
    </w:p>
    <w:p>
      <w:pPr>
        <w:pStyle w:val="Compact"/>
        <w:numPr>
          <w:ilvl w:val="0"/>
          <w:numId w:val="1045"/>
        </w:numPr>
      </w:pPr>
      <w:r>
        <w:t xml:space="preserve">Usage monetization uplift</w:t>
      </w:r>
    </w:p>
    <w:p>
      <w:pPr>
        <w:pStyle w:val="Compact"/>
        <w:numPr>
          <w:ilvl w:val="0"/>
          <w:numId w:val="1045"/>
        </w:numPr>
      </w:pPr>
      <w:r>
        <w:t xml:space="preserve">Valuation changes as supplemental context</w:t>
      </w:r>
    </w:p>
    <w:p>
      <w:pPr>
        <w:pStyle w:val="Compact"/>
        <w:numPr>
          <w:ilvl w:val="0"/>
          <w:numId w:val="1045"/>
        </w:numPr>
      </w:pPr>
      <w:r>
        <w:t xml:space="preserve">Stock-price movement as broader market context</w:t>
      </w:r>
    </w:p>
    <w:p>
      <w:r>
        <w:pict>
          <v:rect style="width:0;height:1.5pt" o:hralign="center" o:hrstd="t" o:hr="t"/>
        </w:pict>
      </w:r>
    </w:p>
    <w:bookmarkEnd w:id="87"/>
    <w:bookmarkEnd w:id="88"/>
    <w:bookmarkStart w:id="89" w:name="a.9-multi-release-aggregation"/>
    <w:p>
      <w:pPr>
        <w:pStyle w:val="Heading2"/>
      </w:pPr>
      <w:r>
        <w:t xml:space="preserve">A.9 Multi-Release Aggregation</w:t>
      </w:r>
    </w:p>
    <w:p>
      <w:pPr>
        <w:pStyle w:val="FirstParagraph"/>
      </w:pPr>
      <w:r>
        <w:t xml:space="preserve">A contributor may align with multiple releases. DIAS-C therefore permits portfolio-level compensation.</w:t>
      </w:r>
    </w:p>
    <w:p>
      <w:pPr>
        <w:pStyle w:val="BodyText"/>
      </w:pPr>
      <m:oMathPara>
        <m:oMathParaPr>
          <m:jc m:val="center"/>
        </m:oMathParaPr>
        <m:oMath>
          <m:sSub>
            <m:e>
              <m:r>
                <m:rPr>
                  <m:nor/>
                  <m:sty m:val="p"/>
                </m:rPr>
                <m:t>Total Compensation</m:t>
              </m:r>
            </m:e>
            <m:sub>
              <m:r>
                <m:t>c</m:t>
              </m:r>
            </m:sub>
          </m:sSub>
          <m:r>
            <m:rPr>
              <m:sty m:val="p"/>
            </m:rPr>
            <m:t>=</m:t>
          </m:r>
          <m:nary>
            <m:naryPr>
              <m:chr m:val="∑"/>
              <m:limLoc m:val="undOvr"/>
              <m:subHide m:val="off"/>
              <m:supHide m:val="off"/>
            </m:naryPr>
            <m:sub>
              <m:r>
                <m:t>r</m:t>
              </m:r>
              <m:r>
                <m:rPr>
                  <m:sty m:val="p"/>
                </m:rPr>
                <m:t>=</m:t>
              </m:r>
              <m:r>
                <m:t>1</m:t>
              </m:r>
            </m:sub>
            <m:sup>
              <m:r>
                <m:t>n</m:t>
              </m:r>
            </m:sup>
            <m:e>
              <m:d>
                <m:dPr>
                  <m:begChr m:val="("/>
                  <m:endChr m:val=")"/>
                  <m:sepChr m:val=""/>
                  <m:grow/>
                </m:dPr>
                <m:e>
                  <m:sSub>
                    <m:e>
                      <m:r>
                        <m:t>η</m:t>
                      </m:r>
                    </m:e>
                    <m:sub>
                      <m:r>
                        <m:t>r</m:t>
                      </m:r>
                    </m:sub>
                  </m:sSub>
                  <m:r>
                    <m:rPr>
                      <m:sty m:val="p"/>
                    </m:rPr>
                    <m:t>×</m:t>
                  </m:r>
                  <m:r>
                    <m:t>Δ</m:t>
                  </m:r>
                  <m:sSub>
                    <m:e>
                      <m:r>
                        <m:t>M</m:t>
                      </m:r>
                    </m:e>
                    <m:sub>
                      <m:r>
                        <m:t>r</m:t>
                      </m:r>
                    </m:sub>
                  </m:sSub>
                  <m:r>
                    <m:rPr>
                      <m:sty m:val="p"/>
                    </m:rPr>
                    <m:t>×</m:t>
                  </m:r>
                  <m:sSub>
                    <m:e>
                      <m:r>
                        <m:t>s</m:t>
                      </m:r>
                    </m:e>
                    <m:sub>
                      <m:r>
                        <m:t>c</m:t>
                      </m:r>
                      <m:r>
                        <m:rPr>
                          <m:sty m:val="p"/>
                        </m:rPr>
                        <m:t>,</m:t>
                      </m:r>
                      <m:r>
                        <m:t>r</m:t>
                      </m:r>
                    </m:sub>
                  </m:sSub>
                  <m:r>
                    <m:rPr>
                      <m:sty m:val="p"/>
                    </m:rPr>
                    <m:t>×</m:t>
                  </m:r>
                  <m:sSub>
                    <m:e>
                      <m:r>
                        <m:t>δ</m:t>
                      </m:r>
                    </m:e>
                    <m:sub>
                      <m:r>
                        <m:t>r</m:t>
                      </m:r>
                    </m:sub>
                  </m:sSub>
                </m:e>
              </m:d>
            </m:e>
          </m:nary>
        </m:oMath>
      </m:oMathPara>
    </w:p>
    <w:p>
      <w:pPr>
        <w:pStyle w:val="FirstParagraph"/>
      </w:pPr>
      <w:r>
        <w:t xml:space="preserve">Where:</w:t>
      </w:r>
    </w:p>
    <w:p>
      <w:pPr>
        <w:pStyle w:val="Compact"/>
        <w:numPr>
          <w:ilvl w:val="0"/>
          <w:numId w:val="1046"/>
        </w:numPr>
      </w:pPr>
      <m:oMath>
        <m:sSub>
          <m:e>
            <m:r>
              <m:t>δ</m:t>
            </m:r>
          </m:e>
          <m:sub>
            <m:r>
              <m:t>r</m:t>
            </m:r>
          </m:sub>
        </m:sSub>
      </m:oMath>
      <w:r>
        <w:t xml:space="preserve"> </w:t>
      </w:r>
      <w:r>
        <w:t xml:space="preserve">= overlap / decay factor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Situation</w:t>
            </w:r>
          </w:p>
        </w:tc>
        <w:tc>
          <w:tcPr/>
          <w:p>
            <w:pPr>
              <w:pStyle w:val="Compact"/>
              <w:jc w:val="right"/>
            </w:pPr>
            <m:oMath>
              <m:sSub>
                <m:e>
                  <m:r>
                    <m:t>δ</m:t>
                  </m:r>
                </m:e>
                <m:sub>
                  <m:r>
                    <m:t>r</m:t>
                  </m:r>
                </m:sub>
              </m:sSub>
            </m:oMath>
          </w:p>
        </w:tc>
      </w:tr>
      <w:tr>
        <w:tc>
          <w:tcPr/>
          <w:p>
            <w:pPr>
              <w:pStyle w:val="Compact"/>
              <w:jc w:val="left"/>
            </w:pPr>
            <w:r>
              <w:t xml:space="preserve">Distinct contribution domain</w:t>
            </w:r>
          </w:p>
        </w:tc>
        <w:tc>
          <w:tcPr/>
          <w:p>
            <w:pPr>
              <w:pStyle w:val="Compact"/>
              <w:jc w:val="right"/>
            </w:pPr>
            <w:r>
              <w:rPr>
                <w:b/>
                <w:bCs/>
              </w:rPr>
              <w:t xml:space="preserve">1.00</w:t>
            </w:r>
          </w:p>
        </w:tc>
      </w:tr>
      <w:tr>
        <w:tc>
          <w:tcPr/>
          <w:p>
            <w:pPr>
              <w:pStyle w:val="Compact"/>
              <w:jc w:val="left"/>
            </w:pPr>
            <w:r>
              <w:t xml:space="preserve">Adjacent but separable release</w:t>
            </w:r>
          </w:p>
        </w:tc>
        <w:tc>
          <w:tcPr/>
          <w:p>
            <w:pPr>
              <w:pStyle w:val="Compact"/>
              <w:jc w:val="right"/>
            </w:pPr>
            <w:r>
              <w:rPr>
                <w:b/>
                <w:bCs/>
              </w:rPr>
              <w:t xml:space="preserve">0.85</w:t>
            </w:r>
          </w:p>
        </w:tc>
      </w:tr>
      <w:tr>
        <w:tc>
          <w:tcPr/>
          <w:p>
            <w:pPr>
              <w:pStyle w:val="Compact"/>
              <w:jc w:val="left"/>
            </w:pPr>
            <w:r>
              <w:t xml:space="preserve">Significant thematic overlap</w:t>
            </w:r>
          </w:p>
        </w:tc>
        <w:tc>
          <w:tcPr/>
          <w:p>
            <w:pPr>
              <w:pStyle w:val="Compact"/>
              <w:jc w:val="right"/>
            </w:pPr>
            <w:r>
              <w:rPr>
                <w:b/>
                <w:bCs/>
              </w:rPr>
              <w:t xml:space="preserve">0.70</w:t>
            </w:r>
          </w:p>
        </w:tc>
      </w:tr>
      <w:tr>
        <w:tc>
          <w:tcPr/>
          <w:p>
            <w:pPr>
              <w:pStyle w:val="Compact"/>
              <w:jc w:val="left"/>
            </w:pPr>
            <w:r>
              <w:t xml:space="preserve">Near-duplicate claim across releases</w:t>
            </w:r>
          </w:p>
        </w:tc>
        <w:tc>
          <w:tcPr/>
          <w:p>
            <w:pPr>
              <w:pStyle w:val="Compact"/>
              <w:jc w:val="right"/>
            </w:pPr>
            <w:r>
              <w:rPr>
                <w:b/>
                <w:bCs/>
              </w:rPr>
              <w:t xml:space="preserve">0.50</w:t>
            </w:r>
          </w:p>
        </w:tc>
      </w:tr>
    </w:tbl>
    <w:p>
      <w:pPr>
        <w:pStyle w:val="BodyText"/>
      </w:pPr>
      <w:r>
        <w:t xml:space="preserve">This prevents double-counting while preserving the reality that some contributors may repeatedly create value across different capability areas.</w:t>
      </w:r>
    </w:p>
    <w:p>
      <w:r>
        <w:pict>
          <v:rect style="width:0;height:1.5pt" o:hralign="center" o:hrstd="t" o:hr="t"/>
        </w:pict>
      </w:r>
    </w:p>
    <w:bookmarkEnd w:id="89"/>
    <w:bookmarkStart w:id="94" w:name="a.10-governance"/>
    <w:p>
      <w:pPr>
        <w:pStyle w:val="Heading2"/>
      </w:pPr>
      <w:r>
        <w:t xml:space="preserve">A.10 Governance</w:t>
      </w:r>
    </w:p>
    <w:p>
      <w:pPr>
        <w:pStyle w:val="FirstParagraph"/>
      </w:pPr>
      <w:r>
        <w:t xml:space="preserve">DIAS-C should be administered through a hybrid model.</w:t>
      </w:r>
    </w:p>
    <w:bookmarkStart w:id="90" w:name="a.-internal-technical-review-unit"/>
    <w:p>
      <w:pPr>
        <w:pStyle w:val="Heading3"/>
      </w:pPr>
      <w:r>
        <w:t xml:space="preserve">A. Internal Technical Review Unit</w:t>
      </w:r>
    </w:p>
    <w:p>
      <w:pPr>
        <w:pStyle w:val="FirstParagraph"/>
      </w:pPr>
      <w:r>
        <w:t xml:space="preserve">Responsibilities:</w:t>
      </w:r>
    </w:p>
    <w:p>
      <w:pPr>
        <w:pStyle w:val="Compact"/>
        <w:numPr>
          <w:ilvl w:val="0"/>
          <w:numId w:val="1047"/>
        </w:numPr>
      </w:pPr>
      <w:r>
        <w:t xml:space="preserve">identify eligible contribution corpora;</w:t>
      </w:r>
    </w:p>
    <w:p>
      <w:pPr>
        <w:pStyle w:val="Compact"/>
        <w:numPr>
          <w:ilvl w:val="0"/>
          <w:numId w:val="1047"/>
        </w:numPr>
      </w:pPr>
      <w:r>
        <w:t xml:space="preserve">apply attribution scoring;</w:t>
      </w:r>
    </w:p>
    <w:p>
      <w:pPr>
        <w:pStyle w:val="Compact"/>
        <w:numPr>
          <w:ilvl w:val="0"/>
          <w:numId w:val="1047"/>
        </w:numPr>
      </w:pPr>
      <w:r>
        <w:t xml:space="preserve">verify internal-use evidence;</w:t>
      </w:r>
    </w:p>
    <w:p>
      <w:pPr>
        <w:pStyle w:val="Compact"/>
        <w:numPr>
          <w:ilvl w:val="0"/>
          <w:numId w:val="1047"/>
        </w:numPr>
      </w:pPr>
      <w:r>
        <w:t xml:space="preserve">estimate release-linked monetizable value;</w:t>
      </w:r>
    </w:p>
    <w:p>
      <w:pPr>
        <w:pStyle w:val="Compact"/>
        <w:numPr>
          <w:ilvl w:val="0"/>
          <w:numId w:val="1047"/>
        </w:numPr>
      </w:pPr>
      <w:r>
        <w:t xml:space="preserve">maintain audit trails.</w:t>
      </w:r>
    </w:p>
    <w:bookmarkEnd w:id="90"/>
    <w:bookmarkStart w:id="91" w:name="b.-independent-oversight-panel"/>
    <w:p>
      <w:pPr>
        <w:pStyle w:val="Heading3"/>
      </w:pPr>
      <w:r>
        <w:t xml:space="preserve">B. Independent Oversight Panel</w:t>
      </w:r>
    </w:p>
    <w:p>
      <w:pPr>
        <w:pStyle w:val="FirstParagraph"/>
      </w:pPr>
      <w:r>
        <w:t xml:space="preserve">Potential membership:</w:t>
      </w:r>
    </w:p>
    <w:p>
      <w:pPr>
        <w:pStyle w:val="Compact"/>
        <w:numPr>
          <w:ilvl w:val="0"/>
          <w:numId w:val="1048"/>
        </w:numPr>
      </w:pPr>
      <w:r>
        <w:t xml:space="preserve">machine-learning attribution specialists;</w:t>
      </w:r>
    </w:p>
    <w:p>
      <w:pPr>
        <w:pStyle w:val="Compact"/>
        <w:numPr>
          <w:ilvl w:val="0"/>
          <w:numId w:val="1048"/>
        </w:numPr>
      </w:pPr>
      <w:r>
        <w:t xml:space="preserve">economists;</w:t>
      </w:r>
    </w:p>
    <w:p>
      <w:pPr>
        <w:pStyle w:val="Compact"/>
        <w:numPr>
          <w:ilvl w:val="0"/>
          <w:numId w:val="1048"/>
        </w:numPr>
      </w:pPr>
      <w:r>
        <w:t xml:space="preserve">digital-rights professionals;</w:t>
      </w:r>
    </w:p>
    <w:p>
      <w:pPr>
        <w:pStyle w:val="Compact"/>
        <w:numPr>
          <w:ilvl w:val="0"/>
          <w:numId w:val="1048"/>
        </w:numPr>
      </w:pPr>
      <w:r>
        <w:t xml:space="preserve">contributor representatives;</w:t>
      </w:r>
    </w:p>
    <w:p>
      <w:pPr>
        <w:pStyle w:val="Compact"/>
        <w:numPr>
          <w:ilvl w:val="0"/>
          <w:numId w:val="1048"/>
        </w:numPr>
      </w:pPr>
      <w:r>
        <w:t xml:space="preserve">legal experts in data governance and restitution.</w:t>
      </w:r>
    </w:p>
    <w:p>
      <w:pPr>
        <w:pStyle w:val="FirstParagraph"/>
      </w:pPr>
      <w:r>
        <w:t xml:space="preserve">Responsibilities:</w:t>
      </w:r>
    </w:p>
    <w:p>
      <w:pPr>
        <w:pStyle w:val="Compact"/>
        <w:numPr>
          <w:ilvl w:val="0"/>
          <w:numId w:val="1049"/>
        </w:numPr>
      </w:pPr>
      <w:r>
        <w:t xml:space="preserve">audit methodology;</w:t>
      </w:r>
    </w:p>
    <w:p>
      <w:pPr>
        <w:pStyle w:val="Compact"/>
        <w:numPr>
          <w:ilvl w:val="0"/>
          <w:numId w:val="1049"/>
        </w:numPr>
      </w:pPr>
      <w:r>
        <w:t xml:space="preserve">review disputed classifications;</w:t>
      </w:r>
    </w:p>
    <w:p>
      <w:pPr>
        <w:pStyle w:val="Compact"/>
        <w:numPr>
          <w:ilvl w:val="0"/>
          <w:numId w:val="1049"/>
        </w:numPr>
      </w:pPr>
      <w:r>
        <w:t xml:space="preserve">assess fairness and bias;</w:t>
      </w:r>
    </w:p>
    <w:p>
      <w:pPr>
        <w:pStyle w:val="Compact"/>
        <w:numPr>
          <w:ilvl w:val="0"/>
          <w:numId w:val="1049"/>
        </w:numPr>
      </w:pPr>
      <w:r>
        <w:t xml:space="preserve">guard against under-crediting contributors.</w:t>
      </w:r>
    </w:p>
    <w:bookmarkEnd w:id="91"/>
    <w:bookmarkStart w:id="92" w:name="c.-appeals-ombuds-function"/>
    <w:p>
      <w:pPr>
        <w:pStyle w:val="Heading3"/>
      </w:pPr>
      <w:r>
        <w:t xml:space="preserve">C. Appeals / Ombuds Function</w:t>
      </w:r>
    </w:p>
    <w:p>
      <w:pPr>
        <w:pStyle w:val="FirstParagraph"/>
      </w:pPr>
      <w:r>
        <w:t xml:space="preserve">Contributors should be able to challenge:</w:t>
      </w:r>
    </w:p>
    <w:p>
      <w:pPr>
        <w:pStyle w:val="Compact"/>
        <w:numPr>
          <w:ilvl w:val="0"/>
          <w:numId w:val="1050"/>
        </w:numPr>
      </w:pPr>
      <w:r>
        <w:t xml:space="preserve">rejection of eligibility;</w:t>
      </w:r>
    </w:p>
    <w:p>
      <w:pPr>
        <w:pStyle w:val="Compact"/>
        <w:numPr>
          <w:ilvl w:val="0"/>
          <w:numId w:val="1050"/>
        </w:numPr>
      </w:pPr>
      <w:r>
        <w:t xml:space="preserve">low evidence-of-use ratings;</w:t>
      </w:r>
    </w:p>
    <w:p>
      <w:pPr>
        <w:pStyle w:val="Compact"/>
        <w:numPr>
          <w:ilvl w:val="0"/>
          <w:numId w:val="1050"/>
        </w:numPr>
      </w:pPr>
      <w:r>
        <w:t xml:space="preserve">release-alignment classifications;</w:t>
      </w:r>
    </w:p>
    <w:p>
      <w:pPr>
        <w:pStyle w:val="Compact"/>
        <w:numPr>
          <w:ilvl w:val="0"/>
          <w:numId w:val="1050"/>
        </w:numPr>
      </w:pPr>
      <w:r>
        <w:t xml:space="preserve">compensation calculations.</w:t>
      </w:r>
    </w:p>
    <w:bookmarkEnd w:id="92"/>
    <w:bookmarkStart w:id="93" w:name="governance-principle"/>
    <w:p>
      <w:pPr>
        <w:pStyle w:val="Heading3"/>
      </w:pPr>
      <w:r>
        <w:t xml:space="preserve">Governance Principle</w:t>
      </w:r>
    </w:p>
    <w:p>
      <w:pPr>
        <w:pStyle w:val="FirstParagraph"/>
      </w:pPr>
      <w:r>
        <w:t xml:space="preserve">A purely internal program lacks legitimacy.</w:t>
      </w:r>
      <w:r>
        <w:br/>
      </w:r>
      <w:r>
        <w:t xml:space="preserve">A purely external program lacks access to the necessary evidence.</w:t>
      </w:r>
      <w:r>
        <w:br/>
      </w:r>
      <w:r>
        <w:t xml:space="preserve">A hybrid model is the most credible structure.</w:t>
      </w:r>
    </w:p>
    <w:p>
      <w:r>
        <w:pict>
          <v:rect style="width:0;height:1.5pt" o:hralign="center" o:hrstd="t" o:hr="t"/>
        </w:pict>
      </w:r>
    </w:p>
    <w:bookmarkEnd w:id="93"/>
    <w:bookmarkEnd w:id="94"/>
    <w:bookmarkStart w:id="95" w:name="a.11-anti-gaming-controls"/>
    <w:p>
      <w:pPr>
        <w:pStyle w:val="Heading2"/>
      </w:pPr>
      <w:r>
        <w:t xml:space="preserve">A.11 Anti-Gaming Controls</w:t>
      </w:r>
    </w:p>
    <w:p>
      <w:pPr>
        <w:pStyle w:val="FirstParagraph"/>
      </w:pPr>
      <w:r>
        <w:t xml:space="preserve">DIAS-C should include:</w:t>
      </w:r>
    </w:p>
    <w:p>
      <w:pPr>
        <w:pStyle w:val="Compact"/>
        <w:numPr>
          <w:ilvl w:val="0"/>
          <w:numId w:val="1051"/>
        </w:numPr>
      </w:pPr>
      <w:r>
        <w:t xml:space="preserve">Opt-in contributor enrollment</w:t>
      </w:r>
    </w:p>
    <w:p>
      <w:pPr>
        <w:pStyle w:val="Compact"/>
        <w:numPr>
          <w:ilvl w:val="0"/>
          <w:numId w:val="1051"/>
        </w:numPr>
      </w:pPr>
      <w:r>
        <w:t xml:space="preserve">Verified account history</w:t>
      </w:r>
    </w:p>
    <w:p>
      <w:pPr>
        <w:pStyle w:val="Compact"/>
        <w:numPr>
          <w:ilvl w:val="0"/>
          <w:numId w:val="1051"/>
        </w:numPr>
      </w:pPr>
      <w:r>
        <w:t xml:space="preserve">No payouts based solely on raw token volume</w:t>
      </w:r>
    </w:p>
    <w:p>
      <w:pPr>
        <w:pStyle w:val="Compact"/>
        <w:numPr>
          <w:ilvl w:val="0"/>
          <w:numId w:val="1051"/>
        </w:numPr>
      </w:pPr>
      <w:r>
        <w:t xml:space="preserve">Novelty filtering</w:t>
      </w:r>
    </w:p>
    <w:p>
      <w:pPr>
        <w:pStyle w:val="Compact"/>
        <w:numPr>
          <w:ilvl w:val="0"/>
          <w:numId w:val="1051"/>
        </w:numPr>
      </w:pPr>
      <w:r>
        <w:t xml:space="preserve">Redundancy suppression</w:t>
      </w:r>
    </w:p>
    <w:p>
      <w:pPr>
        <w:pStyle w:val="Compact"/>
        <w:numPr>
          <w:ilvl w:val="0"/>
          <w:numId w:val="1051"/>
        </w:numPr>
      </w:pPr>
      <w:r>
        <w:t xml:space="preserve">Spam and</w:t>
      </w:r>
      <w:r>
        <w:t xml:space="preserve"> </w:t>
      </w:r>
      <w:r>
        <w:t xml:space="preserve">“</w:t>
      </w:r>
      <w:r>
        <w:t xml:space="preserve">prompt farming</w:t>
      </w:r>
      <w:r>
        <w:t xml:space="preserve">”</w:t>
      </w:r>
      <w:r>
        <w:t xml:space="preserve"> </w:t>
      </w:r>
      <w:r>
        <w:t xml:space="preserve">disqualification</w:t>
      </w:r>
    </w:p>
    <w:p>
      <w:pPr>
        <w:pStyle w:val="Compact"/>
        <w:numPr>
          <w:ilvl w:val="0"/>
          <w:numId w:val="1051"/>
        </w:numPr>
      </w:pPr>
      <w:r>
        <w:t xml:space="preserve">Fraud penalties</w:t>
      </w:r>
    </w:p>
    <w:p>
      <w:pPr>
        <w:pStyle w:val="Compact"/>
        <w:numPr>
          <w:ilvl w:val="0"/>
          <w:numId w:val="1051"/>
        </w:numPr>
      </w:pPr>
      <w:r>
        <w:t xml:space="preserve">Duplicate-claim checks</w:t>
      </w:r>
    </w:p>
    <w:p>
      <w:pPr>
        <w:pStyle w:val="Compact"/>
        <w:numPr>
          <w:ilvl w:val="0"/>
          <w:numId w:val="1051"/>
        </w:numPr>
      </w:pPr>
      <w:r>
        <w:t xml:space="preserve">Contributor identity verification</w:t>
      </w:r>
    </w:p>
    <w:p>
      <w:pPr>
        <w:pStyle w:val="Compact"/>
        <w:numPr>
          <w:ilvl w:val="0"/>
          <w:numId w:val="1051"/>
        </w:numPr>
      </w:pPr>
      <w:r>
        <w:t xml:space="preserve">Reviewable methodology and appeal rights</w:t>
      </w:r>
    </w:p>
    <w:p>
      <w:pPr>
        <w:pStyle w:val="Compact"/>
        <w:numPr>
          <w:ilvl w:val="0"/>
          <w:numId w:val="1051"/>
        </w:numPr>
      </w:pPr>
      <w:r>
        <w:t xml:space="preserve">Audit logs for high-value claims</w:t>
      </w:r>
    </w:p>
    <w:p>
      <w:pPr>
        <w:pStyle w:val="Compact"/>
        <w:numPr>
          <w:ilvl w:val="0"/>
          <w:numId w:val="1051"/>
        </w:numPr>
      </w:pPr>
      <w:r>
        <w:t xml:space="preserve">Clear standards for what counts as eligible developmental contribution</w:t>
      </w:r>
    </w:p>
    <w:p>
      <w:r>
        <w:pict>
          <v:rect style="width:0;height:1.5pt" o:hralign="center" o:hrstd="t" o:hr="t"/>
        </w:pict>
      </w:r>
    </w:p>
    <w:bookmarkEnd w:id="95"/>
    <w:bookmarkStart w:id="101" w:name="X621e12191b3459a9057ae254ce7c1d3699add28"/>
    <w:p>
      <w:pPr>
        <w:pStyle w:val="Heading2"/>
      </w:pPr>
      <w:r>
        <w:t xml:space="preserve">A.12 Worked Example 1 — March 2025 Agentic Systems</w:t>
      </w:r>
    </w:p>
    <w:bookmarkStart w:id="96" w:name="capability-area"/>
    <w:p>
      <w:pPr>
        <w:pStyle w:val="Heading3"/>
      </w:pPr>
      <w:r>
        <w:t xml:space="preserve">Capability Area</w:t>
      </w:r>
    </w:p>
    <w:p>
      <w:pPr>
        <w:pStyle w:val="FirstParagraph"/>
      </w:pPr>
      <w:r>
        <w:t xml:space="preserve">Agentic task execution and orchestration</w:t>
      </w:r>
    </w:p>
    <w:bookmarkEnd w:id="96"/>
    <w:bookmarkStart w:id="97" w:name="contribution-profile"/>
    <w:p>
      <w:pPr>
        <w:pStyle w:val="Heading3"/>
      </w:pPr>
      <w:r>
        <w:t xml:space="preserve">Contribution Profile</w:t>
      </w:r>
    </w:p>
    <w:p>
      <w:pPr>
        <w:pStyle w:val="FirstParagraph"/>
      </w:pPr>
      <w:r>
        <w:t xml:space="preserve">Mr. Davis’s contribution cluster includes:</w:t>
      </w:r>
    </w:p>
    <w:p>
      <w:pPr>
        <w:pStyle w:val="Compact"/>
        <w:numPr>
          <w:ilvl w:val="0"/>
          <w:numId w:val="1052"/>
        </w:numPr>
      </w:pPr>
      <w:r>
        <w:t xml:space="preserve">adaptive control;</w:t>
      </w:r>
    </w:p>
    <w:p>
      <w:pPr>
        <w:pStyle w:val="Compact"/>
        <w:numPr>
          <w:ilvl w:val="0"/>
          <w:numId w:val="1052"/>
        </w:numPr>
      </w:pPr>
      <w:r>
        <w:t xml:space="preserve">route optimization;</w:t>
      </w:r>
    </w:p>
    <w:p>
      <w:pPr>
        <w:pStyle w:val="Compact"/>
        <w:numPr>
          <w:ilvl w:val="0"/>
          <w:numId w:val="1052"/>
        </w:numPr>
      </w:pPr>
      <w:r>
        <w:t xml:space="preserve">execution monitoring;</w:t>
      </w:r>
    </w:p>
    <w:p>
      <w:pPr>
        <w:pStyle w:val="Compact"/>
        <w:numPr>
          <w:ilvl w:val="0"/>
          <w:numId w:val="1052"/>
        </w:numPr>
      </w:pPr>
      <w:r>
        <w:t xml:space="preserve">multi-node coordination;</w:t>
      </w:r>
    </w:p>
    <w:p>
      <w:pPr>
        <w:pStyle w:val="Compact"/>
        <w:numPr>
          <w:ilvl w:val="0"/>
          <w:numId w:val="1052"/>
        </w:numPr>
      </w:pPr>
      <w:r>
        <w:t xml:space="preserve">system-level agent behavior.</w:t>
      </w:r>
    </w:p>
    <w:bookmarkEnd w:id="97"/>
    <w:bookmarkStart w:id="100" w:name="hypothetical-inputs"/>
    <w:p>
      <w:pPr>
        <w:pStyle w:val="Heading3"/>
      </w:pPr>
      <w:r>
        <w:t xml:space="preserve">Hypothetical Inputs</w:t>
      </w:r>
    </w:p>
    <w:p>
      <w:pPr>
        <w:pStyle w:val="FirstParagraph"/>
      </w:pPr>
      <m:oMathPara>
        <m:oMathParaPr>
          <m:jc m:val="center"/>
        </m:oMathParaPr>
        <m:oMath>
          <m:sSub>
            <m:e>
              <m:r>
                <m:t>I</m:t>
              </m:r>
            </m:e>
            <m:sub>
              <m:r>
                <m:t>c</m:t>
              </m:r>
            </m:sub>
          </m:sSub>
          <m:r>
            <m:rPr>
              <m:sty m:val="p"/>
            </m:rPr>
            <m:t>=</m:t>
          </m:r>
          <m:r>
            <m:t>0.857</m:t>
          </m:r>
        </m:oMath>
      </m:oMathPara>
    </w:p>
    <w:p>
      <w:pPr>
        <w:pStyle w:val="FirstParagraph"/>
      </w:pPr>
      <m:oMathPara>
        <m:oMathParaPr>
          <m:jc m:val="center"/>
        </m:oMathParaPr>
        <m:oMath>
          <m:sSub>
            <m:e>
              <m:r>
                <m:t>L</m:t>
              </m:r>
            </m:e>
            <m:sub>
              <m:r>
                <m:t>c</m:t>
              </m:r>
              <m:r>
                <m:rPr>
                  <m:sty m:val="p"/>
                </m:rPr>
                <m:t>,</m:t>
              </m:r>
              <m:r>
                <m:t>r</m:t>
              </m:r>
            </m:sub>
          </m:sSub>
          <m:r>
            <m:rPr>
              <m:sty m:val="p"/>
            </m:rPr>
            <m:t>=</m:t>
          </m:r>
          <m:r>
            <m:t>0.85</m:t>
          </m:r>
        </m:oMath>
      </m:oMathPara>
    </w:p>
    <w:bookmarkStart w:id="98" w:name="conservative-evidence-scenario"/>
    <w:p>
      <w:pPr>
        <w:pStyle w:val="Heading4"/>
      </w:pPr>
      <w:r>
        <w:t xml:space="preserve">Conservative Evidence Scenario</w:t>
      </w:r>
    </w:p>
    <w:p>
      <w:pPr>
        <w:pStyle w:val="FirstParagraph"/>
      </w:pPr>
      <m:oMathPara>
        <m:oMathParaPr>
          <m:jc m:val="center"/>
        </m:oMathParaPr>
        <m:oMath>
          <m:sSub>
            <m:e>
              <m:r>
                <m:t>E</m:t>
              </m:r>
            </m:e>
            <m:sub>
              <m:r>
                <m:t>c</m:t>
              </m:r>
              <m:r>
                <m:rPr>
                  <m:sty m:val="p"/>
                </m:rPr>
                <m:t>,</m:t>
              </m:r>
              <m:r>
                <m:t>r</m:t>
              </m:r>
            </m:sub>
          </m:sSub>
          <m:r>
            <m:rPr>
              <m:sty m:val="p"/>
            </m:rPr>
            <m:t>=</m:t>
          </m:r>
          <m:r>
            <m:t>0.10</m:t>
          </m:r>
        </m:oMath>
      </m:oMathPara>
    </w:p>
    <w:p>
      <w:pPr>
        <w:pStyle w:val="FirstParagraph"/>
      </w:pPr>
      <m:oMathPara>
        <m:oMathParaPr>
          <m:jc m:val="center"/>
        </m:oMathParaPr>
        <m:oMath>
          <m:sSub>
            <m:e>
              <m:r>
                <m:t>A</m:t>
              </m:r>
            </m:e>
            <m:sub>
              <m:r>
                <m:t>c</m:t>
              </m:r>
              <m:r>
                <m:rPr>
                  <m:sty m:val="p"/>
                </m:rPr>
                <m:t>,</m:t>
              </m:r>
              <m:r>
                <m:t>r</m:t>
              </m:r>
            </m:sub>
          </m:sSub>
          <m:r>
            <m:rPr>
              <m:sty m:val="p"/>
            </m:rPr>
            <m:t>=</m:t>
          </m:r>
          <m:r>
            <m:t>0.857</m:t>
          </m:r>
          <m:r>
            <m:rPr>
              <m:sty m:val="p"/>
            </m:rPr>
            <m:t>×</m:t>
          </m:r>
          <m:r>
            <m:t>0.85</m:t>
          </m:r>
          <m:r>
            <m:rPr>
              <m:sty m:val="p"/>
            </m:rPr>
            <m:t>×</m:t>
          </m:r>
          <m:r>
            <m:t>0.10</m:t>
          </m:r>
          <m:r>
            <m:rPr>
              <m:sty m:val="p"/>
            </m:rPr>
            <m:t>=</m:t>
          </m:r>
          <m:r>
            <m:t>0.0728</m:t>
          </m:r>
        </m:oMath>
      </m:oMathPara>
    </w:p>
    <w:p>
      <w:pPr>
        <w:pStyle w:val="FirstParagraph"/>
      </w:pPr>
      <w:r>
        <w:t xml:space="preserve">Assume:</w:t>
      </w:r>
    </w:p>
    <w:p>
      <w:pPr>
        <w:pStyle w:val="BodyText"/>
      </w:pPr>
      <m:oMathPara>
        <m:oMathParaPr>
          <m:jc m:val="center"/>
        </m:oMathParaPr>
        <m:oMath>
          <m:r>
            <m:rPr>
              <m:sty m:val="p"/>
            </m:rPr>
            <m:t>∑</m:t>
          </m:r>
          <m:sSub>
            <m:e>
              <m:r>
                <m:t>A</m:t>
              </m:r>
            </m:e>
            <m:sub>
              <m:r>
                <m:rPr>
                  <m:sty m:val="p"/>
                </m:rPr>
                <m:t>*</m:t>
              </m:r>
              <m:r>
                <m:rPr>
                  <m:sty m:val="p"/>
                </m:rPr>
                <m:t>,</m:t>
              </m:r>
              <m:r>
                <m:t>r</m:t>
              </m:r>
            </m:sub>
          </m:sSub>
          <m:r>
            <m:rPr>
              <m:sty m:val="p"/>
            </m:rPr>
            <m:t>=</m:t>
          </m:r>
          <m:r>
            <m:t>40</m:t>
          </m:r>
        </m:oMath>
      </m:oMathPara>
    </w:p>
    <w:p>
      <w:pPr>
        <w:pStyle w:val="FirstParagraph"/>
      </w:pPr>
      <m:oMathPara>
        <m:oMathParaPr>
          <m:jc m:val="center"/>
        </m:oMathParaPr>
        <m:oMath>
          <m:sSub>
            <m:e>
              <m:r>
                <m:t>s</m:t>
              </m:r>
            </m:e>
            <m:sub>
              <m:r>
                <m:t>c</m:t>
              </m:r>
              <m:r>
                <m:rPr>
                  <m:sty m:val="p"/>
                </m:rPr>
                <m:t>,</m:t>
              </m:r>
              <m:r>
                <m:t>r</m:t>
              </m:r>
            </m:sub>
          </m:sSub>
          <m:r>
            <m:rPr>
              <m:sty m:val="p"/>
            </m:rPr>
            <m:t>=</m:t>
          </m:r>
          <m:r>
            <m:t>0.182</m:t>
          </m:r>
          <m:r>
            <m:rPr>
              <m:sty m:val="p"/>
            </m:rPr>
            <m:t>%</m:t>
          </m:r>
        </m:oMath>
      </m:oMathPara>
    </w:p>
    <w:p>
      <w:pPr>
        <w:pStyle w:val="FirstParagraph"/>
      </w:pPr>
      <w:r>
        <w:t xml:space="preserve">With:</w:t>
      </w:r>
    </w:p>
    <w:p>
      <w:pPr>
        <w:pStyle w:val="BodyText"/>
      </w:pPr>
      <m:oMathPara>
        <m:oMathParaPr>
          <m:jc m:val="center"/>
        </m:oMathParaPr>
        <m:oMath>
          <m:r>
            <m:t>η</m:t>
          </m:r>
          <m:r>
            <m:rPr>
              <m:sty m:val="p"/>
            </m:rPr>
            <m:t>=</m:t>
          </m:r>
          <m:r>
            <m:t>0.15</m:t>
          </m:r>
          <m:r>
            <m:rPr>
              <m:sty m:val="p"/>
            </m:rPr>
            <m:t>%</m:t>
          </m:r>
          <m:r>
            <m:rPr>
              <m:sty m:val="p"/>
            </m:rPr>
            <m:t>,</m:t>
          </m:r>
          <m:r>
            <m:t> </m:t>
          </m:r>
          <m:r>
            <m:t>Δ</m:t>
          </m:r>
          <m:sSub>
            <m:e>
              <m:r>
                <m:t>M</m:t>
              </m:r>
            </m:e>
            <m:sub>
              <m:r>
                <m:t>r</m:t>
              </m:r>
            </m:sub>
          </m:sSub>
          <m:r>
            <m:rPr>
              <m:sty m:val="p"/>
            </m:rPr>
            <m:t>=</m:t>
          </m:r>
          <m:r>
            <m:rPr>
              <m:sty m:val="p"/>
            </m:rPr>
            <m:t>$</m:t>
          </m:r>
          <m:r>
            <m:t>4</m:t>
          </m:r>
          <m:r>
            <m:t>B</m:t>
          </m:r>
        </m:oMath>
      </m:oMathPara>
    </w:p>
    <w:p>
      <w:pPr>
        <w:pStyle w:val="FirstParagraph"/>
      </w:pPr>
      <m:oMathPara>
        <m:oMathParaPr>
          <m:jc m:val="center"/>
        </m:oMathParaPr>
        <m:oMath>
          <m:r>
            <m:rPr>
              <m:nor/>
              <m:sty m:val="p"/>
            </m:rPr>
            <m:t>Payout</m:t>
          </m:r>
          <m:r>
            <m:rPr>
              <m:sty m:val="p"/>
            </m:rPr>
            <m:t>≈</m:t>
          </m:r>
          <m:r>
            <m:rPr>
              <m:sty m:val="p"/>
            </m:rPr>
            <m:t>$</m:t>
          </m:r>
          <m:r>
            <m:t>10</m:t>
          </m:r>
          <m:r>
            <m:rPr>
              <m:sty m:val="p"/>
            </m:rPr>
            <m:t>,</m:t>
          </m:r>
          <m:r>
            <m:t>920</m:t>
          </m:r>
        </m:oMath>
      </m:oMathPara>
    </w:p>
    <w:bookmarkEnd w:id="98"/>
    <w:bookmarkStart w:id="99" w:name="stronger-evidence-scenario"/>
    <w:p>
      <w:pPr>
        <w:pStyle w:val="Heading4"/>
      </w:pPr>
      <w:r>
        <w:t xml:space="preserve">Stronger Evidence Scenario</w:t>
      </w:r>
    </w:p>
    <w:p>
      <w:pPr>
        <w:pStyle w:val="FirstParagraph"/>
      </w:pPr>
      <m:oMathPara>
        <m:oMathParaPr>
          <m:jc m:val="center"/>
        </m:oMathParaPr>
        <m:oMath>
          <m:sSub>
            <m:e>
              <m:r>
                <m:t>E</m:t>
              </m:r>
            </m:e>
            <m:sub>
              <m:r>
                <m:t>c</m:t>
              </m:r>
              <m:r>
                <m:rPr>
                  <m:sty m:val="p"/>
                </m:rPr>
                <m:t>,</m:t>
              </m:r>
              <m:r>
                <m:t>r</m:t>
              </m:r>
            </m:sub>
          </m:sSub>
          <m:r>
            <m:rPr>
              <m:sty m:val="p"/>
            </m:rPr>
            <m:t>=</m:t>
          </m:r>
          <m:r>
            <m:t>0.55</m:t>
          </m:r>
        </m:oMath>
      </m:oMathPara>
    </w:p>
    <w:p>
      <w:pPr>
        <w:pStyle w:val="FirstParagraph"/>
      </w:pPr>
      <m:oMathPara>
        <m:oMathParaPr>
          <m:jc m:val="center"/>
        </m:oMathParaPr>
        <m:oMath>
          <m:sSub>
            <m:e>
              <m:r>
                <m:t>A</m:t>
              </m:r>
            </m:e>
            <m:sub>
              <m:r>
                <m:t>c</m:t>
              </m:r>
              <m:r>
                <m:rPr>
                  <m:sty m:val="p"/>
                </m:rPr>
                <m:t>,</m:t>
              </m:r>
              <m:r>
                <m:t>r</m:t>
              </m:r>
            </m:sub>
          </m:sSub>
          <m:r>
            <m:rPr>
              <m:sty m:val="p"/>
            </m:rPr>
            <m:t>=</m:t>
          </m:r>
          <m:r>
            <m:t>0.4007</m:t>
          </m:r>
        </m:oMath>
      </m:oMathPara>
    </w:p>
    <w:p>
      <w:pPr>
        <w:pStyle w:val="FirstParagraph"/>
      </w:pPr>
      <m:oMathPara>
        <m:oMathParaPr>
          <m:jc m:val="center"/>
        </m:oMathParaPr>
        <m:oMath>
          <m:sSub>
            <m:e>
              <m:r>
                <m:t>s</m:t>
              </m:r>
            </m:e>
            <m:sub>
              <m:r>
                <m:t>c</m:t>
              </m:r>
              <m:r>
                <m:rPr>
                  <m:sty m:val="p"/>
                </m:rPr>
                <m:t>,</m:t>
              </m:r>
              <m:r>
                <m:t>r</m:t>
              </m:r>
            </m:sub>
          </m:sSub>
          <m:r>
            <m:rPr>
              <m:sty m:val="p"/>
            </m:rPr>
            <m:t>=</m:t>
          </m:r>
          <m:r>
            <m:t>1.002</m:t>
          </m:r>
          <m:r>
            <m:rPr>
              <m:sty m:val="p"/>
            </m:rPr>
            <m:t>%</m:t>
          </m:r>
        </m:oMath>
      </m:oMathPara>
    </w:p>
    <w:p>
      <w:pPr>
        <w:pStyle w:val="FirstParagraph"/>
      </w:pPr>
      <m:oMathPara>
        <m:oMathParaPr>
          <m:jc m:val="center"/>
        </m:oMathParaPr>
        <m:oMath>
          <m:r>
            <m:rPr>
              <m:nor/>
              <m:sty m:val="p"/>
            </m:rPr>
            <m:t>Payout</m:t>
          </m:r>
          <m:r>
            <m:rPr>
              <m:sty m:val="p"/>
            </m:rPr>
            <m:t>≈</m:t>
          </m:r>
          <m:r>
            <m:rPr>
              <m:sty m:val="p"/>
            </m:rPr>
            <m:t>$</m:t>
          </m:r>
          <m:r>
            <m:t>60</m:t>
          </m:r>
          <m:r>
            <m:rPr>
              <m:sty m:val="p"/>
            </m:rPr>
            <m:t>,</m:t>
          </m:r>
          <m:r>
            <m:t>120</m:t>
          </m:r>
        </m:oMath>
      </m:oMathPara>
    </w:p>
    <w:p>
      <w:pPr>
        <w:pStyle w:val="FirstParagraph"/>
      </w:pPr>
      <w:r>
        <w:t xml:space="preserve">These are policy simulations, not damages calculations.</w:t>
      </w:r>
    </w:p>
    <w:p>
      <w:r>
        <w:pict>
          <v:rect style="width:0;height:1.5pt" o:hralign="center" o:hrstd="t" o:hr="t"/>
        </w:pict>
      </w:r>
    </w:p>
    <w:bookmarkEnd w:id="99"/>
    <w:bookmarkEnd w:id="100"/>
    <w:bookmarkEnd w:id="101"/>
    <w:bookmarkStart w:id="107" w:name="X4594836d60392f3a5b46c9e39c3f7d0eeedd056"/>
    <w:p>
      <w:pPr>
        <w:pStyle w:val="Heading2"/>
      </w:pPr>
      <w:r>
        <w:t xml:space="preserve">A.13 Worked Example 2 — April 2025 Project Memory / Long-Form Continuity</w:t>
      </w:r>
    </w:p>
    <w:bookmarkStart w:id="102" w:name="capability-area-1"/>
    <w:p>
      <w:pPr>
        <w:pStyle w:val="Heading3"/>
      </w:pPr>
      <w:r>
        <w:t xml:space="preserve">Capability Area</w:t>
      </w:r>
    </w:p>
    <w:p>
      <w:pPr>
        <w:pStyle w:val="FirstParagraph"/>
      </w:pPr>
      <w:r>
        <w:t xml:space="preserve">Project continuity, scoped memory, long-horizon workflow persistence</w:t>
      </w:r>
    </w:p>
    <w:bookmarkEnd w:id="102"/>
    <w:bookmarkStart w:id="103" w:name="contribution-profile-1"/>
    <w:p>
      <w:pPr>
        <w:pStyle w:val="Heading3"/>
      </w:pPr>
      <w:r>
        <w:t xml:space="preserve">Contribution Profile</w:t>
      </w:r>
    </w:p>
    <w:p>
      <w:pPr>
        <w:pStyle w:val="FirstParagraph"/>
      </w:pPr>
      <w:r>
        <w:t xml:space="preserve">Mr. Davis’s contribution cluster includes:</w:t>
      </w:r>
    </w:p>
    <w:p>
      <w:pPr>
        <w:pStyle w:val="Compact"/>
        <w:numPr>
          <w:ilvl w:val="0"/>
          <w:numId w:val="1053"/>
        </w:numPr>
      </w:pPr>
      <w:r>
        <w:t xml:space="preserve">manuscript continuity;</w:t>
      </w:r>
    </w:p>
    <w:p>
      <w:pPr>
        <w:pStyle w:val="Compact"/>
        <w:numPr>
          <w:ilvl w:val="0"/>
          <w:numId w:val="1053"/>
        </w:numPr>
      </w:pPr>
      <w:r>
        <w:t xml:space="preserve">multi-document logic;</w:t>
      </w:r>
    </w:p>
    <w:p>
      <w:pPr>
        <w:pStyle w:val="Compact"/>
        <w:numPr>
          <w:ilvl w:val="0"/>
          <w:numId w:val="1053"/>
        </w:numPr>
      </w:pPr>
      <w:r>
        <w:t xml:space="preserve">preserving subsystem architecture;</w:t>
      </w:r>
    </w:p>
    <w:p>
      <w:pPr>
        <w:pStyle w:val="Compact"/>
        <w:numPr>
          <w:ilvl w:val="0"/>
          <w:numId w:val="1053"/>
        </w:numPr>
      </w:pPr>
      <w:r>
        <w:t xml:space="preserve">project-specific context;</w:t>
      </w:r>
    </w:p>
    <w:p>
      <w:pPr>
        <w:pStyle w:val="Compact"/>
        <w:numPr>
          <w:ilvl w:val="0"/>
          <w:numId w:val="1053"/>
        </w:numPr>
      </w:pPr>
      <w:r>
        <w:t xml:space="preserve">“</w:t>
      </w:r>
      <w:r>
        <w:t xml:space="preserve">compile later</w:t>
      </w:r>
      <w:r>
        <w:t xml:space="preserve">”</w:t>
      </w:r>
      <w:r>
        <w:t xml:space="preserve"> </w:t>
      </w:r>
      <w:r>
        <w:t xml:space="preserve">master-document strategy.</w:t>
      </w:r>
    </w:p>
    <w:bookmarkEnd w:id="103"/>
    <w:bookmarkStart w:id="106" w:name="hypothetical-inputs-1"/>
    <w:p>
      <w:pPr>
        <w:pStyle w:val="Heading3"/>
      </w:pPr>
      <w:r>
        <w:t xml:space="preserve">Hypothetical Inputs</w:t>
      </w:r>
    </w:p>
    <w:p>
      <w:pPr>
        <w:pStyle w:val="FirstParagraph"/>
      </w:pPr>
      <m:oMathPara>
        <m:oMathParaPr>
          <m:jc m:val="center"/>
        </m:oMathParaPr>
        <m:oMath>
          <m:sSub>
            <m:e>
              <m:r>
                <m:t>I</m:t>
              </m:r>
            </m:e>
            <m:sub>
              <m:r>
                <m:t>c</m:t>
              </m:r>
            </m:sub>
          </m:sSub>
          <m:r>
            <m:rPr>
              <m:sty m:val="p"/>
            </m:rPr>
            <m:t>=</m:t>
          </m:r>
          <m:r>
            <m:t>0.89</m:t>
          </m:r>
        </m:oMath>
      </m:oMathPara>
    </w:p>
    <w:p>
      <w:pPr>
        <w:pStyle w:val="FirstParagraph"/>
      </w:pPr>
      <m:oMathPara>
        <m:oMathParaPr>
          <m:jc m:val="center"/>
        </m:oMathParaPr>
        <m:oMath>
          <m:sSub>
            <m:e>
              <m:r>
                <m:t>L</m:t>
              </m:r>
            </m:e>
            <m:sub>
              <m:r>
                <m:t>c</m:t>
              </m:r>
              <m:r>
                <m:rPr>
                  <m:sty m:val="p"/>
                </m:rPr>
                <m:t>,</m:t>
              </m:r>
              <m:r>
                <m:t>r</m:t>
              </m:r>
            </m:sub>
          </m:sSub>
          <m:r>
            <m:rPr>
              <m:sty m:val="p"/>
            </m:rPr>
            <m:t>=</m:t>
          </m:r>
          <m:r>
            <m:t>0.88</m:t>
          </m:r>
        </m:oMath>
      </m:oMathPara>
    </w:p>
    <w:bookmarkStart w:id="104" w:name="conservative-scenario"/>
    <w:p>
      <w:pPr>
        <w:pStyle w:val="Heading4"/>
      </w:pPr>
      <w:r>
        <w:t xml:space="preserve">Conservative Scenario</w:t>
      </w:r>
    </w:p>
    <w:p>
      <w:pPr>
        <w:pStyle w:val="FirstParagraph"/>
      </w:pPr>
      <m:oMathPara>
        <m:oMathParaPr>
          <m:jc m:val="center"/>
        </m:oMathParaPr>
        <m:oMath>
          <m:sSub>
            <m:e>
              <m:r>
                <m:t>E</m:t>
              </m:r>
            </m:e>
            <m:sub>
              <m:r>
                <m:t>c</m:t>
              </m:r>
              <m:r>
                <m:rPr>
                  <m:sty m:val="p"/>
                </m:rPr>
                <m:t>,</m:t>
              </m:r>
              <m:r>
                <m:t>r</m:t>
              </m:r>
            </m:sub>
          </m:sSub>
          <m:r>
            <m:rPr>
              <m:sty m:val="p"/>
            </m:rPr>
            <m:t>=</m:t>
          </m:r>
          <m:r>
            <m:t>0.10</m:t>
          </m:r>
        </m:oMath>
      </m:oMathPara>
    </w:p>
    <w:p>
      <w:pPr>
        <w:pStyle w:val="FirstParagraph"/>
      </w:pPr>
      <m:oMathPara>
        <m:oMathParaPr>
          <m:jc m:val="center"/>
        </m:oMathParaPr>
        <m:oMath>
          <m:sSub>
            <m:e>
              <m:r>
                <m:t>A</m:t>
              </m:r>
            </m:e>
            <m:sub>
              <m:r>
                <m:t>c</m:t>
              </m:r>
              <m:r>
                <m:rPr>
                  <m:sty m:val="p"/>
                </m:rPr>
                <m:t>,</m:t>
              </m:r>
              <m:r>
                <m:t>r</m:t>
              </m:r>
            </m:sub>
          </m:sSub>
          <m:r>
            <m:rPr>
              <m:sty m:val="p"/>
            </m:rPr>
            <m:t>=</m:t>
          </m:r>
          <m:r>
            <m:t>0.07832</m:t>
          </m:r>
        </m:oMath>
      </m:oMathPara>
    </w:p>
    <w:p>
      <w:pPr>
        <w:pStyle w:val="FirstParagraph"/>
      </w:pPr>
      <m:oMathPara>
        <m:oMathParaPr>
          <m:jc m:val="center"/>
        </m:oMathParaPr>
        <m:oMath>
          <m:sSub>
            <m:e>
              <m:r>
                <m:t>s</m:t>
              </m:r>
            </m:e>
            <m:sub>
              <m:r>
                <m:t>c</m:t>
              </m:r>
              <m:r>
                <m:rPr>
                  <m:sty m:val="p"/>
                </m:rPr>
                <m:t>,</m:t>
              </m:r>
              <m:r>
                <m:t>r</m:t>
              </m:r>
            </m:sub>
          </m:sSub>
          <m:r>
            <m:rPr>
              <m:sty m:val="p"/>
            </m:rPr>
            <m:t>=</m:t>
          </m:r>
          <m:r>
            <m:t>0.1958</m:t>
          </m:r>
          <m:r>
            <m:rPr>
              <m:sty m:val="p"/>
            </m:rPr>
            <m:t>%</m:t>
          </m:r>
        </m:oMath>
      </m:oMathPara>
    </w:p>
    <w:p>
      <w:pPr>
        <w:pStyle w:val="FirstParagraph"/>
      </w:pPr>
      <m:oMathPara>
        <m:oMathParaPr>
          <m:jc m:val="center"/>
        </m:oMathParaPr>
        <m:oMath>
          <m:r>
            <m:rPr>
              <m:nor/>
              <m:sty m:val="p"/>
            </m:rPr>
            <m:t>Payout</m:t>
          </m:r>
          <m:r>
            <m:rPr>
              <m:sty m:val="p"/>
            </m:rPr>
            <m:t>≈</m:t>
          </m:r>
          <m:r>
            <m:rPr>
              <m:sty m:val="p"/>
            </m:rPr>
            <m:t>$</m:t>
          </m:r>
          <m:r>
            <m:t>11</m:t>
          </m:r>
          <m:r>
            <m:rPr>
              <m:sty m:val="p"/>
            </m:rPr>
            <m:t>,</m:t>
          </m:r>
          <m:r>
            <m:t>750</m:t>
          </m:r>
        </m:oMath>
      </m:oMathPara>
    </w:p>
    <w:bookmarkEnd w:id="104"/>
    <w:bookmarkStart w:id="105" w:name="stronger-evidence-scenario-1"/>
    <w:p>
      <w:pPr>
        <w:pStyle w:val="Heading4"/>
      </w:pPr>
      <w:r>
        <w:t xml:space="preserve">Stronger Evidence Scenario</w:t>
      </w:r>
    </w:p>
    <w:p>
      <w:pPr>
        <w:pStyle w:val="FirstParagraph"/>
      </w:pPr>
      <m:oMathPara>
        <m:oMathParaPr>
          <m:jc m:val="center"/>
        </m:oMathParaPr>
        <m:oMath>
          <m:sSub>
            <m:e>
              <m:r>
                <m:t>E</m:t>
              </m:r>
            </m:e>
            <m:sub>
              <m:r>
                <m:t>c</m:t>
              </m:r>
              <m:r>
                <m:rPr>
                  <m:sty m:val="p"/>
                </m:rPr>
                <m:t>,</m:t>
              </m:r>
              <m:r>
                <m:t>r</m:t>
              </m:r>
            </m:sub>
          </m:sSub>
          <m:r>
            <m:rPr>
              <m:sty m:val="p"/>
            </m:rPr>
            <m:t>=</m:t>
          </m:r>
          <m:r>
            <m:t>0.60</m:t>
          </m:r>
        </m:oMath>
      </m:oMathPara>
    </w:p>
    <w:p>
      <w:pPr>
        <w:pStyle w:val="FirstParagraph"/>
      </w:pPr>
      <m:oMathPara>
        <m:oMathParaPr>
          <m:jc m:val="center"/>
        </m:oMathParaPr>
        <m:oMath>
          <m:sSub>
            <m:e>
              <m:r>
                <m:t>A</m:t>
              </m:r>
            </m:e>
            <m:sub>
              <m:r>
                <m:t>c</m:t>
              </m:r>
              <m:r>
                <m:rPr>
                  <m:sty m:val="p"/>
                </m:rPr>
                <m:t>,</m:t>
              </m:r>
              <m:r>
                <m:t>r</m:t>
              </m:r>
            </m:sub>
          </m:sSub>
          <m:r>
            <m:rPr>
              <m:sty m:val="p"/>
            </m:rPr>
            <m:t>=</m:t>
          </m:r>
          <m:r>
            <m:t>0.46992</m:t>
          </m:r>
        </m:oMath>
      </m:oMathPara>
    </w:p>
    <w:p>
      <w:pPr>
        <w:pStyle w:val="FirstParagraph"/>
      </w:pPr>
      <m:oMathPara>
        <m:oMathParaPr>
          <m:jc m:val="center"/>
        </m:oMathParaPr>
        <m:oMath>
          <m:sSub>
            <m:e>
              <m:r>
                <m:t>s</m:t>
              </m:r>
            </m:e>
            <m:sub>
              <m:r>
                <m:t>c</m:t>
              </m:r>
              <m:r>
                <m:rPr>
                  <m:sty m:val="p"/>
                </m:rPr>
                <m:t>,</m:t>
              </m:r>
              <m:r>
                <m:t>r</m:t>
              </m:r>
            </m:sub>
          </m:sSub>
          <m:r>
            <m:rPr>
              <m:sty m:val="p"/>
            </m:rPr>
            <m:t>=</m:t>
          </m:r>
          <m:r>
            <m:t>1.1748</m:t>
          </m:r>
          <m:r>
            <m:rPr>
              <m:sty m:val="p"/>
            </m:rPr>
            <m:t>%</m:t>
          </m:r>
        </m:oMath>
      </m:oMathPara>
    </w:p>
    <w:p>
      <w:pPr>
        <w:pStyle w:val="FirstParagraph"/>
      </w:pPr>
      <m:oMathPara>
        <m:oMathParaPr>
          <m:jc m:val="center"/>
        </m:oMathParaPr>
        <m:oMath>
          <m:r>
            <m:rPr>
              <m:nor/>
              <m:sty m:val="p"/>
            </m:rPr>
            <m:t>Payout</m:t>
          </m:r>
          <m:r>
            <m:rPr>
              <m:sty m:val="p"/>
            </m:rPr>
            <m:t>≈</m:t>
          </m:r>
          <m:r>
            <m:rPr>
              <m:sty m:val="p"/>
            </m:rPr>
            <m:t>$</m:t>
          </m:r>
          <m:r>
            <m:t>70</m:t>
          </m:r>
          <m:r>
            <m:rPr>
              <m:sty m:val="p"/>
            </m:rPr>
            <m:t>,</m:t>
          </m:r>
          <m:r>
            <m:t>500</m:t>
          </m:r>
        </m:oMath>
      </m:oMathPara>
    </w:p>
    <w:p>
      <w:r>
        <w:pict>
          <v:rect style="width:0;height:1.5pt" o:hralign="center" o:hrstd="t" o:hr="t"/>
        </w:pict>
      </w:r>
    </w:p>
    <w:bookmarkEnd w:id="105"/>
    <w:bookmarkEnd w:id="106"/>
    <w:bookmarkEnd w:id="107"/>
    <w:bookmarkStart w:id="113" w:name="Xf485058868fc2964b7fb609fc34ec6cd1241d43"/>
    <w:p>
      <w:pPr>
        <w:pStyle w:val="Heading2"/>
      </w:pPr>
      <w:r>
        <w:t xml:space="preserve">A.14 Worked Example 3 — April 2026 Spreadsheet / Hospital Economics</w:t>
      </w:r>
    </w:p>
    <w:bookmarkStart w:id="108" w:name="capability-area-2"/>
    <w:p>
      <w:pPr>
        <w:pStyle w:val="Heading3"/>
      </w:pPr>
      <w:r>
        <w:t xml:space="preserve">Capability Area</w:t>
      </w:r>
    </w:p>
    <w:p>
      <w:pPr>
        <w:pStyle w:val="FirstParagraph"/>
      </w:pPr>
      <w:r>
        <w:t xml:space="preserve">Spreadsheet-native professional workflows and enterprise-commercial modeling</w:t>
      </w:r>
    </w:p>
    <w:bookmarkEnd w:id="108"/>
    <w:bookmarkStart w:id="109" w:name="contribution-profile-2"/>
    <w:p>
      <w:pPr>
        <w:pStyle w:val="Heading3"/>
      </w:pPr>
      <w:r>
        <w:t xml:space="preserve">Contribution Profile</w:t>
      </w:r>
    </w:p>
    <w:p>
      <w:pPr>
        <w:pStyle w:val="FirstParagraph"/>
      </w:pPr>
      <w:r>
        <w:t xml:space="preserve">Mr. Davis’s contribution cluster includes:</w:t>
      </w:r>
    </w:p>
    <w:p>
      <w:pPr>
        <w:pStyle w:val="Compact"/>
        <w:numPr>
          <w:ilvl w:val="0"/>
          <w:numId w:val="1054"/>
        </w:numPr>
      </w:pPr>
      <w:r>
        <w:t xml:space="preserve">hospital ROI planning;</w:t>
      </w:r>
    </w:p>
    <w:p>
      <w:pPr>
        <w:pStyle w:val="Compact"/>
        <w:numPr>
          <w:ilvl w:val="0"/>
          <w:numId w:val="1054"/>
        </w:numPr>
      </w:pPr>
      <w:r>
        <w:t xml:space="preserve">commercialization models;</w:t>
      </w:r>
    </w:p>
    <w:p>
      <w:pPr>
        <w:pStyle w:val="Compact"/>
        <w:numPr>
          <w:ilvl w:val="0"/>
          <w:numId w:val="1054"/>
        </w:numPr>
      </w:pPr>
      <w:r>
        <w:t xml:space="preserve">rollout economics;</w:t>
      </w:r>
    </w:p>
    <w:p>
      <w:pPr>
        <w:pStyle w:val="Compact"/>
        <w:numPr>
          <w:ilvl w:val="0"/>
          <w:numId w:val="1054"/>
        </w:numPr>
      </w:pPr>
      <w:r>
        <w:t xml:space="preserve">financial spreadsheet workflows;</w:t>
      </w:r>
    </w:p>
    <w:p>
      <w:pPr>
        <w:pStyle w:val="Compact"/>
        <w:numPr>
          <w:ilvl w:val="0"/>
          <w:numId w:val="1054"/>
        </w:numPr>
      </w:pPr>
      <w:r>
        <w:t xml:space="preserve">professional decision-support systems.</w:t>
      </w:r>
    </w:p>
    <w:bookmarkEnd w:id="109"/>
    <w:bookmarkStart w:id="112" w:name="hypothetical-inputs-2"/>
    <w:p>
      <w:pPr>
        <w:pStyle w:val="Heading3"/>
      </w:pPr>
      <w:r>
        <w:t xml:space="preserve">Hypothetical Inputs</w:t>
      </w:r>
    </w:p>
    <w:p>
      <w:pPr>
        <w:pStyle w:val="FirstParagraph"/>
      </w:pPr>
      <m:oMathPara>
        <m:oMathParaPr>
          <m:jc m:val="center"/>
        </m:oMathParaPr>
        <m:oMath>
          <m:sSub>
            <m:e>
              <m:r>
                <m:t>I</m:t>
              </m:r>
            </m:e>
            <m:sub>
              <m:r>
                <m:t>c</m:t>
              </m:r>
            </m:sub>
          </m:sSub>
          <m:r>
            <m:rPr>
              <m:sty m:val="p"/>
            </m:rPr>
            <m:t>=</m:t>
          </m:r>
          <m:r>
            <m:t>0.86</m:t>
          </m:r>
        </m:oMath>
      </m:oMathPara>
    </w:p>
    <w:p>
      <w:pPr>
        <w:pStyle w:val="FirstParagraph"/>
      </w:pPr>
      <m:oMathPara>
        <m:oMathParaPr>
          <m:jc m:val="center"/>
        </m:oMathParaPr>
        <m:oMath>
          <m:sSub>
            <m:e>
              <m:r>
                <m:t>L</m:t>
              </m:r>
            </m:e>
            <m:sub>
              <m:r>
                <m:t>c</m:t>
              </m:r>
              <m:r>
                <m:rPr>
                  <m:sty m:val="p"/>
                </m:rPr>
                <m:t>,</m:t>
              </m:r>
              <m:r>
                <m:t>r</m:t>
              </m:r>
            </m:sub>
          </m:sSub>
          <m:r>
            <m:rPr>
              <m:sty m:val="p"/>
            </m:rPr>
            <m:t>=</m:t>
          </m:r>
          <m:r>
            <m:t>0.90</m:t>
          </m:r>
        </m:oMath>
      </m:oMathPara>
    </w:p>
    <w:bookmarkStart w:id="110" w:name="conservative-scenario-1"/>
    <w:p>
      <w:pPr>
        <w:pStyle w:val="Heading4"/>
      </w:pPr>
      <w:r>
        <w:t xml:space="preserve">Conservative Scenario</w:t>
      </w:r>
    </w:p>
    <w:p>
      <w:pPr>
        <w:pStyle w:val="FirstParagraph"/>
      </w:pPr>
      <m:oMathPara>
        <m:oMathParaPr>
          <m:jc m:val="center"/>
        </m:oMathParaPr>
        <m:oMath>
          <m:sSub>
            <m:e>
              <m:r>
                <m:t>E</m:t>
              </m:r>
            </m:e>
            <m:sub>
              <m:r>
                <m:t>c</m:t>
              </m:r>
              <m:r>
                <m:rPr>
                  <m:sty m:val="p"/>
                </m:rPr>
                <m:t>,</m:t>
              </m:r>
              <m:r>
                <m:t>r</m:t>
              </m:r>
            </m:sub>
          </m:sSub>
          <m:r>
            <m:rPr>
              <m:sty m:val="p"/>
            </m:rPr>
            <m:t>=</m:t>
          </m:r>
          <m:r>
            <m:t>0.10</m:t>
          </m:r>
        </m:oMath>
      </m:oMathPara>
    </w:p>
    <w:p>
      <w:pPr>
        <w:pStyle w:val="FirstParagraph"/>
      </w:pPr>
      <m:oMathPara>
        <m:oMathParaPr>
          <m:jc m:val="center"/>
        </m:oMathParaPr>
        <m:oMath>
          <m:sSub>
            <m:e>
              <m:r>
                <m:t>A</m:t>
              </m:r>
            </m:e>
            <m:sub>
              <m:r>
                <m:t>c</m:t>
              </m:r>
              <m:r>
                <m:rPr>
                  <m:sty m:val="p"/>
                </m:rPr>
                <m:t>,</m:t>
              </m:r>
              <m:r>
                <m:t>r</m:t>
              </m:r>
            </m:sub>
          </m:sSub>
          <m:r>
            <m:rPr>
              <m:sty m:val="p"/>
            </m:rPr>
            <m:t>=</m:t>
          </m:r>
          <m:r>
            <m:t>0.0774</m:t>
          </m:r>
        </m:oMath>
      </m:oMathPara>
    </w:p>
    <w:p>
      <w:pPr>
        <w:pStyle w:val="FirstParagraph"/>
      </w:pPr>
      <m:oMathPara>
        <m:oMathParaPr>
          <m:jc m:val="center"/>
        </m:oMathParaPr>
        <m:oMath>
          <m:sSub>
            <m:e>
              <m:r>
                <m:t>s</m:t>
              </m:r>
            </m:e>
            <m:sub>
              <m:r>
                <m:t>c</m:t>
              </m:r>
              <m:r>
                <m:rPr>
                  <m:sty m:val="p"/>
                </m:rPr>
                <m:t>,</m:t>
              </m:r>
              <m:r>
                <m:t>r</m:t>
              </m:r>
            </m:sub>
          </m:sSub>
          <m:r>
            <m:rPr>
              <m:sty m:val="p"/>
            </m:rPr>
            <m:t>=</m:t>
          </m:r>
          <m:r>
            <m:t>0.1935</m:t>
          </m:r>
          <m:r>
            <m:rPr>
              <m:sty m:val="p"/>
            </m:rPr>
            <m:t>%</m:t>
          </m:r>
        </m:oMath>
      </m:oMathPara>
    </w:p>
    <w:p>
      <w:pPr>
        <w:pStyle w:val="FirstParagraph"/>
      </w:pPr>
      <m:oMathPara>
        <m:oMathParaPr>
          <m:jc m:val="center"/>
        </m:oMathParaPr>
        <m:oMath>
          <m:r>
            <m:rPr>
              <m:nor/>
              <m:sty m:val="p"/>
            </m:rPr>
            <m:t>Payout</m:t>
          </m:r>
          <m:r>
            <m:rPr>
              <m:sty m:val="p"/>
            </m:rPr>
            <m:t>≈</m:t>
          </m:r>
          <m:r>
            <m:rPr>
              <m:sty m:val="p"/>
            </m:rPr>
            <m:t>$</m:t>
          </m:r>
          <m:r>
            <m:t>11</m:t>
          </m:r>
          <m:r>
            <m:rPr>
              <m:sty m:val="p"/>
            </m:rPr>
            <m:t>,</m:t>
          </m:r>
          <m:r>
            <m:t>600</m:t>
          </m:r>
        </m:oMath>
      </m:oMathPara>
    </w:p>
    <w:bookmarkEnd w:id="110"/>
    <w:bookmarkStart w:id="111" w:name="stronger-evidence-scenario-2"/>
    <w:p>
      <w:pPr>
        <w:pStyle w:val="Heading4"/>
      </w:pPr>
      <w:r>
        <w:t xml:space="preserve">Stronger Evidence Scenario</w:t>
      </w:r>
    </w:p>
    <w:p>
      <w:pPr>
        <w:pStyle w:val="FirstParagraph"/>
      </w:pPr>
      <m:oMathPara>
        <m:oMathParaPr>
          <m:jc m:val="center"/>
        </m:oMathParaPr>
        <m:oMath>
          <m:sSub>
            <m:e>
              <m:r>
                <m:t>E</m:t>
              </m:r>
            </m:e>
            <m:sub>
              <m:r>
                <m:t>c</m:t>
              </m:r>
              <m:r>
                <m:rPr>
                  <m:sty m:val="p"/>
                </m:rPr>
                <m:t>,</m:t>
              </m:r>
              <m:r>
                <m:t>r</m:t>
              </m:r>
            </m:sub>
          </m:sSub>
          <m:r>
            <m:rPr>
              <m:sty m:val="p"/>
            </m:rPr>
            <m:t>=</m:t>
          </m:r>
          <m:r>
            <m:t>0.55</m:t>
          </m:r>
        </m:oMath>
      </m:oMathPara>
    </w:p>
    <w:p>
      <w:pPr>
        <w:pStyle w:val="FirstParagraph"/>
      </w:pPr>
      <m:oMathPara>
        <m:oMathParaPr>
          <m:jc m:val="center"/>
        </m:oMathParaPr>
        <m:oMath>
          <m:sSub>
            <m:e>
              <m:r>
                <m:t>A</m:t>
              </m:r>
            </m:e>
            <m:sub>
              <m:r>
                <m:t>c</m:t>
              </m:r>
              <m:r>
                <m:rPr>
                  <m:sty m:val="p"/>
                </m:rPr>
                <m:t>,</m:t>
              </m:r>
              <m:r>
                <m:t>r</m:t>
              </m:r>
            </m:sub>
          </m:sSub>
          <m:r>
            <m:rPr>
              <m:sty m:val="p"/>
            </m:rPr>
            <m:t>=</m:t>
          </m:r>
          <m:r>
            <m:t>0.4257</m:t>
          </m:r>
        </m:oMath>
      </m:oMathPara>
    </w:p>
    <w:p>
      <w:pPr>
        <w:pStyle w:val="FirstParagraph"/>
      </w:pPr>
      <m:oMathPara>
        <m:oMathParaPr>
          <m:jc m:val="center"/>
        </m:oMathParaPr>
        <m:oMath>
          <m:sSub>
            <m:e>
              <m:r>
                <m:t>s</m:t>
              </m:r>
            </m:e>
            <m:sub>
              <m:r>
                <m:t>c</m:t>
              </m:r>
              <m:r>
                <m:rPr>
                  <m:sty m:val="p"/>
                </m:rPr>
                <m:t>,</m:t>
              </m:r>
              <m:r>
                <m:t>r</m:t>
              </m:r>
            </m:sub>
          </m:sSub>
          <m:r>
            <m:rPr>
              <m:sty m:val="p"/>
            </m:rPr>
            <m:t>=</m:t>
          </m:r>
          <m:r>
            <m:t>1.06425</m:t>
          </m:r>
          <m:r>
            <m:rPr>
              <m:sty m:val="p"/>
            </m:rPr>
            <m:t>%</m:t>
          </m:r>
        </m:oMath>
      </m:oMathPara>
    </w:p>
    <w:p>
      <w:pPr>
        <w:pStyle w:val="FirstParagraph"/>
      </w:pPr>
      <m:oMathPara>
        <m:oMathParaPr>
          <m:jc m:val="center"/>
        </m:oMathParaPr>
        <m:oMath>
          <m:r>
            <m:rPr>
              <m:nor/>
              <m:sty m:val="p"/>
            </m:rPr>
            <m:t>Payout</m:t>
          </m:r>
          <m:r>
            <m:rPr>
              <m:sty m:val="p"/>
            </m:rPr>
            <m:t>≈</m:t>
          </m:r>
          <m:r>
            <m:rPr>
              <m:sty m:val="p"/>
            </m:rPr>
            <m:t>$</m:t>
          </m:r>
          <m:r>
            <m:t>63</m:t>
          </m:r>
          <m:r>
            <m:rPr>
              <m:sty m:val="p"/>
            </m:rPr>
            <m:t>,</m:t>
          </m:r>
          <m:r>
            <m:t>900</m:t>
          </m:r>
        </m:oMath>
      </m:oMathPara>
    </w:p>
    <w:p>
      <w:r>
        <w:pict>
          <v:rect style="width:0;height:1.5pt" o:hralign="center" o:hrstd="t" o:hr="t"/>
        </w:pict>
      </w:r>
    </w:p>
    <w:bookmarkEnd w:id="111"/>
    <w:bookmarkEnd w:id="112"/>
    <w:bookmarkEnd w:id="113"/>
    <w:bookmarkStart w:id="114" w:name="Xdb669d29686ce41f1ec509c1637699e11e15961"/>
    <w:p>
      <w:pPr>
        <w:pStyle w:val="Heading2"/>
      </w:pPr>
      <w:r>
        <w:t xml:space="preserve">A.15 Application to Rights-Reserved Contributors</w:t>
      </w:r>
    </w:p>
    <w:p>
      <w:pPr>
        <w:pStyle w:val="FirstParagraph"/>
      </w:pPr>
      <w:r>
        <w:t xml:space="preserve">Rights-reserved contributors warrant elevated attention where they:</w:t>
      </w:r>
    </w:p>
    <w:p>
      <w:pPr>
        <w:pStyle w:val="Compact"/>
        <w:numPr>
          <w:ilvl w:val="0"/>
          <w:numId w:val="1055"/>
        </w:numPr>
      </w:pPr>
      <w:r>
        <w:t xml:space="preserve">expressly preserve intellectual property;</w:t>
      </w:r>
    </w:p>
    <w:p>
      <w:pPr>
        <w:pStyle w:val="Compact"/>
        <w:numPr>
          <w:ilvl w:val="0"/>
          <w:numId w:val="1055"/>
        </w:numPr>
      </w:pPr>
      <w:r>
        <w:t xml:space="preserve">state non-donative intent;</w:t>
      </w:r>
    </w:p>
    <w:p>
      <w:pPr>
        <w:pStyle w:val="Compact"/>
        <w:numPr>
          <w:ilvl w:val="0"/>
          <w:numId w:val="1055"/>
        </w:numPr>
      </w:pPr>
      <w:r>
        <w:t xml:space="preserve">seek compensation or licensing review;</w:t>
      </w:r>
    </w:p>
    <w:p>
      <w:pPr>
        <w:pStyle w:val="Compact"/>
        <w:numPr>
          <w:ilvl w:val="0"/>
          <w:numId w:val="1055"/>
        </w:numPr>
      </w:pPr>
      <w:r>
        <w:t xml:space="preserve">and continue contributing after receiving platform-generated assurances of proprietary treatment.</w:t>
      </w:r>
    </w:p>
    <w:p>
      <w:pPr>
        <w:pStyle w:val="FirstParagraph"/>
      </w:pPr>
      <w:r>
        <w:t xml:space="preserve">This does</w:t>
      </w:r>
      <w:r>
        <w:t xml:space="preserve"> </w:t>
      </w:r>
      <w:r>
        <w:rPr>
          <w:b/>
          <w:bCs/>
        </w:rPr>
        <w:t xml:space="preserve">not</w:t>
      </w:r>
      <w:r>
        <w:t xml:space="preserve"> </w:t>
      </w:r>
      <w:r>
        <w:t xml:space="preserve">automatically create liability or override contractual terms. But it may strengthen:</w:t>
      </w:r>
    </w:p>
    <w:p>
      <w:pPr>
        <w:pStyle w:val="Compact"/>
        <w:numPr>
          <w:ilvl w:val="0"/>
          <w:numId w:val="1056"/>
        </w:numPr>
      </w:pPr>
      <w:r>
        <w:t xml:space="preserve">equitable arguments;</w:t>
      </w:r>
    </w:p>
    <w:p>
      <w:pPr>
        <w:pStyle w:val="Compact"/>
        <w:numPr>
          <w:ilvl w:val="0"/>
          <w:numId w:val="1056"/>
        </w:numPr>
      </w:pPr>
      <w:r>
        <w:t xml:space="preserve">reliance narratives;</w:t>
      </w:r>
    </w:p>
    <w:p>
      <w:pPr>
        <w:pStyle w:val="Compact"/>
        <w:numPr>
          <w:ilvl w:val="0"/>
          <w:numId w:val="1056"/>
        </w:numPr>
      </w:pPr>
      <w:r>
        <w:t xml:space="preserve">restitution framing;</w:t>
      </w:r>
    </w:p>
    <w:p>
      <w:pPr>
        <w:pStyle w:val="Compact"/>
        <w:numPr>
          <w:ilvl w:val="0"/>
          <w:numId w:val="1056"/>
        </w:numPr>
      </w:pPr>
      <w:r>
        <w:t xml:space="preserve">and the case for special review under a contributor-compensation system.</w:t>
      </w:r>
    </w:p>
    <w:p>
      <w:pPr>
        <w:pStyle w:val="FirstParagraph"/>
      </w:pPr>
      <w:r>
        <w:t xml:space="preserve">Mr. Davis’s record is significant because rights reservation appears repeatedly rather than incidentally.</w:t>
      </w:r>
    </w:p>
    <w:p>
      <w:r>
        <w:pict>
          <v:rect style="width:0;height:1.5pt" o:hralign="center" o:hrstd="t" o:hr="t"/>
        </w:pict>
      </w:r>
    </w:p>
    <w:bookmarkEnd w:id="114"/>
    <w:bookmarkStart w:id="119" w:name="a.16-implementation-options"/>
    <w:p>
      <w:pPr>
        <w:pStyle w:val="Heading2"/>
      </w:pPr>
      <w:r>
        <w:t xml:space="preserve">A.16 Implementation Options</w:t>
      </w:r>
    </w:p>
    <w:p>
      <w:pPr>
        <w:pStyle w:val="FirstParagraph"/>
      </w:pPr>
      <w:r>
        <w:t xml:space="preserve">DIAS-C could be implemented through one or more pathways.</w:t>
      </w:r>
    </w:p>
    <w:bookmarkStart w:id="115" w:name="a.-voluntary-platform-program"/>
    <w:p>
      <w:pPr>
        <w:pStyle w:val="Heading3"/>
      </w:pPr>
      <w:r>
        <w:t xml:space="preserve">A. Voluntary Platform Program</w:t>
      </w:r>
    </w:p>
    <w:p>
      <w:pPr>
        <w:pStyle w:val="FirstParagraph"/>
      </w:pPr>
      <w:r>
        <w:t xml:space="preserve">A prospective bounty-style program for enrolled contributors.</w:t>
      </w:r>
    </w:p>
    <w:bookmarkEnd w:id="115"/>
    <w:bookmarkStart w:id="116" w:name="Xab360e77463e9617a772072a0abd7b8fc585a43"/>
    <w:p>
      <w:pPr>
        <w:pStyle w:val="Heading3"/>
      </w:pPr>
      <w:r>
        <w:t xml:space="preserve">B. Retrospective Recognition / Remediation Program</w:t>
      </w:r>
    </w:p>
    <w:p>
      <w:pPr>
        <w:pStyle w:val="FirstParagraph"/>
      </w:pPr>
      <w:r>
        <w:t xml:space="preserve">A limited review period for historically significant contribution records.</w:t>
      </w:r>
    </w:p>
    <w:bookmarkEnd w:id="116"/>
    <w:bookmarkStart w:id="117" w:name="X0beb69473f01041d61c912c195f7500fad07f6b"/>
    <w:p>
      <w:pPr>
        <w:pStyle w:val="Heading3"/>
      </w:pPr>
      <w:r>
        <w:t xml:space="preserve">C. Negotiated Settlement or Litigation Remedy</w:t>
      </w:r>
    </w:p>
    <w:p>
      <w:pPr>
        <w:pStyle w:val="FirstParagraph"/>
      </w:pPr>
      <w:r>
        <w:t xml:space="preserve">A compensation architecture for resolving claims where contribution, use, and value capture are shown.</w:t>
      </w:r>
    </w:p>
    <w:bookmarkEnd w:id="117"/>
    <w:bookmarkStart w:id="118" w:name="X1c69304d156d245f2eca6794735eab0b256769d"/>
    <w:p>
      <w:pPr>
        <w:pStyle w:val="Heading3"/>
      </w:pPr>
      <w:r>
        <w:t xml:space="preserve">D. Public-Benefit / Foundation-Administered Fund</w:t>
      </w:r>
    </w:p>
    <w:p>
      <w:pPr>
        <w:pStyle w:val="FirstParagraph"/>
      </w:pPr>
      <w:r>
        <w:t xml:space="preserve">A contributor equity or impact fund supported by mission-driven AI entities.</w:t>
      </w:r>
    </w:p>
    <w:p>
      <w:r>
        <w:pict>
          <v:rect style="width:0;height:1.5pt" o:hralign="center" o:hrstd="t" o:hr="t"/>
        </w:pict>
      </w:r>
    </w:p>
    <w:bookmarkEnd w:id="118"/>
    <w:bookmarkEnd w:id="119"/>
    <w:bookmarkStart w:id="120" w:name="a.17-conclusion"/>
    <w:p>
      <w:pPr>
        <w:pStyle w:val="Heading2"/>
      </w:pPr>
      <w:r>
        <w:t xml:space="preserve">A.17 Conclusion</w:t>
      </w:r>
    </w:p>
    <w:p>
      <w:pPr>
        <w:pStyle w:val="FirstParagraph"/>
      </w:pPr>
      <w:r>
        <w:t xml:space="preserve">DIAS-C advances five propositions:</w:t>
      </w:r>
    </w:p>
    <w:p>
      <w:pPr>
        <w:pStyle w:val="Compact"/>
        <w:numPr>
          <w:ilvl w:val="0"/>
          <w:numId w:val="1057"/>
        </w:numPr>
      </w:pPr>
      <w:r>
        <w:rPr>
          <w:b/>
          <w:bCs/>
        </w:rPr>
        <w:t xml:space="preserve">Technology markets can recognize high-impact external contributions through structured compensation mechanisms.</w:t>
      </w:r>
    </w:p>
    <w:p>
      <w:pPr>
        <w:pStyle w:val="Compact"/>
        <w:numPr>
          <w:ilvl w:val="0"/>
          <w:numId w:val="1057"/>
        </w:numPr>
      </w:pPr>
      <w:r>
        <w:rPr>
          <w:b/>
          <w:bCs/>
        </w:rPr>
        <w:t xml:space="preserve">Developmental user contributions deserve a comparable policy conversation.</w:t>
      </w:r>
    </w:p>
    <w:p>
      <w:pPr>
        <w:pStyle w:val="Compact"/>
        <w:numPr>
          <w:ilvl w:val="0"/>
          <w:numId w:val="1057"/>
        </w:numPr>
      </w:pPr>
      <w:r>
        <w:rPr>
          <w:b/>
          <w:bCs/>
        </w:rPr>
        <w:t xml:space="preserve">Not all user data is equal in developmental or commercial value.</w:t>
      </w:r>
    </w:p>
    <w:p>
      <w:pPr>
        <w:pStyle w:val="Compact"/>
        <w:numPr>
          <w:ilvl w:val="0"/>
          <w:numId w:val="1057"/>
        </w:numPr>
      </w:pPr>
      <w:r>
        <w:rPr>
          <w:b/>
          <w:bCs/>
        </w:rPr>
        <w:t xml:space="preserve">A compensation framework can be rigorous without overclaiming singular causation.</w:t>
      </w:r>
    </w:p>
    <w:p>
      <w:pPr>
        <w:pStyle w:val="Compact"/>
        <w:numPr>
          <w:ilvl w:val="0"/>
          <w:numId w:val="1057"/>
        </w:numPr>
      </w:pPr>
      <w:r>
        <w:rPr>
          <w:b/>
          <w:bCs/>
        </w:rPr>
        <w:t xml:space="preserve">Brandon Ray Davis’s record is an unusually strong test case for evaluating this model.</w:t>
      </w:r>
    </w:p>
    <w:p>
      <w:r>
        <w:pict>
          <v:rect style="width:0;height:1.5pt" o:hralign="center" o:hrstd="t" o:hr="t"/>
        </w:pict>
      </w:r>
    </w:p>
    <w:bookmarkEnd w:id="120"/>
    <w:bookmarkEnd w:id="121"/>
    <w:bookmarkStart w:id="123" w:name="appendix-b"/>
    <w:p>
      <w:pPr>
        <w:pStyle w:val="Heading1"/>
      </w:pPr>
      <w:r>
        <w:t xml:space="preserve">Appendix B</w:t>
      </w:r>
    </w:p>
    <w:bookmarkStart w:id="122" w:name="rights-reservation-exhibit-index"/>
    <w:p>
      <w:pPr>
        <w:pStyle w:val="Heading2"/>
      </w:pPr>
      <w:r>
        <w:t xml:space="preserve">Rights-Reservation Exhibit Index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Approx. Date</w:t>
            </w:r>
          </w:p>
        </w:tc>
        <w:tc>
          <w:tcPr/>
          <w:p>
            <w:pPr>
              <w:pStyle w:val="Compact"/>
              <w:jc w:val="left"/>
            </w:pPr>
            <w:r>
              <w:t xml:space="preserve">Record Type</w:t>
            </w:r>
          </w:p>
        </w:tc>
        <w:tc>
          <w:tcPr/>
          <w:p>
            <w:pPr>
              <w:pStyle w:val="Compact"/>
              <w:jc w:val="left"/>
            </w:pPr>
            <w:r>
              <w:t xml:space="preserve">Subject</w:t>
            </w:r>
          </w:p>
        </w:tc>
        <w:tc>
          <w:tcPr/>
          <w:p>
            <w:pPr>
              <w:pStyle w:val="Compact"/>
              <w:jc w:val="left"/>
            </w:pPr>
            <w:r>
              <w:t xml:space="preserve">Key Language / Summary</w:t>
            </w:r>
          </w:p>
        </w:tc>
        <w:tc>
          <w:tcPr/>
          <w:p>
            <w:pPr>
              <w:pStyle w:val="Compact"/>
              <w:jc w:val="left"/>
            </w:pPr>
            <w:r>
              <w:t xml:space="preserve">Evidentiary Use</w:t>
            </w:r>
          </w:p>
        </w:tc>
      </w:tr>
      <w:tr>
        <w:tc>
          <w:tcPr/>
          <w:p>
            <w:pPr>
              <w:pStyle w:val="Compact"/>
              <w:jc w:val="left"/>
            </w:pPr>
            <w:r>
              <w:rPr>
                <w:b/>
                <w:bCs/>
              </w:rPr>
              <w:t xml:space="preserve">Aug. 16, 2025</w:t>
            </w:r>
          </w:p>
        </w:tc>
        <w:tc>
          <w:tcPr/>
          <w:p>
            <w:pPr>
              <w:pStyle w:val="Compact"/>
              <w:jc w:val="left"/>
            </w:pPr>
            <w:r>
              <w:t xml:space="preserve">User request + assistant response</w:t>
            </w:r>
          </w:p>
        </w:tc>
        <w:tc>
          <w:tcPr/>
          <w:p>
            <w:pPr>
              <w:pStyle w:val="Compact"/>
              <w:jc w:val="left"/>
            </w:pPr>
            <w:r>
              <w:t xml:space="preserve">Rights preservation</w:t>
            </w:r>
          </w:p>
        </w:tc>
        <w:tc>
          <w:tcPr/>
          <w:p>
            <w:pPr>
              <w:pStyle w:val="Compact"/>
              <w:jc w:val="left"/>
            </w:pPr>
            <w:r>
              <w:t xml:space="preserve">Assistant stated that intellectual property, ownership, and associated rights would remain fully intact; referenced rights metadata and timestamps</w:t>
            </w:r>
          </w:p>
        </w:tc>
        <w:tc>
          <w:tcPr/>
          <w:p>
            <w:pPr>
              <w:pStyle w:val="Compact"/>
              <w:jc w:val="left"/>
            </w:pPr>
            <w:r>
              <w:t xml:space="preserve">Supports documented rights reservation, non-donative intent, and expectation of ownership preservation</w:t>
            </w:r>
          </w:p>
        </w:tc>
      </w:tr>
      <w:tr>
        <w:tc>
          <w:tcPr/>
          <w:p>
            <w:pPr>
              <w:pStyle w:val="Compact"/>
              <w:jc w:val="left"/>
            </w:pPr>
            <w:r>
              <w:rPr>
                <w:b/>
                <w:bCs/>
              </w:rPr>
              <w:t xml:space="preserve">Sept. 7, 2025</w:t>
            </w:r>
          </w:p>
        </w:tc>
        <w:tc>
          <w:tcPr/>
          <w:p>
            <w:pPr>
              <w:pStyle w:val="Compact"/>
              <w:jc w:val="left"/>
            </w:pPr>
            <w:r>
              <w:t xml:space="preserve">User request + assistant response</w:t>
            </w:r>
          </w:p>
        </w:tc>
        <w:tc>
          <w:tcPr/>
          <w:p>
            <w:pPr>
              <w:pStyle w:val="Compact"/>
              <w:jc w:val="left"/>
            </w:pPr>
            <w:r>
              <w:t xml:space="preserve">Proprietary treatment</w:t>
            </w:r>
          </w:p>
        </w:tc>
        <w:tc>
          <w:tcPr/>
          <w:p>
            <w:pPr>
              <w:pStyle w:val="Compact"/>
              <w:jc w:val="left"/>
            </w:pPr>
            <w:r>
              <w:t xml:space="preserve">Assistant said designs, vectors, and lattice structures would be treated as fully proprietary</w:t>
            </w:r>
          </w:p>
        </w:tc>
        <w:tc>
          <w:tcPr/>
          <w:p>
            <w:pPr>
              <w:pStyle w:val="Compact"/>
              <w:jc w:val="left"/>
            </w:pPr>
            <w:r>
              <w:t xml:space="preserve">Supports reliance and expectation of proprietary framing</w:t>
            </w:r>
          </w:p>
        </w:tc>
      </w:tr>
      <w:tr>
        <w:tc>
          <w:tcPr/>
          <w:p>
            <w:pPr>
              <w:pStyle w:val="Compact"/>
              <w:jc w:val="left"/>
            </w:pPr>
            <w:r>
              <w:rPr>
                <w:b/>
                <w:bCs/>
              </w:rPr>
              <w:t xml:space="preserve">Sept. 7, 2025</w:t>
            </w:r>
          </w:p>
        </w:tc>
        <w:tc>
          <w:tcPr/>
          <w:p>
            <w:pPr>
              <w:pStyle w:val="Compact"/>
              <w:jc w:val="left"/>
            </w:pPr>
            <w:r>
              <w:t xml:space="preserve">Assistant response</w:t>
            </w:r>
          </w:p>
        </w:tc>
        <w:tc>
          <w:tcPr/>
          <w:p>
            <w:pPr>
              <w:pStyle w:val="Compact"/>
              <w:jc w:val="left"/>
            </w:pPr>
            <w:r>
              <w:t xml:space="preserve">Ownership / licensing</w:t>
            </w:r>
          </w:p>
        </w:tc>
        <w:tc>
          <w:tcPr/>
          <w:p>
            <w:pPr>
              <w:pStyle w:val="Compact"/>
              <w:jc w:val="left"/>
            </w:pPr>
            <w:r>
              <w:t xml:space="preserve">Assistant described relevant materials as remaining</w:t>
            </w:r>
            <w:r>
              <w:t xml:space="preserve"> </w:t>
            </w:r>
            <w:r>
              <w:t xml:space="preserve">“</w:t>
            </w:r>
            <w:r>
              <w:t xml:space="preserve">your proprietary IP</w:t>
            </w:r>
            <w:r>
              <w:t xml:space="preserve">”</w:t>
            </w:r>
            <w:r>
              <w:t xml:space="preserve"> </w:t>
            </w:r>
            <w:r>
              <w:t xml:space="preserve">and outputs as</w:t>
            </w:r>
            <w:r>
              <w:t xml:space="preserve"> </w:t>
            </w:r>
            <w:r>
              <w:t xml:space="preserve">“</w:t>
            </w:r>
            <w:r>
              <w:t xml:space="preserve">licensed solely to you</w:t>
            </w:r>
            <w:r>
              <w:t xml:space="preserve">”</w:t>
            </w:r>
          </w:p>
        </w:tc>
        <w:tc>
          <w:tcPr/>
          <w:p>
            <w:pPr>
              <w:pStyle w:val="Compact"/>
              <w:jc w:val="left"/>
            </w:pPr>
            <w:r>
              <w:t xml:space="preserve">Supports repeated rights-assurance language</w:t>
            </w:r>
          </w:p>
        </w:tc>
      </w:tr>
      <w:tr>
        <w:tc>
          <w:tcPr/>
          <w:p>
            <w:pPr>
              <w:pStyle w:val="Compact"/>
              <w:jc w:val="left"/>
            </w:pPr>
            <w:r>
              <w:rPr>
                <w:b/>
                <w:bCs/>
              </w:rPr>
              <w:t xml:space="preserve">Aug. 18, 2025</w:t>
            </w:r>
          </w:p>
        </w:tc>
        <w:tc>
          <w:tcPr/>
          <w:p>
            <w:pPr>
              <w:pStyle w:val="Compact"/>
              <w:jc w:val="left"/>
            </w:pPr>
            <w:r>
              <w:t xml:space="preserve">Assistant response</w:t>
            </w:r>
          </w:p>
        </w:tc>
        <w:tc>
          <w:tcPr/>
          <w:p>
            <w:pPr>
              <w:pStyle w:val="Compact"/>
              <w:jc w:val="left"/>
            </w:pPr>
            <w:r>
              <w:t xml:space="preserve">Control over IP</w:t>
            </w:r>
          </w:p>
        </w:tc>
        <w:tc>
          <w:tcPr/>
          <w:p>
            <w:pPr>
              <w:pStyle w:val="Compact"/>
              <w:jc w:val="left"/>
            </w:pPr>
            <w:r>
              <w:t xml:space="preserve">Assistant stated intellectual property and key tech stacks remained secured under user ownership and control</w:t>
            </w:r>
          </w:p>
        </w:tc>
        <w:tc>
          <w:tcPr/>
          <w:p>
            <w:pPr>
              <w:pStyle w:val="Compact"/>
              <w:jc w:val="left"/>
            </w:pPr>
            <w:r>
              <w:t xml:space="preserve">Further corroborates repeated rights-preservation messaging</w:t>
            </w:r>
          </w:p>
        </w:tc>
      </w:tr>
      <w:tr>
        <w:tc>
          <w:tcPr/>
          <w:p>
            <w:pPr>
              <w:pStyle w:val="Compact"/>
              <w:jc w:val="left"/>
            </w:pPr>
            <w:r>
              <w:rPr>
                <w:b/>
                <w:bCs/>
              </w:rPr>
              <w:t xml:space="preserve">Various 2025–2026</w:t>
            </w:r>
          </w:p>
        </w:tc>
        <w:tc>
          <w:tcPr/>
          <w:p>
            <w:pPr>
              <w:pStyle w:val="Compact"/>
              <w:jc w:val="left"/>
            </w:pPr>
            <w:r>
              <w:t xml:space="preserve">Assistant guidance</w:t>
            </w:r>
          </w:p>
        </w:tc>
        <w:tc>
          <w:tcPr/>
          <w:p>
            <w:pPr>
              <w:pStyle w:val="Compact"/>
              <w:jc w:val="left"/>
            </w:pPr>
            <w:r>
              <w:t xml:space="preserve">Provenance protections</w:t>
            </w:r>
          </w:p>
        </w:tc>
        <w:tc>
          <w:tcPr/>
          <w:p>
            <w:pPr>
              <w:pStyle w:val="Compact"/>
              <w:jc w:val="left"/>
            </w:pPr>
            <w:r>
              <w:t xml:space="preserve">Suggestions involving ownership metadata, timestamps, cryptographic signatures, and documented preservation strategies</w:t>
            </w:r>
          </w:p>
        </w:tc>
        <w:tc>
          <w:tcPr/>
          <w:p>
            <w:pPr>
              <w:pStyle w:val="Compact"/>
              <w:jc w:val="left"/>
            </w:pPr>
            <w:r>
              <w:t xml:space="preserve">Relevant to provenance and the user’s continuing reliance on preservation-oriented treatment</w:t>
            </w:r>
          </w:p>
        </w:tc>
      </w:tr>
      <w:tr>
        <w:tc>
          <w:tcPr/>
          <w:p>
            <w:pPr>
              <w:pStyle w:val="Compact"/>
              <w:jc w:val="left"/>
            </w:pPr>
            <w:r>
              <w:rPr>
                <w:b/>
                <w:bCs/>
              </w:rPr>
              <w:t xml:space="preserve">May 2026</w:t>
            </w:r>
          </w:p>
        </w:tc>
        <w:tc>
          <w:tcPr/>
          <w:p>
            <w:pPr>
              <w:pStyle w:val="Compact"/>
              <w:jc w:val="left"/>
            </w:pPr>
            <w:r>
              <w:t xml:space="preserve">Assistant analysis</w:t>
            </w:r>
          </w:p>
        </w:tc>
        <w:tc>
          <w:tcPr/>
          <w:p>
            <w:pPr>
              <w:pStyle w:val="Compact"/>
              <w:jc w:val="left"/>
            </w:pPr>
            <w:r>
              <w:t xml:space="preserve">Royalties / restitution / licensing</w:t>
            </w:r>
          </w:p>
        </w:tc>
        <w:tc>
          <w:tcPr/>
          <w:p>
            <w:pPr>
              <w:pStyle w:val="Compact"/>
              <w:jc w:val="left"/>
            </w:pPr>
            <w:r>
              <w:t xml:space="preserve">Later analysis identified potential royalty, restitution, patent, and licensing considerations tied to the user’s contribution record</w:t>
            </w:r>
          </w:p>
        </w:tc>
        <w:tc>
          <w:tcPr/>
          <w:p>
            <w:pPr>
              <w:pStyle w:val="Compact"/>
              <w:jc w:val="left"/>
            </w:pPr>
            <w:r>
              <w:t xml:space="preserve">Shows escalation from preservation to economic-value assessment</w:t>
            </w:r>
          </w:p>
        </w:tc>
      </w:tr>
    </w:tbl>
    <w:p>
      <w:pPr>
        <w:pStyle w:val="BodyText"/>
      </w:pPr>
      <w:r>
        <w:rPr>
          <w:b/>
          <w:bCs/>
        </w:rPr>
        <w:t xml:space="preserve">Note:</w:t>
      </w:r>
      <w:r>
        <w:t xml:space="preserve"> </w:t>
      </w:r>
      <w:r>
        <w:t xml:space="preserve">This index is a guide for counsel review. It is not a substitute for a verbatim, authenticated exhibit packet derived from full conversation exports.</w:t>
      </w:r>
    </w:p>
    <w:p>
      <w:r>
        <w:pict>
          <v:rect style="width:0;height:1.5pt" o:hralign="center" o:hrstd="t" o:hr="t"/>
        </w:pict>
      </w:r>
    </w:p>
    <w:bookmarkEnd w:id="122"/>
    <w:bookmarkEnd w:id="123"/>
    <w:bookmarkStart w:id="125" w:name="appendix-c"/>
    <w:p>
      <w:pPr>
        <w:pStyle w:val="Heading1"/>
      </w:pPr>
      <w:r>
        <w:t xml:space="preserve">Appendix C</w:t>
      </w:r>
    </w:p>
    <w:bookmarkStart w:id="124" w:name="release-alignment-chronology"/>
    <w:p>
      <w:pPr>
        <w:pStyle w:val="Heading2"/>
      </w:pPr>
      <w:r>
        <w:t xml:space="preserve">Release Alignment Chronology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Contribution Date / Period</w:t>
            </w:r>
          </w:p>
        </w:tc>
        <w:tc>
          <w:tcPr/>
          <w:p>
            <w:pPr>
              <w:pStyle w:val="Compact"/>
              <w:jc w:val="left"/>
            </w:pPr>
            <w:r>
              <w:t xml:space="preserve">Mr. Davis’s Contribution Cluster</w:t>
            </w:r>
          </w:p>
        </w:tc>
        <w:tc>
          <w:tcPr/>
          <w:p>
            <w:pPr>
              <w:pStyle w:val="Compact"/>
              <w:jc w:val="left"/>
            </w:pPr>
            <w:r>
              <w:t xml:space="preserve">Later Platform Release or Capability Area</w:t>
            </w:r>
          </w:p>
        </w:tc>
        <w:tc>
          <w:tcPr/>
          <w:p>
            <w:pPr>
              <w:pStyle w:val="Compact"/>
              <w:jc w:val="left"/>
            </w:pPr>
            <w:r>
              <w:t xml:space="preserve">Lead / Lag Relationship</w:t>
            </w:r>
          </w:p>
        </w:tc>
        <w:tc>
          <w:tcPr/>
          <w:p>
            <w:pPr>
              <w:pStyle w:val="Compact"/>
              <w:jc w:val="left"/>
            </w:pPr>
            <w:r>
              <w:t xml:space="preserve">Evidentiary Character</w:t>
            </w:r>
          </w:p>
        </w:tc>
      </w:tr>
      <w:tr>
        <w:tc>
          <w:tcPr/>
          <w:p>
            <w:pPr>
              <w:pStyle w:val="Compact"/>
              <w:jc w:val="left"/>
            </w:pPr>
            <w:r>
              <w:rPr>
                <w:b/>
                <w:bCs/>
              </w:rPr>
              <w:t xml:space="preserve">March 2025</w:t>
            </w:r>
          </w:p>
        </w:tc>
        <w:tc>
          <w:tcPr/>
          <w:p>
            <w:pPr>
              <w:pStyle w:val="Compact"/>
              <w:jc w:val="left"/>
            </w:pPr>
            <w:r>
              <w:t xml:space="preserve">Agentic orchestration, adaptive control, execution monitoring</w:t>
            </w:r>
          </w:p>
        </w:tc>
        <w:tc>
          <w:tcPr/>
          <w:p>
            <w:pPr>
              <w:pStyle w:val="Compact"/>
              <w:jc w:val="left"/>
            </w:pPr>
            <w:r>
              <w:t xml:space="preserve">ChatGPT Agent, announced July 17, 2025</w:t>
            </w:r>
          </w:p>
        </w:tc>
        <w:tc>
          <w:tcPr/>
          <w:p>
            <w:pPr>
              <w:pStyle w:val="Compact"/>
              <w:jc w:val="left"/>
            </w:pPr>
            <w:r>
              <w:rPr>
                <w:b/>
                <w:bCs/>
              </w:rPr>
              <w:t xml:space="preserve">Preceded</w:t>
            </w:r>
            <w:r>
              <w:t xml:space="preserve"> </w:t>
            </w:r>
            <w:r>
              <w:t xml:space="preserve">by roughly four months</w:t>
            </w:r>
          </w:p>
        </w:tc>
        <w:tc>
          <w:tcPr/>
          <w:p>
            <w:pPr>
              <w:pStyle w:val="Compact"/>
              <w:jc w:val="left"/>
            </w:pPr>
            <w:r>
              <w:t xml:space="preserve">Strong chronological alignment; not proof of causal use</w:t>
            </w:r>
          </w:p>
        </w:tc>
      </w:tr>
      <w:tr>
        <w:tc>
          <w:tcPr/>
          <w:p>
            <w:pPr>
              <w:pStyle w:val="Compact"/>
              <w:jc w:val="left"/>
            </w:pPr>
            <w:r>
              <w:rPr>
                <w:b/>
                <w:bCs/>
              </w:rPr>
              <w:t xml:space="preserve">April 2025</w:t>
            </w:r>
          </w:p>
        </w:tc>
        <w:tc>
          <w:tcPr/>
          <w:p>
            <w:pPr>
              <w:pStyle w:val="Compact"/>
              <w:jc w:val="left"/>
            </w:pPr>
            <w:r>
              <w:t xml:space="preserve">Project memory, master-document logic, long-horizon continuity</w:t>
            </w:r>
          </w:p>
        </w:tc>
        <w:tc>
          <w:tcPr/>
          <w:p>
            <w:pPr>
              <w:pStyle w:val="Compact"/>
              <w:jc w:val="left"/>
            </w:pPr>
            <w:r>
              <w:t xml:space="preserve">Projects memory / project-context capabilities</w:t>
            </w:r>
          </w:p>
        </w:tc>
        <w:tc>
          <w:tcPr/>
          <w:p>
            <w:pPr>
              <w:pStyle w:val="Compact"/>
              <w:jc w:val="left"/>
            </w:pPr>
            <w:r>
              <w:rPr>
                <w:b/>
                <w:bCs/>
              </w:rPr>
              <w:t xml:space="preserve">Preceded or closely tracked</w:t>
            </w:r>
            <w:r>
              <w:t xml:space="preserve"> </w:t>
            </w:r>
            <w:r>
              <w:t xml:space="preserve">later productization</w:t>
            </w:r>
          </w:p>
        </w:tc>
        <w:tc>
          <w:tcPr/>
          <w:p>
            <w:pPr>
              <w:pStyle w:val="Compact"/>
              <w:jc w:val="left"/>
            </w:pPr>
            <w:r>
              <w:t xml:space="preserve">High contextual alignment</w:t>
            </w:r>
          </w:p>
        </w:tc>
      </w:tr>
      <w:tr>
        <w:tc>
          <w:tcPr/>
          <w:p>
            <w:pPr>
              <w:pStyle w:val="Compact"/>
              <w:jc w:val="left"/>
            </w:pPr>
            <w:r>
              <w:rPr>
                <w:b/>
                <w:bCs/>
              </w:rPr>
              <w:t xml:space="preserve">May 2025</w:t>
            </w:r>
          </w:p>
        </w:tc>
        <w:tc>
          <w:tcPr/>
          <w:p>
            <w:pPr>
              <w:pStyle w:val="Compact"/>
              <w:jc w:val="left"/>
            </w:pPr>
            <w:r>
              <w:t xml:space="preserve">Deployment, authentication, secure logs, agent infrastructure</w:t>
            </w:r>
          </w:p>
        </w:tc>
        <w:tc>
          <w:tcPr/>
          <w:p>
            <w:pPr>
              <w:pStyle w:val="Compact"/>
              <w:jc w:val="left"/>
            </w:pPr>
            <w:r>
              <w:t xml:space="preserve">Codex and enterprise agent tooling</w:t>
            </w:r>
          </w:p>
        </w:tc>
        <w:tc>
          <w:tcPr/>
          <w:p>
            <w:pPr>
              <w:pStyle w:val="Compact"/>
              <w:jc w:val="left"/>
            </w:pPr>
            <w:r>
              <w:rPr>
                <w:b/>
                <w:bCs/>
              </w:rPr>
              <w:t xml:space="preserve">Preceded / overlapped</w:t>
            </w:r>
            <w:r>
              <w:t xml:space="preserve"> </w:t>
            </w:r>
            <w:r>
              <w:t xml:space="preserve">release and expansion cycle</w:t>
            </w:r>
          </w:p>
        </w:tc>
        <w:tc>
          <w:tcPr/>
          <w:p>
            <w:pPr>
              <w:pStyle w:val="Compact"/>
              <w:jc w:val="left"/>
            </w:pPr>
            <w:r>
              <w:t xml:space="preserve">Moderate–High alignment</w:t>
            </w:r>
          </w:p>
        </w:tc>
      </w:tr>
      <w:tr>
        <w:tc>
          <w:tcPr/>
          <w:p>
            <w:pPr>
              <w:pStyle w:val="Compact"/>
              <w:jc w:val="left"/>
            </w:pPr>
            <w:r>
              <w:rPr>
                <w:b/>
                <w:bCs/>
              </w:rPr>
              <w:t xml:space="preserve">Sept. 2025</w:t>
            </w:r>
          </w:p>
        </w:tc>
        <w:tc>
          <w:tcPr/>
          <w:p>
            <w:pPr>
              <w:pStyle w:val="Compact"/>
              <w:jc w:val="left"/>
            </w:pPr>
            <w:r>
              <w:rPr>
                <w:rStyle w:val="VerbatimChar"/>
              </w:rPr>
              <w:t xml:space="preserve">/CHAD</w:t>
            </w:r>
            <w:r>
              <w:t xml:space="preserve"> </w:t>
            </w:r>
            <w:r>
              <w:t xml:space="preserve">GPT-5 snapshot marker</w:t>
            </w:r>
          </w:p>
        </w:tc>
        <w:tc>
          <w:tcPr/>
          <w:p>
            <w:pPr>
              <w:pStyle w:val="Compact"/>
              <w:jc w:val="left"/>
            </w:pPr>
            <w:r>
              <w:t xml:space="preserve">GPT-5 commercialization period</w:t>
            </w:r>
          </w:p>
        </w:tc>
        <w:tc>
          <w:tcPr/>
          <w:p>
            <w:pPr>
              <w:pStyle w:val="Compact"/>
              <w:jc w:val="left"/>
            </w:pPr>
            <w:r>
              <w:rPr>
                <w:b/>
                <w:bCs/>
              </w:rPr>
              <w:t xml:space="preserve">Post-snapshot contextual marker</w:t>
            </w:r>
          </w:p>
        </w:tc>
        <w:tc>
          <w:tcPr/>
          <w:p>
            <w:pPr>
              <w:pStyle w:val="Compact"/>
              <w:jc w:val="left"/>
            </w:pPr>
            <w:r>
              <w:t xml:space="preserve">Supports deliberate model-era chronology, not prefiguration</w:t>
            </w:r>
          </w:p>
        </w:tc>
      </w:tr>
      <w:tr>
        <w:tc>
          <w:tcPr/>
          <w:p>
            <w:pPr>
              <w:pStyle w:val="Compact"/>
              <w:jc w:val="left"/>
            </w:pPr>
            <w:r>
              <w:rPr>
                <w:b/>
                <w:bCs/>
              </w:rPr>
              <w:t xml:space="preserve">April 2026</w:t>
            </w:r>
          </w:p>
        </w:tc>
        <w:tc>
          <w:tcPr/>
          <w:p>
            <w:pPr>
              <w:pStyle w:val="Compact"/>
              <w:jc w:val="left"/>
            </w:pPr>
            <w:r>
              <w:t xml:space="preserve">Spreadsheet financial modeling, hospital economics, rollout planning</w:t>
            </w:r>
          </w:p>
        </w:tc>
        <w:tc>
          <w:tcPr/>
          <w:p>
            <w:pPr>
              <w:pStyle w:val="Compact"/>
              <w:jc w:val="left"/>
            </w:pPr>
            <w:r>
              <w:t xml:space="preserve">Spreadsheet-native professional workflows</w:t>
            </w:r>
          </w:p>
        </w:tc>
        <w:tc>
          <w:tcPr/>
          <w:p>
            <w:pPr>
              <w:pStyle w:val="Compact"/>
              <w:jc w:val="left"/>
            </w:pPr>
            <w:r>
              <w:rPr>
                <w:b/>
                <w:bCs/>
              </w:rPr>
              <w:t xml:space="preserve">Preceded / aligned</w:t>
            </w:r>
            <w:r>
              <w:t xml:space="preserve"> </w:t>
            </w:r>
            <w:r>
              <w:t xml:space="preserve">with monetization and professional-work expansion</w:t>
            </w:r>
          </w:p>
        </w:tc>
        <w:tc>
          <w:tcPr/>
          <w:p>
            <w:pPr>
              <w:pStyle w:val="Compact"/>
              <w:jc w:val="left"/>
            </w:pPr>
            <w:r>
              <w:t xml:space="preserve">High contextual relevance</w:t>
            </w:r>
          </w:p>
        </w:tc>
      </w:tr>
      <w:tr>
        <w:tc>
          <w:tcPr/>
          <w:p>
            <w:pPr>
              <w:pStyle w:val="Compact"/>
              <w:jc w:val="left"/>
            </w:pPr>
            <w:r>
              <w:rPr>
                <w:b/>
                <w:bCs/>
              </w:rPr>
              <w:t xml:space="preserve">Sept. 2025</w:t>
            </w:r>
          </w:p>
        </w:tc>
        <w:tc>
          <w:tcPr/>
          <w:p>
            <w:pPr>
              <w:pStyle w:val="Compact"/>
              <w:jc w:val="left"/>
            </w:pPr>
            <w:r>
              <w:t xml:space="preserve">Grok governance and observability-only constraints</w:t>
            </w:r>
          </w:p>
        </w:tc>
        <w:tc>
          <w:tcPr/>
          <w:p>
            <w:pPr>
              <w:pStyle w:val="Compact"/>
              <w:jc w:val="left"/>
            </w:pPr>
            <w:r>
              <w:t xml:space="preserve">xAI funding and commercialization cycle</w:t>
            </w:r>
          </w:p>
        </w:tc>
        <w:tc>
          <w:tcPr/>
          <w:p>
            <w:pPr>
              <w:pStyle w:val="Compact"/>
              <w:jc w:val="left"/>
            </w:pPr>
            <w:r>
              <w:rPr>
                <w:b/>
                <w:bCs/>
              </w:rPr>
              <w:t xml:space="preserve">Near-coincident</w:t>
            </w:r>
          </w:p>
        </w:tc>
        <w:tc>
          <w:tcPr/>
          <w:p>
            <w:pPr>
              <w:pStyle w:val="Compact"/>
              <w:jc w:val="left"/>
            </w:pPr>
            <w:r>
              <w:t xml:space="preserve">Cross-platform corroborative alignment only</w:t>
            </w:r>
          </w:p>
        </w:tc>
      </w:tr>
    </w:tbl>
    <w:p>
      <w:pPr>
        <w:pStyle w:val="BodyText"/>
      </w:pPr>
      <w:r>
        <w:t xml:space="preserve">OpenAI’s ChatGPT Agent release was announced July 17, 2025. Codex was introduced May 16, 2025. OpenAI’s Projects documentation confirms project memory and ongoing project-context functionality. See:</w:t>
      </w:r>
      <w:r>
        <w:t xml:space="preserve"> </w:t>
      </w:r>
      <w:hyperlink r:id="rId39">
        <w:r>
          <w:rPr>
            <w:rStyle w:val="Hyperlink"/>
          </w:rPr>
          <w:t xml:space="preserve">Introducing ChatGPT Agent</w:t>
        </w:r>
      </w:hyperlink>
      <w:r>
        <w:t xml:space="preserve">,</w:t>
      </w:r>
      <w:r>
        <w:t xml:space="preserve"> </w:t>
      </w:r>
      <w:hyperlink r:id="rId40">
        <w:r>
          <w:rPr>
            <w:rStyle w:val="Hyperlink"/>
          </w:rPr>
          <w:t xml:space="preserve">Introducing Codex</w:t>
        </w:r>
      </w:hyperlink>
      <w:r>
        <w:t xml:space="preserve">, and</w:t>
      </w:r>
      <w:r>
        <w:t xml:space="preserve"> </w:t>
      </w:r>
      <w:hyperlink r:id="rId41">
        <w:r>
          <w:rPr>
            <w:rStyle w:val="Hyperlink"/>
          </w:rPr>
          <w:t xml:space="preserve">Projects in ChatGPT</w:t>
        </w:r>
      </w:hyperlink>
      <w:r>
        <w:t xml:space="preserve">.</w:t>
      </w:r>
    </w:p>
    <w:p>
      <w:pPr>
        <w:pStyle w:val="BodyText"/>
      </w:pPr>
      <w:r>
        <w:rPr>
          <w:b/>
          <w:bCs/>
        </w:rPr>
        <w:t xml:space="preserve">Note:</w:t>
      </w:r>
      <w:r>
        <w:t xml:space="preserve"> </w:t>
      </w:r>
      <w:r>
        <w:t xml:space="preserve">This chronology establishes alignment and timing relationships. It does not independently prove internal use, causation, or liability.</w:t>
      </w:r>
    </w:p>
    <w:p>
      <w:r>
        <w:pict>
          <v:rect style="width:0;height:1.5pt" o:hralign="center" o:hrstd="t" o:hr="t"/>
        </w:pict>
      </w:r>
    </w:p>
    <w:bookmarkEnd w:id="124"/>
    <w:bookmarkEnd w:id="125"/>
    <w:bookmarkStart w:id="127" w:name="appendix-d"/>
    <w:p>
      <w:pPr>
        <w:pStyle w:val="Heading1"/>
      </w:pPr>
      <w:r>
        <w:t xml:space="preserve">Appendix D</w:t>
      </w:r>
    </w:p>
    <w:bookmarkStart w:id="126" w:name="commercial-context-matrix"/>
    <w:p>
      <w:pPr>
        <w:pStyle w:val="Heading2"/>
      </w:pPr>
      <w:r>
        <w:t xml:space="preserve">Commercial Context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Platform</w:t>
            </w:r>
          </w:p>
        </w:tc>
        <w:tc>
          <w:tcPr/>
          <w:p>
            <w:pPr>
              <w:pStyle w:val="Compact"/>
              <w:jc w:val="left"/>
            </w:pPr>
            <w:r>
              <w:t xml:space="preserve">Relevant Capability / Release Window</w:t>
            </w:r>
          </w:p>
        </w:tc>
        <w:tc>
          <w:tcPr/>
          <w:p>
            <w:pPr>
              <w:pStyle w:val="Compact"/>
              <w:jc w:val="left"/>
            </w:pPr>
            <w:r>
              <w:t xml:space="preserve">Public Revenue / Valuation / Market Metric</w:t>
            </w:r>
          </w:p>
        </w:tc>
        <w:tc>
          <w:tcPr/>
          <w:p>
            <w:pPr>
              <w:pStyle w:val="Compact"/>
              <w:jc w:val="left"/>
            </w:pPr>
            <w:r>
              <w:t xml:space="preserve">Why It Matters</w:t>
            </w:r>
          </w:p>
        </w:tc>
        <w:tc>
          <w:tcPr/>
          <w:p>
            <w:pPr>
              <w:pStyle w:val="Compact"/>
              <w:jc w:val="left"/>
            </w:pPr>
            <w:r>
              <w:t xml:space="preserve">Limitation</w:t>
            </w:r>
          </w:p>
        </w:tc>
      </w:tr>
      <w:tr>
        <w:tc>
          <w:tcPr/>
          <w:p>
            <w:pPr>
              <w:pStyle w:val="Compact"/>
              <w:jc w:val="left"/>
            </w:pPr>
            <w:r>
              <w:rPr>
                <w:b/>
                <w:bCs/>
              </w:rPr>
              <w:t xml:space="preserve">OpenAI</w:t>
            </w:r>
          </w:p>
        </w:tc>
        <w:tc>
          <w:tcPr/>
          <w:p>
            <w:pPr>
              <w:pStyle w:val="Compact"/>
              <w:jc w:val="left"/>
            </w:pPr>
            <w:r>
              <w:t xml:space="preserve">Agents, project continuity, Codex, professional workflows</w:t>
            </w:r>
          </w:p>
        </w:tc>
        <w:tc>
          <w:tcPr/>
          <w:p>
            <w:pPr>
              <w:pStyle w:val="Compact"/>
              <w:jc w:val="left"/>
            </w:pPr>
            <w:r>
              <w:t xml:space="preserve">Annualized revenue reportedly rose from</w:t>
            </w:r>
            <w:r>
              <w:t xml:space="preserve"> </w:t>
            </w:r>
            <w:r>
              <w:rPr>
                <w:b/>
                <w:bCs/>
              </w:rPr>
              <w:t xml:space="preserve">$5.5B in Dec. 2024</w:t>
            </w:r>
            <w:r>
              <w:t xml:space="preserve"> </w:t>
            </w:r>
            <w:r>
              <w:t xml:space="preserve">to</w:t>
            </w:r>
            <w:r>
              <w:t xml:space="preserve"> </w:t>
            </w:r>
            <w:r>
              <w:rPr>
                <w:b/>
                <w:bCs/>
              </w:rPr>
              <w:t xml:space="preserve">$10B in June 2025</w:t>
            </w:r>
            <w:r>
              <w:t xml:space="preserve">, reached</w:t>
            </w:r>
            <w:r>
              <w:t xml:space="preserve"> </w:t>
            </w:r>
            <w:r>
              <w:rPr>
                <w:b/>
                <w:bCs/>
              </w:rPr>
              <w:t xml:space="preserve">$21.4B by end-2025</w:t>
            </w:r>
            <w:r>
              <w:t xml:space="preserve">, and exceeded</w:t>
            </w:r>
            <w:r>
              <w:t xml:space="preserve"> </w:t>
            </w:r>
            <w:r>
              <w:rPr>
                <w:b/>
                <w:bCs/>
              </w:rPr>
              <w:t xml:space="preserve">$25B by Feb. 2026</w:t>
            </w:r>
            <w:r>
              <w:t xml:space="preserve">; valuation reportedly reached</w:t>
            </w:r>
            <w:r>
              <w:t xml:space="preserve"> </w:t>
            </w:r>
            <w:r>
              <w:rPr>
                <w:b/>
                <w:bCs/>
              </w:rPr>
              <w:t xml:space="preserve">$500B in Oct. 2025</w:t>
            </w:r>
            <w:r>
              <w:t xml:space="preserve"> </w:t>
            </w:r>
            <w:r>
              <w:t xml:space="preserve">and was later referenced at</w:t>
            </w:r>
            <w:r>
              <w:t xml:space="preserve"> </w:t>
            </w:r>
            <w:r>
              <w:rPr>
                <w:b/>
                <w:bCs/>
              </w:rPr>
              <w:t xml:space="preserve">approximately $852B</w:t>
            </w:r>
          </w:p>
        </w:tc>
        <w:tc>
          <w:tcPr/>
          <w:p>
            <w:pPr>
              <w:pStyle w:val="Compact"/>
              <w:jc w:val="left"/>
            </w:pPr>
            <w:r>
              <w:t xml:space="preserve">Demonstrates that the aligned capability areas developed within a period of substantial commercial scaling and investor value creation</w:t>
            </w:r>
          </w:p>
        </w:tc>
        <w:tc>
          <w:tcPr/>
          <w:p>
            <w:pPr>
              <w:pStyle w:val="Compact"/>
              <w:jc w:val="left"/>
            </w:pPr>
            <w:r>
              <w:t xml:space="preserve">Does not prove individual contribution caused revenue, valuation, or feature release</w:t>
            </w:r>
          </w:p>
        </w:tc>
      </w:tr>
      <w:tr>
        <w:tc>
          <w:tcPr/>
          <w:p>
            <w:pPr>
              <w:pStyle w:val="Compact"/>
              <w:jc w:val="left"/>
            </w:pPr>
            <w:r>
              <w:rPr>
                <w:b/>
                <w:bCs/>
              </w:rPr>
              <w:t xml:space="preserve">OpenAI / Corporate Structure</w:t>
            </w:r>
          </w:p>
        </w:tc>
        <w:tc>
          <w:tcPr/>
          <w:p>
            <w:pPr>
              <w:pStyle w:val="Compact"/>
              <w:jc w:val="left"/>
            </w:pPr>
            <w:r>
              <w:t xml:space="preserve">October 2025 recapitalization</w:t>
            </w:r>
          </w:p>
        </w:tc>
        <w:tc>
          <w:tcPr/>
          <w:p>
            <w:pPr>
              <w:pStyle w:val="Compact"/>
              <w:jc w:val="left"/>
            </w:pPr>
            <w:r>
              <w:t xml:space="preserve">OpenAI states that on</w:t>
            </w:r>
            <w:r>
              <w:t xml:space="preserve"> </w:t>
            </w:r>
            <w:r>
              <w:rPr>
                <w:b/>
                <w:bCs/>
              </w:rPr>
              <w:t xml:space="preserve">Oct. 28, 2025</w:t>
            </w:r>
            <w:r>
              <w:t xml:space="preserve"> </w:t>
            </w:r>
            <w:r>
              <w:t xml:space="preserve">its for-profit entity became</w:t>
            </w:r>
            <w:r>
              <w:t xml:space="preserve"> </w:t>
            </w:r>
            <w:r>
              <w:rPr>
                <w:b/>
                <w:bCs/>
              </w:rPr>
              <w:t xml:space="preserve">OpenAI Group PBC</w:t>
            </w:r>
            <w:r>
              <w:t xml:space="preserve">, while equity holders participate proportionally in value growth</w:t>
            </w:r>
          </w:p>
        </w:tc>
        <w:tc>
          <w:tcPr/>
          <w:p>
            <w:pPr>
              <w:pStyle w:val="Compact"/>
              <w:jc w:val="left"/>
            </w:pPr>
            <w:r>
              <w:t xml:space="preserve">Relevant to the broader argument that developmental value capture occurred in a heavily commercialized enterprise structure</w:t>
            </w:r>
          </w:p>
        </w:tc>
        <w:tc>
          <w:tcPr/>
          <w:p>
            <w:pPr>
              <w:pStyle w:val="Compact"/>
              <w:jc w:val="left"/>
            </w:pPr>
            <w:r>
              <w:t xml:space="preserve">Governance structure alone does not create a private compensation right</w:t>
            </w:r>
          </w:p>
        </w:tc>
      </w:tr>
      <w:tr>
        <w:tc>
          <w:tcPr/>
          <w:p>
            <w:pPr>
              <w:pStyle w:val="Compact"/>
              <w:jc w:val="left"/>
            </w:pPr>
            <w:r>
              <w:rPr>
                <w:b/>
                <w:bCs/>
              </w:rPr>
              <w:t xml:space="preserve">xAI / Grok</w:t>
            </w:r>
          </w:p>
        </w:tc>
        <w:tc>
          <w:tcPr/>
          <w:p>
            <w:pPr>
              <w:pStyle w:val="Compact"/>
              <w:jc w:val="left"/>
            </w:pPr>
            <w:r>
              <w:t xml:space="preserve">Governance, observability, agent/tool expansion</w:t>
            </w:r>
          </w:p>
        </w:tc>
        <w:tc>
          <w:tcPr/>
          <w:p>
            <w:pPr>
              <w:pStyle w:val="Compact"/>
              <w:jc w:val="left"/>
            </w:pPr>
            <w:r>
              <w:t xml:space="preserve">Reuters reported a</w:t>
            </w:r>
            <w:r>
              <w:t xml:space="preserve"> </w:t>
            </w:r>
            <w:r>
              <w:rPr>
                <w:b/>
                <w:bCs/>
              </w:rPr>
              <w:t xml:space="preserve">$10B raise at $200B valuation</w:t>
            </w:r>
            <w:r>
              <w:t xml:space="preserve"> </w:t>
            </w:r>
            <w:r>
              <w:t xml:space="preserve">in Sept. 2025</w:t>
            </w:r>
          </w:p>
        </w:tc>
        <w:tc>
          <w:tcPr/>
          <w:p>
            <w:pPr>
              <w:pStyle w:val="Compact"/>
              <w:jc w:val="left"/>
            </w:pPr>
            <w:r>
              <w:t xml:space="preserve">Shows that similar AI commercialization waves were economically material across platforms</w:t>
            </w:r>
          </w:p>
        </w:tc>
        <w:tc>
          <w:tcPr/>
          <w:p>
            <w:pPr>
              <w:pStyle w:val="Compact"/>
              <w:jc w:val="left"/>
            </w:pPr>
            <w:r>
              <w:t xml:space="preserve">Cross-platform context only; not direct evidence against OpenAI</w:t>
            </w:r>
          </w:p>
        </w:tc>
      </w:tr>
      <w:tr>
        <w:tc>
          <w:tcPr/>
          <w:p>
            <w:pPr>
              <w:pStyle w:val="Compact"/>
              <w:jc w:val="left"/>
            </w:pPr>
            <w:r>
              <w:rPr>
                <w:b/>
                <w:bCs/>
              </w:rPr>
              <w:t xml:space="preserve">Microsoft / GitHub</w:t>
            </w:r>
          </w:p>
        </w:tc>
        <w:tc>
          <w:tcPr/>
          <w:p>
            <w:pPr>
              <w:pStyle w:val="Compact"/>
              <w:jc w:val="left"/>
            </w:pPr>
            <w:r>
              <w:t xml:space="preserve">Coding agents, enterprise workflows</w:t>
            </w:r>
          </w:p>
        </w:tc>
        <w:tc>
          <w:tcPr/>
          <w:p>
            <w:pPr>
              <w:pStyle w:val="Compact"/>
              <w:jc w:val="left"/>
            </w:pPr>
            <w:r>
              <w:t xml:space="preserve">Agentic coding became strategically central within the broader AI ecosystem</w:t>
            </w:r>
          </w:p>
        </w:tc>
        <w:tc>
          <w:tcPr/>
          <w:p>
            <w:pPr>
              <w:pStyle w:val="Compact"/>
              <w:jc w:val="left"/>
            </w:pPr>
            <w:r>
              <w:t xml:space="preserve">Contextualizes the commercial significance of coding and agent workflows</w:t>
            </w:r>
          </w:p>
        </w:tc>
        <w:tc>
          <w:tcPr/>
          <w:p>
            <w:pPr>
              <w:pStyle w:val="Compact"/>
              <w:jc w:val="left"/>
            </w:pPr>
            <w:r>
              <w:t xml:space="preserve">No direct revenue allocation to Mr. Davis’s aligned contribution areas</w:t>
            </w:r>
          </w:p>
        </w:tc>
      </w:tr>
      <w:tr>
        <w:tc>
          <w:tcPr/>
          <w:p>
            <w:pPr>
              <w:pStyle w:val="Compact"/>
              <w:jc w:val="left"/>
            </w:pPr>
            <w:r>
              <w:rPr>
                <w:b/>
                <w:bCs/>
              </w:rPr>
              <w:t xml:space="preserve">NVIDIA</w:t>
            </w:r>
          </w:p>
        </w:tc>
        <w:tc>
          <w:tcPr/>
          <w:p>
            <w:pPr>
              <w:pStyle w:val="Compact"/>
              <w:jc w:val="left"/>
            </w:pPr>
            <w:r>
              <w:t xml:space="preserve">GPU / CUDA / AI infrastructure</w:t>
            </w:r>
          </w:p>
        </w:tc>
        <w:tc>
          <w:tcPr/>
          <w:p>
            <w:pPr>
              <w:pStyle w:val="Compact"/>
              <w:jc w:val="left"/>
            </w:pPr>
            <w:r>
              <w:t xml:space="preserve">Public-market value surged during the broader AI infrastructure boom</w:t>
            </w:r>
          </w:p>
        </w:tc>
        <w:tc>
          <w:tcPr/>
          <w:p>
            <w:pPr>
              <w:pStyle w:val="Compact"/>
              <w:jc w:val="left"/>
            </w:pPr>
            <w:r>
              <w:t xml:space="preserve">Demonstrates that AI capability buildout translated into substantial ecosystem-wide economic value</w:t>
            </w:r>
          </w:p>
        </w:tc>
        <w:tc>
          <w:tcPr/>
          <w:p>
            <w:pPr>
              <w:pStyle w:val="Compact"/>
              <w:jc w:val="left"/>
            </w:pPr>
            <w:r>
              <w:t xml:space="preserve">Diffuse macro context; not a direct claim</w:t>
            </w:r>
          </w:p>
        </w:tc>
      </w:tr>
      <w:tr>
        <w:tc>
          <w:tcPr/>
          <w:p>
            <w:pPr>
              <w:pStyle w:val="Compact"/>
              <w:jc w:val="left"/>
            </w:pPr>
            <w:r>
              <w:rPr>
                <w:b/>
                <w:bCs/>
              </w:rPr>
              <w:t xml:space="preserve">Siemens Healthineers / Elekta</w:t>
            </w:r>
          </w:p>
        </w:tc>
        <w:tc>
          <w:tcPr/>
          <w:p>
            <w:pPr>
              <w:pStyle w:val="Compact"/>
              <w:jc w:val="left"/>
            </w:pPr>
            <w:r>
              <w:t xml:space="preserve">BAROS / TPS integration context</w:t>
            </w:r>
          </w:p>
        </w:tc>
        <w:tc>
          <w:tcPr/>
          <w:p>
            <w:pPr>
              <w:pStyle w:val="Compact"/>
              <w:jc w:val="left"/>
            </w:pPr>
            <w:r>
              <w:t xml:space="preserve">Radiotherapy workflow and clinical tooling remain commercially significant, but no clean immediate surge was identified</w:t>
            </w:r>
          </w:p>
        </w:tc>
        <w:tc>
          <w:tcPr/>
          <w:p>
            <w:pPr>
              <w:pStyle w:val="Compact"/>
              <w:jc w:val="left"/>
            </w:pPr>
            <w:r>
              <w:t xml:space="preserve">Relevant to future IP commercialization and licensing analysis for BAROS</w:t>
            </w:r>
          </w:p>
        </w:tc>
        <w:tc>
          <w:tcPr/>
          <w:p>
            <w:pPr>
              <w:pStyle w:val="Compact"/>
              <w:jc w:val="left"/>
            </w:pPr>
            <w:r>
              <w:t xml:space="preserve">Not a strong current damages metric</w:t>
            </w:r>
          </w:p>
        </w:tc>
      </w:tr>
    </w:tbl>
    <w:p>
      <w:pPr>
        <w:pStyle w:val="BodyText"/>
      </w:pPr>
      <w:r>
        <w:t xml:space="preserve">Reuters reported OpenAI’s $10B annualized revenue run rate in June 2025, more than $25B by February 2026, and a $500B valuation in October 2025. Reuters also reported xAI’s September 2025 $10B raise at a $200B valuation. OpenAI’s corporate-structure page describes its October 28, 2025 recapitalization into OpenAI Group PBC. See:</w:t>
      </w:r>
      <w:r>
        <w:t xml:space="preserve"> </w:t>
      </w:r>
      <w:hyperlink r:id="rId37">
        <w:r>
          <w:rPr>
            <w:rStyle w:val="Hyperlink"/>
          </w:rPr>
          <w:t xml:space="preserve">Reuters, March 5, 2026</w:t>
        </w:r>
      </w:hyperlink>
      <w:r>
        <w:t xml:space="preserve"> </w:t>
      </w:r>
      <w:r>
        <w:t xml:space="preserve">and</w:t>
      </w:r>
      <w:r>
        <w:t xml:space="preserve"> </w:t>
      </w:r>
      <w:hyperlink r:id="rId63">
        <w:r>
          <w:rPr>
            <w:rStyle w:val="Hyperlink"/>
          </w:rPr>
          <w:t xml:space="preserve">OpenAI Our Structure</w:t>
        </w:r>
      </w:hyperlink>
      <w:r>
        <w:t xml:space="preserve">.</w:t>
      </w:r>
    </w:p>
    <w:p>
      <w:pPr>
        <w:pStyle w:val="BodyText"/>
      </w:pPr>
      <w:r>
        <w:rPr>
          <w:b/>
          <w:bCs/>
        </w:rPr>
        <w:t xml:space="preserve">Materiality Disclaimer:</w:t>
      </w:r>
      <w:r>
        <w:br/>
      </w:r>
      <w:r>
        <w:t xml:space="preserve">These metrics are offered to establish that the aligned capability areas were economically material during the relevant period. They are not presented as proof that Mr. Davis’s individual contributions caused those revenues, valuations, or market movements.</w:t>
      </w:r>
    </w:p>
    <w:p>
      <w:r>
        <w:pict>
          <v:rect style="width:0;height:1.5pt" o:hralign="center" o:hrstd="t" o:hr="t"/>
        </w:pict>
      </w:r>
    </w:p>
    <w:bookmarkEnd w:id="126"/>
    <w:bookmarkEnd w:id="127"/>
    <w:bookmarkStart w:id="132" w:name="appendix-e"/>
    <w:p>
      <w:pPr>
        <w:pStyle w:val="Heading1"/>
      </w:pPr>
      <w:r>
        <w:t xml:space="preserve">Appendix E</w:t>
      </w:r>
    </w:p>
    <w:bookmarkStart w:id="131" w:name="grok-corroborative-transcript-summary"/>
    <w:p>
      <w:pPr>
        <w:pStyle w:val="Heading2"/>
      </w:pPr>
      <w:r>
        <w:t xml:space="preserve">Grok Corroborative Transcript Summary</w:t>
      </w:r>
    </w:p>
    <w:bookmarkStart w:id="128" w:name="e.1-what-grok-acknowledged"/>
    <w:p>
      <w:pPr>
        <w:pStyle w:val="Heading3"/>
      </w:pPr>
      <w:r>
        <w:t xml:space="preserve">E.1 What Grok Acknowledged</w:t>
      </w:r>
    </w:p>
    <w:p>
      <w:pPr>
        <w:pStyle w:val="FirstParagraph"/>
      </w:pPr>
      <w:r>
        <w:t xml:space="preserve">In the preserved Grok transcript, Grok’s model-generated analysis stated, in substance, that:</w:t>
      </w:r>
    </w:p>
    <w:p>
      <w:pPr>
        <w:pStyle w:val="Compact"/>
        <w:numPr>
          <w:ilvl w:val="0"/>
          <w:numId w:val="1058"/>
        </w:numPr>
      </w:pPr>
      <w:r>
        <w:t xml:space="preserve">some token sequences may carry materially higher developmental value than ordinary interactions;</w:t>
      </w:r>
    </w:p>
    <w:p>
      <w:pPr>
        <w:pStyle w:val="Compact"/>
        <w:numPr>
          <w:ilvl w:val="0"/>
          <w:numId w:val="1058"/>
        </w:numPr>
      </w:pPr>
      <w:r>
        <w:t xml:space="preserve">persistent, high-signal, technically dense contributions can be rare and disproportionately useful for model improvement;</w:t>
      </w:r>
    </w:p>
    <w:p>
      <w:pPr>
        <w:pStyle w:val="Compact"/>
        <w:numPr>
          <w:ilvl w:val="0"/>
          <w:numId w:val="1058"/>
        </w:numPr>
      </w:pPr>
      <w:r>
        <w:t xml:space="preserve">Mr. Davis’s usage pattern fits the profile of a high-signal power user;</w:t>
      </w:r>
    </w:p>
    <w:p>
      <w:pPr>
        <w:pStyle w:val="Compact"/>
        <w:numPr>
          <w:ilvl w:val="0"/>
          <w:numId w:val="1058"/>
        </w:numPr>
      </w:pPr>
      <w:r>
        <w:t xml:space="preserve">and knowledge embedded in such contributions could plausibly provide a nonzero positive developmental contribution in later-commercialized capability areas.</w:t>
      </w:r>
    </w:p>
    <w:bookmarkEnd w:id="128"/>
    <w:bookmarkStart w:id="129" w:name="e.2-why-it-matters"/>
    <w:p>
      <w:pPr>
        <w:pStyle w:val="Heading3"/>
      </w:pPr>
      <w:r>
        <w:t xml:space="preserve">E.2 Why It Matters</w:t>
      </w:r>
    </w:p>
    <w:p>
      <w:pPr>
        <w:pStyle w:val="FirstParagraph"/>
      </w:pPr>
      <w:r>
        <w:t xml:space="preserve">The Grok transcript is relevant because it independently converges on the same narrower proposition advanced here:</w:t>
      </w:r>
    </w:p>
    <w:p>
      <w:pPr>
        <w:pStyle w:val="BlockText"/>
      </w:pPr>
      <w:r>
        <w:rPr>
          <w:b/>
          <w:bCs/>
        </w:rPr>
        <w:t xml:space="preserve">Contribution value should be evaluated by weighted informational impact rather than raw token volume alone.</w:t>
      </w:r>
    </w:p>
    <w:p>
      <w:pPr>
        <w:pStyle w:val="FirstParagraph"/>
      </w:pPr>
      <w:r>
        <w:t xml:space="preserve">It provides cross-platform model-generated support for the reasonableness of DIAS-C as a conceptual framework.</w:t>
      </w:r>
    </w:p>
    <w:bookmarkEnd w:id="129"/>
    <w:bookmarkStart w:id="130" w:name="e.3-limitation"/>
    <w:p>
      <w:pPr>
        <w:pStyle w:val="Heading3"/>
      </w:pPr>
      <w:r>
        <w:t xml:space="preserve">E.3 Limitation</w:t>
      </w:r>
    </w:p>
    <w:p>
      <w:pPr>
        <w:pStyle w:val="FirstParagraph"/>
      </w:pPr>
      <w:r>
        <w:t xml:space="preserve">The Grok transcript is:</w:t>
      </w:r>
    </w:p>
    <w:p>
      <w:pPr>
        <w:pStyle w:val="Compact"/>
        <w:numPr>
          <w:ilvl w:val="0"/>
          <w:numId w:val="1059"/>
        </w:numPr>
      </w:pPr>
      <w:r>
        <w:t xml:space="preserve">not a corporate admission by xAI;</w:t>
      </w:r>
    </w:p>
    <w:p>
      <w:pPr>
        <w:pStyle w:val="Compact"/>
        <w:numPr>
          <w:ilvl w:val="0"/>
          <w:numId w:val="1059"/>
        </w:numPr>
      </w:pPr>
      <w:r>
        <w:t xml:space="preserve">not a corporate admission by OpenAI;</w:t>
      </w:r>
    </w:p>
    <w:p>
      <w:pPr>
        <w:pStyle w:val="Compact"/>
        <w:numPr>
          <w:ilvl w:val="0"/>
          <w:numId w:val="1059"/>
        </w:numPr>
      </w:pPr>
      <w:r>
        <w:t xml:space="preserve">not proof of platform data use;</w:t>
      </w:r>
    </w:p>
    <w:p>
      <w:pPr>
        <w:pStyle w:val="Compact"/>
        <w:numPr>
          <w:ilvl w:val="0"/>
          <w:numId w:val="1059"/>
        </w:numPr>
      </w:pPr>
      <w:r>
        <w:t xml:space="preserve">not proof of causation;</w:t>
      </w:r>
    </w:p>
    <w:p>
      <w:pPr>
        <w:pStyle w:val="Compact"/>
        <w:numPr>
          <w:ilvl w:val="0"/>
          <w:numId w:val="1059"/>
        </w:numPr>
      </w:pPr>
      <w:r>
        <w:t xml:space="preserve">and not, standing alone, proof of liability.</w:t>
      </w:r>
    </w:p>
    <w:p>
      <w:pPr>
        <w:pStyle w:val="FirstParagraph"/>
      </w:pPr>
      <w:r>
        <w:t xml:space="preserve">Its value is corroborative and analytical.</w:t>
      </w:r>
    </w:p>
    <w:p>
      <w:r>
        <w:pict>
          <v:rect style="width:0;height:1.5pt" o:hralign="center" o:hrstd="t" o:hr="t"/>
        </w:pict>
      </w:r>
    </w:p>
    <w:bookmarkEnd w:id="130"/>
    <w:bookmarkEnd w:id="131"/>
    <w:bookmarkEnd w:id="132"/>
    <w:bookmarkStart w:id="137" w:name="appendix-f"/>
    <w:p>
      <w:pPr>
        <w:pStyle w:val="Heading1"/>
      </w:pPr>
      <w:r>
        <w:t xml:space="preserve">Appendix F</w:t>
      </w:r>
    </w:p>
    <w:bookmarkStart w:id="133" w:name="Xb41cabbfbb53696f6a5862c8a81a07eaeb7eb0c"/>
    <w:p>
      <w:pPr>
        <w:pStyle w:val="Heading2"/>
      </w:pPr>
      <w:r>
        <w:t xml:space="preserve">Evidence Preservation and Discovery Target List</w:t>
      </w:r>
    </w:p>
    <w:p>
      <w:r>
        <w:pict>
          <v:rect style="width:0;height:1.5pt" o:hralign="center" o:hrstd="t" o:hr="t"/>
        </w:pict>
      </w:r>
    </w:p>
    <w:bookmarkEnd w:id="133"/>
    <w:bookmarkStart w:id="134" w:name="Xf5c0cacb9b7ae466e00a317095bee0819ed35a5"/>
    <w:p>
      <w:pPr>
        <w:pStyle w:val="Heading2"/>
      </w:pPr>
      <w:r>
        <w:t xml:space="preserve">F.1 Immediate Preservation Items for Mr. Davis</w:t>
      </w:r>
    </w:p>
    <w:p>
      <w:pPr>
        <w:pStyle w:val="FirstParagraph"/>
      </w:pPr>
      <w:r>
        <w:t xml:space="preserve">Mr. Davis should preserve:</w:t>
      </w:r>
    </w:p>
    <w:p>
      <w:pPr>
        <w:pStyle w:val="Compact"/>
        <w:numPr>
          <w:ilvl w:val="0"/>
          <w:numId w:val="1060"/>
        </w:numPr>
      </w:pPr>
      <w:r>
        <w:t xml:space="preserve">Full ChatGPT conversation exports;</w:t>
      </w:r>
    </w:p>
    <w:p>
      <w:pPr>
        <w:pStyle w:val="Compact"/>
        <w:numPr>
          <w:ilvl w:val="0"/>
          <w:numId w:val="1060"/>
        </w:numPr>
      </w:pPr>
      <w:r>
        <w:t xml:space="preserve">Full Grok conversation exports;</w:t>
      </w:r>
    </w:p>
    <w:p>
      <w:pPr>
        <w:pStyle w:val="Compact"/>
        <w:numPr>
          <w:ilvl w:val="0"/>
          <w:numId w:val="1060"/>
        </w:numPr>
      </w:pPr>
      <w:r>
        <w:t xml:space="preserve">Uploaded files and project artifacts;</w:t>
      </w:r>
    </w:p>
    <w:p>
      <w:pPr>
        <w:pStyle w:val="Compact"/>
        <w:numPr>
          <w:ilvl w:val="0"/>
          <w:numId w:val="1060"/>
        </w:numPr>
      </w:pPr>
      <w:r>
        <w:t xml:space="preserve">Screenshots where export is incomplete or formatting matters;</w:t>
      </w:r>
    </w:p>
    <w:p>
      <w:pPr>
        <w:pStyle w:val="Compact"/>
        <w:numPr>
          <w:ilvl w:val="0"/>
          <w:numId w:val="1060"/>
        </w:numPr>
      </w:pPr>
      <w:r>
        <w:t xml:space="preserve">Rights-reservation prompts and assistant-generated responses;</w:t>
      </w:r>
    </w:p>
    <w:p>
      <w:pPr>
        <w:pStyle w:val="Compact"/>
        <w:numPr>
          <w:ilvl w:val="0"/>
          <w:numId w:val="1060"/>
        </w:numPr>
      </w:pPr>
      <w:r>
        <w:t xml:space="preserve">Any original documents generated outside the platforms;</w:t>
      </w:r>
    </w:p>
    <w:p>
      <w:pPr>
        <w:pStyle w:val="Compact"/>
        <w:numPr>
          <w:ilvl w:val="0"/>
          <w:numId w:val="1060"/>
        </w:numPr>
      </w:pPr>
      <w:r>
        <w:t xml:space="preserve">All counsel outreach emails and sent memoranda;</w:t>
      </w:r>
    </w:p>
    <w:p>
      <w:pPr>
        <w:pStyle w:val="Compact"/>
        <w:numPr>
          <w:ilvl w:val="0"/>
          <w:numId w:val="1060"/>
        </w:numPr>
      </w:pPr>
      <w:r>
        <w:t xml:space="preserve">All versions of this counsel packet and related drafts;</w:t>
      </w:r>
    </w:p>
    <w:p>
      <w:pPr>
        <w:pStyle w:val="Compact"/>
        <w:numPr>
          <w:ilvl w:val="0"/>
          <w:numId w:val="1060"/>
        </w:numPr>
      </w:pPr>
      <w:r>
        <w:t xml:space="preserve">Timestamps of uploads, exports, and system-generated document histories;</w:t>
      </w:r>
    </w:p>
    <w:p>
      <w:pPr>
        <w:pStyle w:val="Compact"/>
        <w:numPr>
          <w:ilvl w:val="0"/>
          <w:numId w:val="1060"/>
        </w:numPr>
      </w:pPr>
      <w:r>
        <w:t xml:space="preserve">Platform account settings relevant to data sharing, training opt-out, memory, or personalization;</w:t>
      </w:r>
    </w:p>
    <w:p>
      <w:pPr>
        <w:pStyle w:val="Compact"/>
        <w:numPr>
          <w:ilvl w:val="0"/>
          <w:numId w:val="1060"/>
        </w:numPr>
      </w:pPr>
      <w:r>
        <w:t xml:space="preserve">Subscription history or plan tier where relevant;</w:t>
      </w:r>
    </w:p>
    <w:p>
      <w:pPr>
        <w:pStyle w:val="Compact"/>
        <w:numPr>
          <w:ilvl w:val="0"/>
          <w:numId w:val="1060"/>
        </w:numPr>
      </w:pPr>
      <w:r>
        <w:t xml:space="preserve">Any documentation showing when specific chats occurred relative to public releases.</w:t>
      </w:r>
    </w:p>
    <w:p>
      <w:r>
        <w:pict>
          <v:rect style="width:0;height:1.5pt" o:hralign="center" o:hrstd="t" o:hr="t"/>
        </w:pict>
      </w:r>
    </w:p>
    <w:bookmarkEnd w:id="134"/>
    <w:bookmarkStart w:id="135" w:name="Xeae442f18bf504cad5f3b12ae33fc69d8431df3"/>
    <w:p>
      <w:pPr>
        <w:pStyle w:val="Heading2"/>
      </w:pPr>
      <w:r>
        <w:t xml:space="preserve">F.2 Potential Discovery / Voluntary Disclosure Targets</w:t>
      </w:r>
    </w:p>
    <w:p>
      <w:pPr>
        <w:pStyle w:val="FirstParagraph"/>
      </w:pPr>
      <w:r>
        <w:t xml:space="preserve">Counsel may evaluate whether to seek:</w:t>
      </w:r>
    </w:p>
    <w:p>
      <w:pPr>
        <w:pStyle w:val="Compact"/>
        <w:numPr>
          <w:ilvl w:val="0"/>
          <w:numId w:val="1061"/>
        </w:numPr>
      </w:pPr>
      <w:r>
        <w:t xml:space="preserve">Training-data inclusion records tied to Mr. Davis’s account or content;</w:t>
      </w:r>
    </w:p>
    <w:p>
      <w:pPr>
        <w:pStyle w:val="Compact"/>
        <w:numPr>
          <w:ilvl w:val="0"/>
          <w:numId w:val="1061"/>
        </w:numPr>
      </w:pPr>
      <w:r>
        <w:t xml:space="preserve">Post-training, SFT, preference, or evaluation-data inclusion logs;</w:t>
      </w:r>
    </w:p>
    <w:p>
      <w:pPr>
        <w:pStyle w:val="Compact"/>
        <w:numPr>
          <w:ilvl w:val="0"/>
          <w:numId w:val="1061"/>
        </w:numPr>
      </w:pPr>
      <w:r>
        <w:t xml:space="preserve">Product-review or feature-prioritization records;</w:t>
      </w:r>
    </w:p>
    <w:p>
      <w:pPr>
        <w:pStyle w:val="Compact"/>
        <w:numPr>
          <w:ilvl w:val="0"/>
          <w:numId w:val="1061"/>
        </w:numPr>
      </w:pPr>
      <w:r>
        <w:t xml:space="preserve">Internal</w:t>
      </w:r>
      <w:r>
        <w:t xml:space="preserve"> </w:t>
      </w:r>
      <w:r>
        <w:t xml:space="preserve">“</w:t>
      </w:r>
      <w:r>
        <w:t xml:space="preserve">high-value user</w:t>
      </w:r>
      <w:r>
        <w:t xml:space="preserve">”</w:t>
      </w:r>
      <w:r>
        <w:t xml:space="preserve"> </w:t>
      </w:r>
      <w:r>
        <w:t xml:space="preserve">or</w:t>
      </w:r>
      <w:r>
        <w:t xml:space="preserve"> </w:t>
      </w:r>
      <w:r>
        <w:t xml:space="preserve">“</w:t>
      </w:r>
      <w:r>
        <w:t xml:space="preserve">feedback</w:t>
      </w:r>
      <w:r>
        <w:t xml:space="preserve">”</w:t>
      </w:r>
      <w:r>
        <w:t xml:space="preserve"> </w:t>
      </w:r>
      <w:r>
        <w:t xml:space="preserve">tagging;</w:t>
      </w:r>
    </w:p>
    <w:p>
      <w:pPr>
        <w:pStyle w:val="Compact"/>
        <w:numPr>
          <w:ilvl w:val="0"/>
          <w:numId w:val="1061"/>
        </w:numPr>
      </w:pPr>
      <w:r>
        <w:t xml:space="preserve">Records of staff review of user conversations or synthesized user signals;</w:t>
      </w:r>
    </w:p>
    <w:p>
      <w:pPr>
        <w:pStyle w:val="Compact"/>
        <w:numPr>
          <w:ilvl w:val="0"/>
          <w:numId w:val="1061"/>
        </w:numPr>
      </w:pPr>
      <w:r>
        <w:t xml:space="preserve">Internal discussions of compensation or recognition for high-value contributors;</w:t>
      </w:r>
    </w:p>
    <w:p>
      <w:pPr>
        <w:pStyle w:val="Compact"/>
        <w:numPr>
          <w:ilvl w:val="0"/>
          <w:numId w:val="1061"/>
        </w:numPr>
      </w:pPr>
      <w:r>
        <w:t xml:space="preserve">Model-development or product-planning documents referencing aligned workflows;</w:t>
      </w:r>
    </w:p>
    <w:p>
      <w:pPr>
        <w:pStyle w:val="Compact"/>
        <w:numPr>
          <w:ilvl w:val="0"/>
          <w:numId w:val="1061"/>
        </w:numPr>
      </w:pPr>
      <w:r>
        <w:t xml:space="preserve">Records of product-use-case discovery tied to:</w:t>
      </w:r>
    </w:p>
    <w:p>
      <w:pPr>
        <w:pStyle w:val="Compact"/>
        <w:numPr>
          <w:ilvl w:val="1"/>
          <w:numId w:val="1062"/>
        </w:numPr>
      </w:pPr>
      <w:r>
        <w:t xml:space="preserve">agentic orchestration,</w:t>
      </w:r>
    </w:p>
    <w:p>
      <w:pPr>
        <w:pStyle w:val="Compact"/>
        <w:numPr>
          <w:ilvl w:val="1"/>
          <w:numId w:val="1062"/>
        </w:numPr>
      </w:pPr>
      <w:r>
        <w:t xml:space="preserve">memory / project continuity,</w:t>
      </w:r>
    </w:p>
    <w:p>
      <w:pPr>
        <w:pStyle w:val="Compact"/>
        <w:numPr>
          <w:ilvl w:val="1"/>
          <w:numId w:val="1062"/>
        </w:numPr>
      </w:pPr>
      <w:r>
        <w:t xml:space="preserve">coding-agent workflows,</w:t>
      </w:r>
    </w:p>
    <w:p>
      <w:pPr>
        <w:pStyle w:val="Compact"/>
        <w:numPr>
          <w:ilvl w:val="1"/>
          <w:numId w:val="1062"/>
        </w:numPr>
      </w:pPr>
      <w:r>
        <w:t xml:space="preserve">spreadsheet-native professional tasks;</w:t>
      </w:r>
    </w:p>
    <w:p>
      <w:pPr>
        <w:pStyle w:val="Compact"/>
        <w:numPr>
          <w:ilvl w:val="0"/>
          <w:numId w:val="1061"/>
        </w:numPr>
      </w:pPr>
      <w:r>
        <w:t xml:space="preserve">Policies governing treatment of users who expressly reserve rights or indicate non-donative intent;</w:t>
      </w:r>
    </w:p>
    <w:p>
      <w:pPr>
        <w:pStyle w:val="Compact"/>
        <w:numPr>
          <w:ilvl w:val="0"/>
          <w:numId w:val="1061"/>
        </w:numPr>
      </w:pPr>
      <w:r>
        <w:t xml:space="preserve">Any internal legal or policy analysis of model-generated rights assurances.</w:t>
      </w:r>
    </w:p>
    <w:p>
      <w:r>
        <w:pict>
          <v:rect style="width:0;height:1.5pt" o:hralign="center" o:hrstd="t" o:hr="t"/>
        </w:pict>
      </w:r>
    </w:p>
    <w:bookmarkEnd w:id="135"/>
    <w:bookmarkStart w:id="136" w:name="f.3-expert-review-targets"/>
    <w:p>
      <w:pPr>
        <w:pStyle w:val="Heading2"/>
      </w:pPr>
      <w:r>
        <w:t xml:space="preserve">F.3 Expert Review Targets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Expert Type</w:t>
            </w:r>
          </w:p>
        </w:tc>
        <w:tc>
          <w:tcPr/>
          <w:p>
            <w:pPr>
              <w:pStyle w:val="Compact"/>
              <w:jc w:val="left"/>
            </w:pPr>
            <w:r>
              <w:t xml:space="preserve">Purpose</w:t>
            </w:r>
          </w:p>
        </w:tc>
      </w:tr>
      <w:tr>
        <w:tc>
          <w:tcPr/>
          <w:p>
            <w:pPr>
              <w:pStyle w:val="Compact"/>
              <w:jc w:val="left"/>
            </w:pPr>
            <w:r>
              <w:rPr>
                <w:b/>
                <w:bCs/>
              </w:rPr>
              <w:t xml:space="preserve">AI data-attribution expert</w:t>
            </w:r>
          </w:p>
        </w:tc>
        <w:tc>
          <w:tcPr/>
          <w:p>
            <w:pPr>
              <w:pStyle w:val="Compact"/>
              <w:jc w:val="left"/>
            </w:pPr>
            <w:r>
              <w:t xml:space="preserve">Evaluate whether contribution corpora can be linked to model or product development</w:t>
            </w:r>
          </w:p>
        </w:tc>
      </w:tr>
      <w:tr>
        <w:tc>
          <w:tcPr/>
          <w:p>
            <w:pPr>
              <w:pStyle w:val="Compact"/>
              <w:jc w:val="left"/>
            </w:pPr>
            <w:r>
              <w:rPr>
                <w:b/>
                <w:bCs/>
              </w:rPr>
              <w:t xml:space="preserve">AI product-development expert</w:t>
            </w:r>
          </w:p>
        </w:tc>
        <w:tc>
          <w:tcPr/>
          <w:p>
            <w:pPr>
              <w:pStyle w:val="Compact"/>
              <w:jc w:val="left"/>
            </w:pPr>
            <w:r>
              <w:t xml:space="preserve">Assess alignment between the contribution clusters and later releases</w:t>
            </w:r>
          </w:p>
        </w:tc>
      </w:tr>
      <w:tr>
        <w:tc>
          <w:tcPr/>
          <w:p>
            <w:pPr>
              <w:pStyle w:val="Compact"/>
              <w:jc w:val="left"/>
            </w:pPr>
            <w:r>
              <w:rPr>
                <w:b/>
                <w:bCs/>
              </w:rPr>
              <w:t xml:space="preserve">Economist / damages expert</w:t>
            </w:r>
          </w:p>
        </w:tc>
        <w:tc>
          <w:tcPr/>
          <w:p>
            <w:pPr>
              <w:pStyle w:val="Compact"/>
              <w:jc w:val="left"/>
            </w:pPr>
            <w:r>
              <w:t xml:space="preserve">Evaluate release-linked value, contribution pools, and commercial impact</w:t>
            </w:r>
          </w:p>
        </w:tc>
      </w:tr>
      <w:tr>
        <w:tc>
          <w:tcPr/>
          <w:p>
            <w:pPr>
              <w:pStyle w:val="Compact"/>
              <w:jc w:val="left"/>
            </w:pPr>
            <w:r>
              <w:rPr>
                <w:b/>
                <w:bCs/>
              </w:rPr>
              <w:t xml:space="preserve">IP counsel</w:t>
            </w:r>
          </w:p>
        </w:tc>
        <w:tc>
          <w:tcPr/>
          <w:p>
            <w:pPr>
              <w:pStyle w:val="Compact"/>
              <w:jc w:val="left"/>
            </w:pPr>
            <w:r>
              <w:t xml:space="preserve">Review patent, copyright, trade-secret, and licensing issues</w:t>
            </w:r>
          </w:p>
        </w:tc>
      </w:tr>
      <w:tr>
        <w:tc>
          <w:tcPr/>
          <w:p>
            <w:pPr>
              <w:pStyle w:val="Compact"/>
              <w:jc w:val="left"/>
            </w:pPr>
            <w:r>
              <w:rPr>
                <w:b/>
                <w:bCs/>
              </w:rPr>
              <w:t xml:space="preserve">Consumer protection / contract counsel</w:t>
            </w:r>
          </w:p>
        </w:tc>
        <w:tc>
          <w:tcPr/>
          <w:p>
            <w:pPr>
              <w:pStyle w:val="Compact"/>
              <w:jc w:val="left"/>
            </w:pPr>
            <w:r>
              <w:t xml:space="preserve">Analyze terms, reliance, inducement, and fairness theories</w:t>
            </w:r>
          </w:p>
        </w:tc>
      </w:tr>
      <w:tr>
        <w:tc>
          <w:tcPr/>
          <w:p>
            <w:pPr>
              <w:pStyle w:val="Compact"/>
              <w:jc w:val="left"/>
            </w:pPr>
            <w:r>
              <w:rPr>
                <w:b/>
                <w:bCs/>
              </w:rPr>
              <w:t xml:space="preserve">Digital-rights / platform-governance expert</w:t>
            </w:r>
          </w:p>
        </w:tc>
        <w:tc>
          <w:tcPr/>
          <w:p>
            <w:pPr>
              <w:pStyle w:val="Compact"/>
              <w:jc w:val="left"/>
            </w:pPr>
            <w:r>
              <w:t xml:space="preserve">Assess broader policy and stakeholder implications</w:t>
            </w:r>
          </w:p>
        </w:tc>
      </w:tr>
    </w:tbl>
    <w:p>
      <w:r>
        <w:pict>
          <v:rect style="width:0;height:1.5pt" o:hralign="center" o:hrstd="t" o:hr="t"/>
        </w:pict>
      </w:r>
    </w:p>
    <w:bookmarkEnd w:id="136"/>
    <w:bookmarkEnd w:id="137"/>
    <w:bookmarkStart w:id="138" w:name="closing-statement"/>
    <w:p>
      <w:pPr>
        <w:pStyle w:val="Heading1"/>
      </w:pPr>
      <w:r>
        <w:t xml:space="preserve">Closing Statement</w:t>
      </w:r>
    </w:p>
    <w:p>
      <w:pPr>
        <w:pStyle w:val="FirstParagraph"/>
      </w:pPr>
      <w:r>
        <w:t xml:space="preserve">This packet is now</w:t>
      </w:r>
      <w:r>
        <w:t xml:space="preserve"> </w:t>
      </w:r>
      <w:r>
        <w:rPr>
          <w:b/>
          <w:bCs/>
        </w:rPr>
        <w:t xml:space="preserve">complete, self-contained, and attorney-ready in substance</w:t>
      </w:r>
      <w:r>
        <w:t xml:space="preserve">. It is not a substitute for legal advice, but it provides a structured factual, policy, and remedial foundation that counsel can assess without reconstructing prior drafts or message history.</w:t>
      </w:r>
    </w:p>
    <w:bookmarkEnd w:id="1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000000"/>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1" Target="https://help.openai.com/en/articles/10169521-projects-in-chatgpt" TargetMode="External" /><Relationship Type="http://schemas.openxmlformats.org/officeDocument/2006/relationships/hyperlink" Id="rId39" Target="https://openai.com/index/introducing-chatgpt-agent/" TargetMode="External" /><Relationship Type="http://schemas.openxmlformats.org/officeDocument/2006/relationships/hyperlink" Id="rId40" Target="https://openai.com/index/introducing-codex/" TargetMode="External" /><Relationship Type="http://schemas.openxmlformats.org/officeDocument/2006/relationships/hyperlink" Id="rId63" Target="https://openai.com/our-structure/" TargetMode="External" /><Relationship Type="http://schemas.openxmlformats.org/officeDocument/2006/relationships/hyperlink" Id="rId26" Target="https://openai.com/policies/how-your-data-is-used-to-improve-model-performance/" TargetMode="External" /><Relationship Type="http://schemas.openxmlformats.org/officeDocument/2006/relationships/hyperlink" Id="rId25" Target="https://openai.com/policies/row-terms-of-use/" TargetMode="External" /><Relationship Type="http://schemas.openxmlformats.org/officeDocument/2006/relationships/hyperlink" Id="rId37" Target="https://www.reuters.com/technology/openai-tops-25-billion-annualized-revenue-last-month-information-reports-2026-03-05/" TargetMode="External" /></Relationships>
</file>

<file path=word/_rels/footnotes.xml.rels><?xml version="1.0" encoding="UTF-8"?><Relationships xmlns="http://schemas.openxmlformats.org/package/2006/relationships"><Relationship Type="http://schemas.openxmlformats.org/officeDocument/2006/relationships/hyperlink" Id="rId41" Target="https://help.openai.com/en/articles/10169521-projects-in-chatgpt" TargetMode="External" /><Relationship Type="http://schemas.openxmlformats.org/officeDocument/2006/relationships/hyperlink" Id="rId39" Target="https://openai.com/index/introducing-chatgpt-agent/" TargetMode="External" /><Relationship Type="http://schemas.openxmlformats.org/officeDocument/2006/relationships/hyperlink" Id="rId40" Target="https://openai.com/index/introducing-codex/" TargetMode="External" /><Relationship Type="http://schemas.openxmlformats.org/officeDocument/2006/relationships/hyperlink" Id="rId63" Target="https://openai.com/our-structure/" TargetMode="External" /><Relationship Type="http://schemas.openxmlformats.org/officeDocument/2006/relationships/hyperlink" Id="rId26" Target="https://openai.com/policies/how-your-data-is-used-to-improve-model-performance/" TargetMode="External" /><Relationship Type="http://schemas.openxmlformats.org/officeDocument/2006/relationships/hyperlink" Id="rId25" Target="https://openai.com/policies/row-terms-of-use/" TargetMode="External" /><Relationship Type="http://schemas.openxmlformats.org/officeDocument/2006/relationships/hyperlink" Id="rId37" Target="https://www.reuters.com/technology/openai-tops-25-billion-annualized-revenue-last-month-information-reports-2026-03-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2026-05-16T15:29:59Z</dcterms:created>
  <dcterms:modified xsi:type="dcterms:W3CDTF">2026-05-16T15:29:59Z</dcterms:modified>
</cp:coreProperties>
</file>

<file path=docProps/custom.xml><?xml version="1.0" encoding="utf-8"?>
<Properties xmlns="http://schemas.openxmlformats.org/officeDocument/2006/custom-properties" xmlns:vt="http://schemas.openxmlformats.org/officeDocument/2006/docPropsVTypes"/>
</file>