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i w:val="0"/>
          <w:color w:val="000000"/>
          <w:sz w:val="60"/>
        </w:rPr>
        <w:t>WORLDSHEPHERD</w:t>
      </w:r>
    </w:p>
    <w:p>
      <w:pPr>
        <w:spacing w:after="100" w:line="259" w:lineRule="auto"/>
        <w:jc w:val="center"/>
      </w:pPr>
      <w:r>
        <w:rPr>
          <w:b/>
          <w:i w:val="0"/>
          <w:color w:val="000000"/>
          <w:sz w:val="40"/>
        </w:rPr>
        <w:t>Master Book - Full Bloom Edition</w:t>
      </w:r>
    </w:p>
    <w:p>
      <w:pPr>
        <w:spacing w:after="100" w:line="259" w:lineRule="auto"/>
        <w:jc w:val="center"/>
      </w:pPr>
      <w:r>
        <w:rPr>
          <w:b w:val="0"/>
          <w:i w:val="0"/>
          <w:color w:val="000000"/>
          <w:sz w:val="26"/>
        </w:rPr>
        <w:t>Unified White Paper Anthology, Technical Doctrine, Source Map, and Expansion Roadmap</w:t>
      </w:r>
    </w:p>
    <w:p>
      <w:pPr>
        <w:spacing w:after="100" w:line="259" w:lineRule="auto"/>
        <w:jc w:val="center"/>
      </w:pPr>
      <w:r>
        <w:rPr>
          <w:b w:val="0"/>
          <w:i w:val="0"/>
          <w:color w:val="000000"/>
          <w:sz w:val="22"/>
        </w:rPr>
        <w:t>Prepared for Brandon Ray Davis / CRE1AWS@proton.me</w:t>
      </w:r>
    </w:p>
    <w:p>
      <w:pPr>
        <w:spacing w:after="100" w:line="259" w:lineRule="auto"/>
        <w:jc w:val="center"/>
      </w:pPr>
      <w:r>
        <w:rPr>
          <w:b w:val="0"/>
          <w:i w:val="0"/>
          <w:color w:val="000000"/>
          <w:sz w:val="21"/>
        </w:rPr>
        <w:t>Version 0.2 - Full Bloom Scaffold and Expanded Synthesis - May 20, 2026</w:t>
      </w:r>
    </w:p>
    <w:p>
      <w:pPr>
        <w:spacing w:after="100" w:line="259" w:lineRule="auto"/>
        <w:jc w:val="center"/>
      </w:pPr>
      <w:r>
        <w:rPr>
          <w:b w:val="0"/>
          <w:i/>
          <w:color w:val="000000"/>
          <w:sz w:val="20"/>
        </w:rPr>
        <w:t>Document posture: internal master manuscript. Use chapter-specific packets for external review.</w:t>
      </w:r>
    </w:p>
    <w:p>
      <w:r>
        <w:rPr>
          <w:color w:val="000000"/>
        </w:rPr>
        <w:br w:type="page"/>
      </w:r>
    </w:p>
    <w:p>
      <w:pPr>
        <w:pStyle w:val="Heading1"/>
        <w:keepNext/>
        <w:spacing w:before="160" w:after="80"/>
      </w:pPr>
      <w:r>
        <w:rPr>
          <w:color w:val="000000"/>
        </w:rPr>
        <w:t>Editorial Notice and Reliability Statement</w:t>
      </w:r>
    </w:p>
    <w:p>
      <w:pPr>
        <w:spacing w:after="100" w:line="259" w:lineRule="auto"/>
      </w:pPr>
      <w:r>
        <w:rPr>
          <w:b w:val="0"/>
          <w:i w:val="0"/>
          <w:color w:val="000000"/>
        </w:rPr>
        <w:t>This Full Bloom Edition expands the Version 0.1 master book from a source-status skeleton into a developed manuscript. It consolidates current uploaded sources, accessible File Library matches, Gmail-located manuscript families, and account-level project context available for the Worldshepherd corpus.</w:t>
      </w:r>
    </w:p>
    <w:p>
      <w:pPr>
        <w:spacing w:after="100" w:line="259" w:lineRule="auto"/>
      </w:pPr>
      <w:r>
        <w:rPr>
          <w:b w:val="0"/>
          <w:i w:val="0"/>
          <w:color w:val="000000"/>
        </w:rPr>
        <w:t>The book uses strict source posture labels. Directly recovered files are treated as stronger anchors. Gmail-located manuscripts and project-context lanes are expanded as structured chapters, but they remain source-recovery targets until the controlling files are imported. This keeps the book useful without pretending every prior white paper has already been recovered in full.</w:t>
      </w:r>
    </w:p>
    <w:p>
      <w:pPr>
        <w:spacing w:after="100" w:line="259" w:lineRule="auto"/>
      </w:pPr>
      <w:r>
        <w:rPr>
          <w:b w:val="0"/>
          <w:i w:val="0"/>
          <w:color w:val="000000"/>
        </w:rPr>
        <w:t>Medical, legal, aerospace, defense-adjacent, security, and dossier sections are bounded. Medical chapters are research-stage and not clinical guidance. Legal-policy chapters are not legal advice. Security chapters are defensive. Autonomy and field-control chapters are non-operational and safety-bounded. Dossier chapters are archival unless independently verified.</w:t>
      </w:r>
    </w:p>
    <w:p>
      <w:pPr>
        <w:pStyle w:val="Heading1"/>
        <w:keepNext/>
        <w:spacing w:before="160" w:after="80"/>
      </w:pPr>
      <w:r>
        <w:rPr>
          <w:color w:val="000000"/>
        </w:rPr>
        <w:t>Source Status Legend</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EDEDED"/>
          </w:tcPr>
          <w:p>
            <w:r>
              <w:rPr>
                <w:b/>
                <w:color w:val="000000"/>
                <w:sz w:val="16"/>
              </w:rPr>
              <w:t>Status</w:t>
            </w:r>
          </w:p>
        </w:tc>
        <w:tc>
          <w:tcPr>
            <w:tcW w:type="dxa" w:w="4824"/>
            <w:shd w:fill="EDEDED"/>
          </w:tcPr>
          <w:p>
            <w:r>
              <w:rPr>
                <w:b/>
                <w:color w:val="000000"/>
                <w:sz w:val="16"/>
              </w:rPr>
              <w:t>Meaning</w:t>
            </w:r>
          </w:p>
        </w:tc>
        <w:tc>
          <w:tcPr>
            <w:tcW w:type="dxa" w:w="3600"/>
            <w:shd w:fill="EDEDED"/>
          </w:tcPr>
          <w:p>
            <w:r>
              <w:rPr>
                <w:b/>
                <w:color w:val="000000"/>
                <w:sz w:val="16"/>
              </w:rPr>
              <w:t>Rule</w:t>
            </w:r>
          </w:p>
        </w:tc>
      </w:tr>
      <w:tr>
        <w:tc>
          <w:tcPr>
            <w:tcW w:type="dxa" w:w="2376"/>
            <w:vAlign w:val="top"/>
          </w:tcPr>
          <w:p>
            <w:pPr>
              <w:spacing w:after="20"/>
            </w:pPr>
            <w:r>
              <w:rPr>
                <w:color w:val="000000"/>
                <w:sz w:val="16"/>
              </w:rPr>
              <w:t>Direct recovered file</w:t>
            </w:r>
          </w:p>
        </w:tc>
        <w:tc>
          <w:tcPr>
            <w:tcW w:type="dxa" w:w="4824"/>
            <w:vAlign w:val="top"/>
          </w:tcPr>
          <w:p>
            <w:pPr>
              <w:spacing w:after="20"/>
            </w:pPr>
            <w:r>
              <w:rPr>
                <w:color w:val="000000"/>
                <w:sz w:val="16"/>
              </w:rPr>
              <w:t>A source file is present in the current workspace or File Library and contents were used as an anchor.</w:t>
            </w:r>
          </w:p>
        </w:tc>
        <w:tc>
          <w:tcPr>
            <w:tcW w:type="dxa" w:w="3600"/>
            <w:vAlign w:val="top"/>
          </w:tcPr>
          <w:p>
            <w:pPr>
              <w:spacing w:after="20"/>
            </w:pPr>
            <w:r>
              <w:rPr>
                <w:color w:val="000000"/>
                <w:sz w:val="16"/>
              </w:rPr>
              <w:t>Use as direct basis; still preserve hash and version.</w:t>
            </w:r>
          </w:p>
        </w:tc>
      </w:tr>
      <w:tr>
        <w:tc>
          <w:tcPr>
            <w:tcW w:type="dxa" w:w="2376"/>
            <w:vAlign w:val="top"/>
          </w:tcPr>
          <w:p>
            <w:pPr>
              <w:spacing w:after="20"/>
            </w:pPr>
            <w:r>
              <w:rPr>
                <w:color w:val="000000"/>
                <w:sz w:val="16"/>
              </w:rPr>
              <w:t>Gmail-located source</w:t>
            </w:r>
          </w:p>
        </w:tc>
        <w:tc>
          <w:tcPr>
            <w:tcW w:type="dxa" w:w="4824"/>
            <w:vAlign w:val="top"/>
          </w:tcPr>
          <w:p>
            <w:pPr>
              <w:spacing w:after="20"/>
            </w:pPr>
            <w:r>
              <w:rPr>
                <w:color w:val="000000"/>
                <w:sz w:val="16"/>
              </w:rPr>
              <w:t>Correspondence or attachment discovery confirms a manuscript or packet exists.</w:t>
            </w:r>
          </w:p>
        </w:tc>
        <w:tc>
          <w:tcPr>
            <w:tcW w:type="dxa" w:w="3600"/>
            <w:vAlign w:val="top"/>
          </w:tcPr>
          <w:p>
            <w:pPr>
              <w:spacing w:after="20"/>
            </w:pPr>
            <w:r>
              <w:rPr>
                <w:color w:val="000000"/>
                <w:sz w:val="16"/>
              </w:rPr>
              <w:t>Recover, save, hash, and import before final v1.0 treatment.</w:t>
            </w:r>
          </w:p>
        </w:tc>
      </w:tr>
      <w:tr>
        <w:tc>
          <w:tcPr>
            <w:tcW w:type="dxa" w:w="2376"/>
            <w:vAlign w:val="top"/>
          </w:tcPr>
          <w:p>
            <w:pPr>
              <w:spacing w:after="20"/>
            </w:pPr>
            <w:r>
              <w:rPr>
                <w:color w:val="000000"/>
                <w:sz w:val="16"/>
              </w:rPr>
              <w:t>Project-context located</w:t>
            </w:r>
          </w:p>
        </w:tc>
        <w:tc>
          <w:tcPr>
            <w:tcW w:type="dxa" w:w="4824"/>
            <w:vAlign w:val="top"/>
          </w:tcPr>
          <w:p>
            <w:pPr>
              <w:spacing w:after="20"/>
            </w:pPr>
            <w:r>
              <w:rPr>
                <w:color w:val="000000"/>
                <w:sz w:val="16"/>
              </w:rPr>
              <w:t>Account context or prior conversation summaries identify the lane.</w:t>
            </w:r>
          </w:p>
        </w:tc>
        <w:tc>
          <w:tcPr>
            <w:tcW w:type="dxa" w:w="3600"/>
            <w:vAlign w:val="top"/>
          </w:tcPr>
          <w:p>
            <w:pPr>
              <w:spacing w:after="20"/>
            </w:pPr>
            <w:r>
              <w:rPr>
                <w:color w:val="000000"/>
                <w:sz w:val="16"/>
              </w:rPr>
              <w:t>Use as scaffold; do not claim full source recovery.</w:t>
            </w:r>
          </w:p>
        </w:tc>
      </w:tr>
      <w:tr>
        <w:tc>
          <w:tcPr>
            <w:tcW w:type="dxa" w:w="2376"/>
            <w:vAlign w:val="top"/>
          </w:tcPr>
          <w:p>
            <w:pPr>
              <w:spacing w:after="20"/>
            </w:pPr>
            <w:r>
              <w:rPr>
                <w:color w:val="000000"/>
                <w:sz w:val="16"/>
              </w:rPr>
              <w:t>Reconstruction-required</w:t>
            </w:r>
          </w:p>
        </w:tc>
        <w:tc>
          <w:tcPr>
            <w:tcW w:type="dxa" w:w="4824"/>
            <w:vAlign w:val="top"/>
          </w:tcPr>
          <w:p>
            <w:pPr>
              <w:spacing w:after="20"/>
            </w:pPr>
            <w:r>
              <w:rPr>
                <w:color w:val="000000"/>
                <w:sz w:val="16"/>
              </w:rPr>
              <w:t>Only titles, themes, or prior instructions are available.</w:t>
            </w:r>
          </w:p>
        </w:tc>
        <w:tc>
          <w:tcPr>
            <w:tcW w:type="dxa" w:w="3600"/>
            <w:vAlign w:val="top"/>
          </w:tcPr>
          <w:p>
            <w:pPr>
              <w:spacing w:after="20"/>
            </w:pPr>
            <w:r>
              <w:rPr>
                <w:color w:val="000000"/>
                <w:sz w:val="16"/>
              </w:rPr>
              <w:t>Preserve as queue item until original files are found.</w:t>
            </w:r>
          </w:p>
        </w:tc>
      </w:tr>
      <w:tr>
        <w:tc>
          <w:tcPr>
            <w:tcW w:type="dxa" w:w="2376"/>
            <w:vAlign w:val="top"/>
          </w:tcPr>
          <w:p>
            <w:pPr>
              <w:spacing w:after="20"/>
            </w:pPr>
            <w:r>
              <w:rPr>
                <w:color w:val="000000"/>
                <w:sz w:val="16"/>
              </w:rPr>
              <w:t>External verification required</w:t>
            </w:r>
          </w:p>
        </w:tc>
        <w:tc>
          <w:tcPr>
            <w:tcW w:type="dxa" w:w="4824"/>
            <w:vAlign w:val="top"/>
          </w:tcPr>
          <w:p>
            <w:pPr>
              <w:spacing w:after="20"/>
            </w:pPr>
            <w:r>
              <w:rPr>
                <w:color w:val="000000"/>
                <w:sz w:val="16"/>
              </w:rPr>
              <w:t>Claims depend on outside facts, tests, clinical data, or legal determinations.</w:t>
            </w:r>
          </w:p>
        </w:tc>
        <w:tc>
          <w:tcPr>
            <w:tcW w:type="dxa" w:w="3600"/>
            <w:vAlign w:val="top"/>
          </w:tcPr>
          <w:p>
            <w:pPr>
              <w:spacing w:after="20"/>
            </w:pPr>
            <w:r>
              <w:rPr>
                <w:color w:val="000000"/>
                <w:sz w:val="16"/>
              </w:rPr>
              <w:t>Do not publish as fact without review and evidence.</w:t>
            </w:r>
          </w:p>
        </w:tc>
      </w:tr>
    </w:tbl>
    <w:p/>
    <w:p>
      <w:pPr>
        <w:pStyle w:val="Heading1"/>
        <w:keepNext/>
        <w:spacing w:before="160" w:after="80"/>
      </w:pPr>
      <w:r>
        <w:rPr>
          <w:color w:val="000000"/>
        </w:rPr>
        <w:t>Expanded Table of Contents</w:t>
      </w:r>
    </w:p>
    <w:p>
      <w:pPr>
        <w:pStyle w:val="ListBullet"/>
        <w:spacing w:after="100" w:line="259" w:lineRule="auto"/>
      </w:pPr>
      <w:r>
        <w:rPr>
          <w:b w:val="0"/>
          <w:i w:val="0"/>
          <w:color w:val="000000"/>
        </w:rPr>
        <w:t>Chapter 1 - Portfolio Thesis: One Architecture, Many Domains</w:t>
      </w:r>
    </w:p>
    <w:p>
      <w:pPr>
        <w:pStyle w:val="ListBullet"/>
        <w:spacing w:after="100" w:line="259" w:lineRule="auto"/>
      </w:pPr>
      <w:r>
        <w:rPr>
          <w:b w:val="0"/>
          <w:i w:val="0"/>
          <w:color w:val="000000"/>
        </w:rPr>
        <w:t>Chapter 2 - Worldshepherd 9675, BRD953, CRE1AWS, and BSARADGS</w:t>
      </w:r>
    </w:p>
    <w:p>
      <w:pPr>
        <w:pStyle w:val="ListBullet"/>
        <w:spacing w:after="100" w:line="259" w:lineRule="auto"/>
      </w:pPr>
      <w:r>
        <w:rPr>
          <w:b w:val="0"/>
          <w:i w:val="0"/>
          <w:color w:val="000000"/>
        </w:rPr>
        <w:t>Chapter 3 - Secure Access, Dynamic Relay Logic, and Post-Quantum Control Plane</w:t>
      </w:r>
    </w:p>
    <w:p>
      <w:pPr>
        <w:pStyle w:val="ListBullet"/>
        <w:spacing w:after="100" w:line="259" w:lineRule="auto"/>
      </w:pPr>
      <w:r>
        <w:rPr>
          <w:b w:val="0"/>
          <w:i w:val="0"/>
          <w:color w:val="000000"/>
        </w:rPr>
        <w:t>Chapter 4 - Command Ontology: Guardian, Oracle, Hive, Watchers, Ark, and Enochian Interface</w:t>
      </w:r>
    </w:p>
    <w:p>
      <w:pPr>
        <w:pStyle w:val="ListBullet"/>
        <w:spacing w:after="100" w:line="259" w:lineRule="auto"/>
      </w:pPr>
      <w:r>
        <w:rPr>
          <w:b w:val="0"/>
          <w:i w:val="0"/>
          <w:color w:val="000000"/>
        </w:rPr>
        <w:t>Chapter 5 - DIAS-C: Developmental Impact Attribution and Superuser Compensation</w:t>
      </w:r>
    </w:p>
    <w:p>
      <w:pPr>
        <w:pStyle w:val="ListBullet"/>
        <w:spacing w:after="100" w:line="259" w:lineRule="auto"/>
      </w:pPr>
      <w:r>
        <w:rPr>
          <w:b w:val="0"/>
          <w:i w:val="0"/>
          <w:color w:val="000000"/>
        </w:rPr>
        <w:t>Chapter 6 - BAROS: Biologically Adaptive Radiotherapy Optimization System</w:t>
      </w:r>
    </w:p>
    <w:p>
      <w:pPr>
        <w:pStyle w:val="ListBullet"/>
        <w:spacing w:after="100" w:line="259" w:lineRule="auto"/>
      </w:pPr>
      <w:r>
        <w:rPr>
          <w:b w:val="0"/>
          <w:i w:val="0"/>
          <w:color w:val="000000"/>
        </w:rPr>
        <w:t>Chapter 7 - BAROS Validation, Clinical Translation, and Hospital Economics</w:t>
      </w:r>
    </w:p>
    <w:p>
      <w:pPr>
        <w:pStyle w:val="ListBullet"/>
        <w:spacing w:after="100" w:line="259" w:lineRule="auto"/>
      </w:pPr>
      <w:r>
        <w:rPr>
          <w:b w:val="0"/>
          <w:i w:val="0"/>
          <w:color w:val="000000"/>
        </w:rPr>
        <w:t>Chapter 8 - Synthetic Repair Couplings and Human-Quality-of-Life Discovery Tracks</w:t>
      </w:r>
    </w:p>
    <w:p>
      <w:pPr>
        <w:pStyle w:val="ListBullet"/>
        <w:spacing w:after="100" w:line="259" w:lineRule="auto"/>
      </w:pPr>
      <w:r>
        <w:rPr>
          <w:b w:val="0"/>
          <w:i w:val="0"/>
          <w:color w:val="000000"/>
        </w:rPr>
        <w:t>Chapter 9 - WS-AlTi M1-MSZ-Prime Programmable Aluminum-Titanium Meta-Alloy</w:t>
      </w:r>
    </w:p>
    <w:p>
      <w:pPr>
        <w:pStyle w:val="ListBullet"/>
        <w:spacing w:after="100" w:line="259" w:lineRule="auto"/>
      </w:pPr>
      <w:r>
        <w:rPr>
          <w:b w:val="0"/>
          <w:i w:val="0"/>
          <w:color w:val="000000"/>
        </w:rPr>
        <w:t>Chapter 10 - Materials Compiler, Dual-Feed DED Hardware, and Spatial Zoning</w:t>
      </w:r>
    </w:p>
    <w:p>
      <w:pPr>
        <w:pStyle w:val="ListBullet"/>
        <w:spacing w:after="100" w:line="259" w:lineRule="auto"/>
      </w:pPr>
      <w:r>
        <w:rPr>
          <w:b w:val="0"/>
          <w:i w:val="0"/>
          <w:color w:val="000000"/>
        </w:rPr>
        <w:t>Chapter 11 - Programmable Electromagnetic Boundary Conditions</w:t>
      </w:r>
    </w:p>
    <w:p>
      <w:pPr>
        <w:pStyle w:val="ListBullet"/>
        <w:spacing w:after="100" w:line="259" w:lineRule="auto"/>
      </w:pPr>
      <w:r>
        <w:rPr>
          <w:b w:val="0"/>
          <w:i w:val="0"/>
          <w:color w:val="000000"/>
        </w:rPr>
        <w:t>Chapter 12 - BR3DGS, .XYZ Compiler, Secure-5, Red Grid, and Field-Linked Systems</w:t>
      </w:r>
    </w:p>
    <w:p>
      <w:pPr>
        <w:pStyle w:val="ListBullet"/>
        <w:spacing w:after="100" w:line="259" w:lineRule="auto"/>
      </w:pPr>
      <w:r>
        <w:rPr>
          <w:b w:val="0"/>
          <w:i w:val="0"/>
          <w:color w:val="000000"/>
        </w:rPr>
        <w:t>Chapter 13 - Bose-Davis Dispersion, Flamehold Model, Deep Earth Harmonic Mapping, and AI Interface Theory</w:t>
      </w:r>
    </w:p>
    <w:p>
      <w:pPr>
        <w:pStyle w:val="ListBullet"/>
        <w:spacing w:after="100" w:line="259" w:lineRule="auto"/>
      </w:pPr>
      <w:r>
        <w:rPr>
          <w:b w:val="0"/>
          <w:i w:val="0"/>
          <w:color w:val="000000"/>
        </w:rPr>
        <w:t>Chapter 14 - HIVE, WASP, AVIS, NOAHS ARK, Watchers, Sentinels, and Swarm Governance</w:t>
      </w:r>
    </w:p>
    <w:p>
      <w:pPr>
        <w:pStyle w:val="ListBullet"/>
        <w:spacing w:after="100" w:line="259" w:lineRule="auto"/>
      </w:pPr>
      <w:r>
        <w:rPr>
          <w:b w:val="0"/>
          <w:i w:val="0"/>
          <w:color w:val="000000"/>
        </w:rPr>
        <w:t>Chapter 15 - General Dynamics, Virgin Galactic, General Atomics, Boeing, Northrop Grumman, and Boston Dynamics Orientation Lanes</w:t>
      </w:r>
    </w:p>
    <w:p>
      <w:pPr>
        <w:pStyle w:val="ListBullet"/>
        <w:spacing w:after="100" w:line="259" w:lineRule="auto"/>
      </w:pPr>
      <w:r>
        <w:rPr>
          <w:b w:val="0"/>
          <w:i w:val="0"/>
          <w:color w:val="000000"/>
        </w:rPr>
        <w:t>Chapter 16 - General Atomics and the GDS Triad: Energy, Sensing, Autonomy, Stability, and Transition</w:t>
      </w:r>
    </w:p>
    <w:p>
      <w:pPr>
        <w:pStyle w:val="ListBullet"/>
        <w:spacing w:after="100" w:line="259" w:lineRule="auto"/>
      </w:pPr>
      <w:r>
        <w:rPr>
          <w:b w:val="0"/>
          <w:i w:val="0"/>
          <w:color w:val="000000"/>
        </w:rPr>
        <w:t>Chapter 17 - Orbital Command and Deep-Sea Technology Stack</w:t>
      </w:r>
    </w:p>
    <w:p>
      <w:pPr>
        <w:pStyle w:val="ListBullet"/>
        <w:spacing w:after="100" w:line="259" w:lineRule="auto"/>
      </w:pPr>
      <w:r>
        <w:rPr>
          <w:b w:val="0"/>
          <w:i w:val="0"/>
          <w:color w:val="000000"/>
        </w:rPr>
        <w:t>Chapter 18 - CTA-Aligned Dossier Families: AAI, BIO, LOG, Q-BID, SCADE, and SHY</w:t>
      </w:r>
    </w:p>
    <w:p>
      <w:pPr>
        <w:pStyle w:val="ListBullet"/>
        <w:spacing w:after="100" w:line="259" w:lineRule="auto"/>
      </w:pPr>
      <w:r>
        <w:rPr>
          <w:b w:val="0"/>
          <w:i w:val="0"/>
          <w:color w:val="000000"/>
        </w:rPr>
        <w:t>Chapter 19 - Secure Linux, SSH Hardening, Padawan Crypto Recovery, and Defensive Infrastructure</w:t>
      </w:r>
    </w:p>
    <w:p>
      <w:pPr>
        <w:pStyle w:val="ListBullet"/>
        <w:spacing w:after="100" w:line="259" w:lineRule="auto"/>
      </w:pPr>
      <w:r>
        <w:rPr>
          <w:b w:val="0"/>
          <w:i w:val="0"/>
          <w:color w:val="000000"/>
        </w:rPr>
        <w:t>Chapter 20 - Legacy Systems, DOSBox, BRD953 Workspace, and Project Shepherd DOS Edition</w:t>
      </w:r>
    </w:p>
    <w:p>
      <w:pPr>
        <w:pStyle w:val="ListBullet"/>
        <w:spacing w:after="100" w:line="259" w:lineRule="auto"/>
      </w:pPr>
      <w:r>
        <w:rPr>
          <w:b w:val="0"/>
          <w:i w:val="0"/>
          <w:color w:val="000000"/>
        </w:rPr>
        <w:t>Chapter 21 - ATSOP, UAP, Euphrates, DUMB, Flamehold, Crown Interface, Vault of Voices, and Seal Archive Families</w:t>
      </w:r>
    </w:p>
    <w:p>
      <w:pPr>
        <w:pStyle w:val="ListBullet"/>
        <w:spacing w:after="100" w:line="259" w:lineRule="auto"/>
      </w:pPr>
      <w:r>
        <w:rPr>
          <w:b w:val="0"/>
          <w:i w:val="0"/>
          <w:color w:val="000000"/>
        </w:rPr>
        <w:t>Chapter 22 - BRD953 Chronology, Seals, Identity Layers, and Archive Governance</w:t>
      </w:r>
    </w:p>
    <w:p>
      <w:pPr>
        <w:pStyle w:val="ListBullet"/>
        <w:spacing w:after="100" w:line="259" w:lineRule="auto"/>
      </w:pPr>
      <w:r>
        <w:rPr>
          <w:b w:val="0"/>
          <w:i w:val="0"/>
          <w:color w:val="000000"/>
        </w:rPr>
        <w:t>Chapter 23 - Data Room, Partner Outreach, and Packet Architecture</w:t>
      </w:r>
    </w:p>
    <w:p>
      <w:pPr>
        <w:pStyle w:val="ListBullet"/>
        <w:spacing w:after="100" w:line="259" w:lineRule="auto"/>
      </w:pPr>
      <w:r>
        <w:rPr>
          <w:b w:val="0"/>
          <w:i w:val="0"/>
          <w:color w:val="000000"/>
        </w:rPr>
        <w:t>Chapter 24 - Unified Claim Families and IP / Policy Strategy</w:t>
      </w:r>
    </w:p>
    <w:p>
      <w:pPr>
        <w:pStyle w:val="ListBullet"/>
        <w:spacing w:after="100" w:line="259" w:lineRule="auto"/>
      </w:pPr>
      <w:r>
        <w:rPr>
          <w:b w:val="0"/>
          <w:i w:val="0"/>
          <w:color w:val="000000"/>
        </w:rPr>
        <w:t>Chapter 25 - Evidence Preservation, Version Control, and Source Recovery Queue</w:t>
      </w:r>
    </w:p>
    <w:p>
      <w:pPr>
        <w:pStyle w:val="ListBullet"/>
        <w:spacing w:after="100" w:line="259" w:lineRule="auto"/>
      </w:pPr>
      <w:r>
        <w:rPr>
          <w:b w:val="0"/>
          <w:i w:val="0"/>
          <w:color w:val="000000"/>
        </w:rPr>
        <w:t>Chapter 26 - Master Roadmap: From Full Bloom Scaffold to Source-Complete Version 1.0</w:t>
      </w:r>
    </w:p>
    <w:p>
      <w:pPr>
        <w:pStyle w:val="ListBullet"/>
        <w:spacing w:after="100" w:line="259" w:lineRule="auto"/>
      </w:pPr>
      <w:r>
        <w:rPr>
          <w:b w:val="0"/>
          <w:i w:val="0"/>
          <w:color w:val="000000"/>
        </w:rPr>
        <w:t>Appendices - Glossary, Acronym Registry, Source Recovery Checklist, Validation Matrix, and Recommended Volume Split</w:t>
      </w:r>
    </w:p>
    <w:p>
      <w:r>
        <w:rPr>
          <w:color w:val="000000"/>
        </w:rPr>
        <w:br w:type="page"/>
      </w:r>
    </w:p>
    <w:p>
      <w:pPr>
        <w:pStyle w:val="Heading1"/>
        <w:keepNext/>
        <w:spacing w:before="160" w:after="80"/>
      </w:pPr>
      <w:r>
        <w:rPr>
          <w:color w:val="000000"/>
        </w:rPr>
        <w:t>Executive Synthesis</w:t>
      </w:r>
    </w:p>
    <w:p>
      <w:pPr>
        <w:spacing w:after="100" w:line="259" w:lineRule="auto"/>
      </w:pPr>
      <w:r>
        <w:rPr>
          <w:b w:val="0"/>
          <w:i w:val="0"/>
          <w:color w:val="000000"/>
        </w:rPr>
        <w:t>The Worldshepherd corpus reads as a portfolio of adaptive-control doctrines. The core idea repeats: complex systems can be improved by sensing state, modeling uncertainty, applying constrained intervention, observing response, and preserving the record. BAROS applies the pattern to radiotherapy planning. WS-AlTi applies it to programmable materials. Programmable EM boundary control applies it to fields. BSARADGS and secure access apply it to information governance. DIAS-C applies it to AI-user contribution economics. The command ontology applies it to multi-agent workflows.</w:t>
      </w:r>
    </w:p>
    <w:p>
      <w:pPr>
        <w:spacing w:after="100" w:line="259" w:lineRule="auto"/>
      </w:pPr>
      <w:r>
        <w:rPr>
          <w:b w:val="0"/>
          <w:i w:val="0"/>
          <w:color w:val="000000"/>
        </w:rPr>
        <w:t>The master book should not be the first document sent to outsiders. It is too broad by design. Its function is to preserve the whole architecture and generate clean specialized packets. The practical next move is source recovery: import the final BAROS manuscript, full DIAS-C packet, full WS-AlTi package, secure-access notes, theory manuscripts, and dossier files. Then Version 1.0 can become source-complete.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EDEDED"/>
          </w:tcPr>
          <w:p>
            <w:r>
              <w:rPr>
                <w:b/>
                <w:color w:val="000000"/>
                <w:sz w:val="16"/>
              </w:rPr>
              <w:t>Lane</w:t>
            </w:r>
          </w:p>
        </w:tc>
        <w:tc>
          <w:tcPr>
            <w:tcW w:type="dxa" w:w="2232"/>
            <w:shd w:fill="EDEDED"/>
          </w:tcPr>
          <w:p>
            <w:r>
              <w:rPr>
                <w:b/>
                <w:color w:val="000000"/>
                <w:sz w:val="16"/>
              </w:rPr>
              <w:t>Domain</w:t>
            </w:r>
          </w:p>
        </w:tc>
        <w:tc>
          <w:tcPr>
            <w:tcW w:type="dxa" w:w="3960"/>
            <w:shd w:fill="EDEDED"/>
          </w:tcPr>
          <w:p>
            <w:r>
              <w:rPr>
                <w:b/>
                <w:color w:val="000000"/>
                <w:sz w:val="16"/>
              </w:rPr>
              <w:t>Core contribution</w:t>
            </w:r>
          </w:p>
        </w:tc>
        <w:tc>
          <w:tcPr>
            <w:tcW w:type="dxa" w:w="2664"/>
            <w:shd w:fill="EDEDED"/>
          </w:tcPr>
          <w:p>
            <w:r>
              <w:rPr>
                <w:b/>
                <w:color w:val="000000"/>
                <w:sz w:val="16"/>
              </w:rPr>
              <w:t>Next output</w:t>
            </w:r>
          </w:p>
        </w:tc>
      </w:tr>
      <w:tr>
        <w:tc>
          <w:tcPr>
            <w:tcW w:type="dxa" w:w="1944"/>
            <w:vAlign w:val="top"/>
          </w:tcPr>
          <w:p>
            <w:pPr>
              <w:spacing w:after="20"/>
            </w:pPr>
            <w:r>
              <w:rPr>
                <w:color w:val="000000"/>
                <w:sz w:val="16"/>
              </w:rPr>
              <w:t>BAROS</w:t>
            </w:r>
          </w:p>
        </w:tc>
        <w:tc>
          <w:tcPr>
            <w:tcW w:type="dxa" w:w="2232"/>
            <w:vAlign w:val="top"/>
          </w:tcPr>
          <w:p>
            <w:pPr>
              <w:spacing w:after="20"/>
            </w:pPr>
            <w:r>
              <w:rPr>
                <w:color w:val="000000"/>
                <w:sz w:val="16"/>
              </w:rPr>
              <w:t>Medicine / radiation oncology</w:t>
            </w:r>
          </w:p>
        </w:tc>
        <w:tc>
          <w:tcPr>
            <w:tcW w:type="dxa" w:w="3960"/>
            <w:vAlign w:val="top"/>
          </w:tcPr>
          <w:p>
            <w:pPr>
              <w:spacing w:after="20"/>
            </w:pPr>
            <w:r>
              <w:rPr>
                <w:color w:val="000000"/>
                <w:sz w:val="16"/>
              </w:rPr>
              <w:t>Biologically adaptive optimization and TPS-governed dose recalculation</w:t>
            </w:r>
          </w:p>
        </w:tc>
        <w:tc>
          <w:tcPr>
            <w:tcW w:type="dxa" w:w="2664"/>
            <w:vAlign w:val="top"/>
          </w:tcPr>
          <w:p>
            <w:pPr>
              <w:spacing w:after="20"/>
            </w:pPr>
            <w:r>
              <w:rPr>
                <w:color w:val="000000"/>
                <w:sz w:val="16"/>
              </w:rPr>
              <w:t>Clinical reviewer packet</w:t>
            </w:r>
          </w:p>
        </w:tc>
      </w:tr>
      <w:tr>
        <w:tc>
          <w:tcPr>
            <w:tcW w:type="dxa" w:w="1944"/>
            <w:vAlign w:val="top"/>
          </w:tcPr>
          <w:p>
            <w:pPr>
              <w:spacing w:after="20"/>
            </w:pPr>
            <w:r>
              <w:rPr>
                <w:color w:val="000000"/>
                <w:sz w:val="16"/>
              </w:rPr>
              <w:t>DIAS-C</w:t>
            </w:r>
          </w:p>
        </w:tc>
        <w:tc>
          <w:tcPr>
            <w:tcW w:type="dxa" w:w="2232"/>
            <w:vAlign w:val="top"/>
          </w:tcPr>
          <w:p>
            <w:pPr>
              <w:spacing w:after="20"/>
            </w:pPr>
            <w:r>
              <w:rPr>
                <w:color w:val="000000"/>
                <w:sz w:val="16"/>
              </w:rPr>
              <w:t>Legal-policy / AI economics</w:t>
            </w:r>
          </w:p>
        </w:tc>
        <w:tc>
          <w:tcPr>
            <w:tcW w:type="dxa" w:w="3960"/>
            <w:vAlign w:val="top"/>
          </w:tcPr>
          <w:p>
            <w:pPr>
              <w:spacing w:after="20"/>
            </w:pPr>
            <w:r>
              <w:rPr>
                <w:color w:val="000000"/>
                <w:sz w:val="16"/>
              </w:rPr>
              <w:t>High-value user contribution attribution and compensation framework</w:t>
            </w:r>
          </w:p>
        </w:tc>
        <w:tc>
          <w:tcPr>
            <w:tcW w:type="dxa" w:w="2664"/>
            <w:vAlign w:val="top"/>
          </w:tcPr>
          <w:p>
            <w:pPr>
              <w:spacing w:after="20"/>
            </w:pPr>
            <w:r>
              <w:rPr>
                <w:color w:val="000000"/>
                <w:sz w:val="16"/>
              </w:rPr>
              <w:t>Counsel and policy packets</w:t>
            </w:r>
          </w:p>
        </w:tc>
      </w:tr>
      <w:tr>
        <w:tc>
          <w:tcPr>
            <w:tcW w:type="dxa" w:w="1944"/>
            <w:vAlign w:val="top"/>
          </w:tcPr>
          <w:p>
            <w:pPr>
              <w:spacing w:after="20"/>
            </w:pPr>
            <w:r>
              <w:rPr>
                <w:color w:val="000000"/>
                <w:sz w:val="16"/>
              </w:rPr>
              <w:t>WS-AlTi</w:t>
            </w:r>
          </w:p>
        </w:tc>
        <w:tc>
          <w:tcPr>
            <w:tcW w:type="dxa" w:w="2232"/>
            <w:vAlign w:val="top"/>
          </w:tcPr>
          <w:p>
            <w:pPr>
              <w:spacing w:after="20"/>
            </w:pPr>
            <w:r>
              <w:rPr>
                <w:color w:val="000000"/>
                <w:sz w:val="16"/>
              </w:rPr>
              <w:t>Materials / additive manufacturing</w:t>
            </w:r>
          </w:p>
        </w:tc>
        <w:tc>
          <w:tcPr>
            <w:tcW w:type="dxa" w:w="3960"/>
            <w:vAlign w:val="top"/>
          </w:tcPr>
          <w:p>
            <w:pPr>
              <w:spacing w:after="20"/>
            </w:pPr>
            <w:r>
              <w:rPr>
                <w:color w:val="000000"/>
                <w:sz w:val="16"/>
              </w:rPr>
              <w:t>Programmable deposited Al-Ti meta-alloy platform</w:t>
            </w:r>
          </w:p>
        </w:tc>
        <w:tc>
          <w:tcPr>
            <w:tcW w:type="dxa" w:w="2664"/>
            <w:vAlign w:val="top"/>
          </w:tcPr>
          <w:p>
            <w:pPr>
              <w:spacing w:after="20"/>
            </w:pPr>
            <w:r>
              <w:rPr>
                <w:color w:val="000000"/>
                <w:sz w:val="16"/>
              </w:rPr>
              <w:t>Provisional/coupon package</w:t>
            </w:r>
          </w:p>
        </w:tc>
      </w:tr>
      <w:tr>
        <w:tc>
          <w:tcPr>
            <w:tcW w:type="dxa" w:w="1944"/>
            <w:vAlign w:val="top"/>
          </w:tcPr>
          <w:p>
            <w:pPr>
              <w:spacing w:after="20"/>
            </w:pPr>
            <w:r>
              <w:rPr>
                <w:color w:val="000000"/>
                <w:sz w:val="16"/>
              </w:rPr>
              <w:t>Programmable EM Boundary</w:t>
            </w:r>
          </w:p>
        </w:tc>
        <w:tc>
          <w:tcPr>
            <w:tcW w:type="dxa" w:w="2232"/>
            <w:vAlign w:val="top"/>
          </w:tcPr>
          <w:p>
            <w:pPr>
              <w:spacing w:after="20"/>
            </w:pPr>
            <w:r>
              <w:rPr>
                <w:color w:val="000000"/>
                <w:sz w:val="16"/>
              </w:rPr>
              <w:t>Metasurfaces / field control</w:t>
            </w:r>
          </w:p>
        </w:tc>
        <w:tc>
          <w:tcPr>
            <w:tcW w:type="dxa" w:w="3960"/>
            <w:vAlign w:val="top"/>
          </w:tcPr>
          <w:p>
            <w:pPr>
              <w:spacing w:after="20"/>
            </w:pPr>
            <w:r>
              <w:rPr>
                <w:color w:val="000000"/>
                <w:sz w:val="16"/>
              </w:rPr>
              <w:t>Signed coupling and RF/material boundary control</w:t>
            </w:r>
          </w:p>
        </w:tc>
        <w:tc>
          <w:tcPr>
            <w:tcW w:type="dxa" w:w="2664"/>
            <w:vAlign w:val="top"/>
          </w:tcPr>
          <w:p>
            <w:pPr>
              <w:spacing w:after="20"/>
            </w:pPr>
            <w:r>
              <w:rPr>
                <w:color w:val="000000"/>
                <w:sz w:val="16"/>
              </w:rPr>
              <w:t>Benign simulation appendix</w:t>
            </w:r>
          </w:p>
        </w:tc>
      </w:tr>
      <w:tr>
        <w:tc>
          <w:tcPr>
            <w:tcW w:type="dxa" w:w="1944"/>
            <w:vAlign w:val="top"/>
          </w:tcPr>
          <w:p>
            <w:pPr>
              <w:spacing w:after="20"/>
            </w:pPr>
            <w:r>
              <w:rPr>
                <w:color w:val="000000"/>
                <w:sz w:val="16"/>
              </w:rPr>
              <w:t>BSARADGS / Secure Access</w:t>
            </w:r>
          </w:p>
        </w:tc>
        <w:tc>
          <w:tcPr>
            <w:tcW w:type="dxa" w:w="2232"/>
            <w:vAlign w:val="top"/>
          </w:tcPr>
          <w:p>
            <w:pPr>
              <w:spacing w:after="20"/>
            </w:pPr>
            <w:r>
              <w:rPr>
                <w:color w:val="000000"/>
                <w:sz w:val="16"/>
              </w:rPr>
              <w:t>Infrastructure / archive control</w:t>
            </w:r>
          </w:p>
        </w:tc>
        <w:tc>
          <w:tcPr>
            <w:tcW w:type="dxa" w:w="3960"/>
            <w:vAlign w:val="top"/>
          </w:tcPr>
          <w:p>
            <w:pPr>
              <w:spacing w:after="20"/>
            </w:pPr>
            <w:r>
              <w:rPr>
                <w:color w:val="000000"/>
                <w:sz w:val="16"/>
              </w:rPr>
              <w:t>Binding, secure, adaptive, relay, access, dynamic grid systems</w:t>
            </w:r>
          </w:p>
        </w:tc>
        <w:tc>
          <w:tcPr>
            <w:tcW w:type="dxa" w:w="2664"/>
            <w:vAlign w:val="top"/>
          </w:tcPr>
          <w:p>
            <w:pPr>
              <w:spacing w:after="20"/>
            </w:pPr>
            <w:r>
              <w:rPr>
                <w:color w:val="000000"/>
                <w:sz w:val="16"/>
              </w:rPr>
              <w:t>Data-room implementation</w:t>
            </w:r>
          </w:p>
        </w:tc>
      </w:tr>
      <w:tr>
        <w:tc>
          <w:tcPr>
            <w:tcW w:type="dxa" w:w="1944"/>
            <w:vAlign w:val="top"/>
          </w:tcPr>
          <w:p>
            <w:pPr>
              <w:spacing w:after="20"/>
            </w:pPr>
            <w:r>
              <w:rPr>
                <w:color w:val="000000"/>
                <w:sz w:val="16"/>
              </w:rPr>
              <w:t>Command Ontology</w:t>
            </w:r>
          </w:p>
        </w:tc>
        <w:tc>
          <w:tcPr>
            <w:tcW w:type="dxa" w:w="2232"/>
            <w:vAlign w:val="top"/>
          </w:tcPr>
          <w:p>
            <w:pPr>
              <w:spacing w:after="20"/>
            </w:pPr>
            <w:r>
              <w:rPr>
                <w:color w:val="000000"/>
                <w:sz w:val="16"/>
              </w:rPr>
              <w:t>AI systems / governance</w:t>
            </w:r>
          </w:p>
        </w:tc>
        <w:tc>
          <w:tcPr>
            <w:tcW w:type="dxa" w:w="3960"/>
            <w:vAlign w:val="top"/>
          </w:tcPr>
          <w:p>
            <w:pPr>
              <w:spacing w:after="20"/>
            </w:pPr>
            <w:r>
              <w:rPr>
                <w:color w:val="000000"/>
                <w:sz w:val="16"/>
              </w:rPr>
              <w:t>Guardian, Oracle, Hive, Watchers, Ark, Enochian roles</w:t>
            </w:r>
          </w:p>
        </w:tc>
        <w:tc>
          <w:tcPr>
            <w:tcW w:type="dxa" w:w="2664"/>
            <w:vAlign w:val="top"/>
          </w:tcPr>
          <w:p>
            <w:pPr>
              <w:spacing w:after="20"/>
            </w:pPr>
            <w:r>
              <w:rPr>
                <w:color w:val="000000"/>
                <w:sz w:val="16"/>
              </w:rPr>
              <w:t>Machine-readable ontology</w:t>
            </w:r>
          </w:p>
        </w:tc>
      </w:tr>
      <w:tr>
        <w:tc>
          <w:tcPr>
            <w:tcW w:type="dxa" w:w="1944"/>
            <w:vAlign w:val="top"/>
          </w:tcPr>
          <w:p>
            <w:pPr>
              <w:spacing w:after="20"/>
            </w:pPr>
            <w:r>
              <w:rPr>
                <w:color w:val="000000"/>
                <w:sz w:val="16"/>
              </w:rPr>
              <w:t>Dossier Archive</w:t>
            </w:r>
          </w:p>
        </w:tc>
        <w:tc>
          <w:tcPr>
            <w:tcW w:type="dxa" w:w="2232"/>
            <w:vAlign w:val="top"/>
          </w:tcPr>
          <w:p>
            <w:pPr>
              <w:spacing w:after="20"/>
            </w:pPr>
            <w:r>
              <w:rPr>
                <w:color w:val="000000"/>
                <w:sz w:val="16"/>
              </w:rPr>
              <w:t>Archive / disclosure</w:t>
            </w:r>
          </w:p>
        </w:tc>
        <w:tc>
          <w:tcPr>
            <w:tcW w:type="dxa" w:w="3960"/>
            <w:vAlign w:val="top"/>
          </w:tcPr>
          <w:p>
            <w:pPr>
              <w:spacing w:after="20"/>
            </w:pPr>
            <w:r>
              <w:rPr>
                <w:color w:val="000000"/>
                <w:sz w:val="16"/>
              </w:rPr>
              <w:t>ATSOP, UAP, Euphrates, DUMB, Flamehold, Seals</w:t>
            </w:r>
          </w:p>
        </w:tc>
        <w:tc>
          <w:tcPr>
            <w:tcW w:type="dxa" w:w="2664"/>
            <w:vAlign w:val="top"/>
          </w:tcPr>
          <w:p>
            <w:pPr>
              <w:spacing w:after="20"/>
            </w:pPr>
            <w:r>
              <w:rPr>
                <w:color w:val="000000"/>
                <w:sz w:val="16"/>
              </w:rPr>
              <w:t>Evidence-classified archive volume</w:t>
            </w:r>
          </w:p>
        </w:tc>
      </w:tr>
    </w:tbl>
    <w:p/>
    <w:p>
      <w:r>
        <w:rPr>
          <w:color w:val="000000"/>
        </w:rPr>
        <w:br w:type="page"/>
      </w:r>
    </w:p>
    <w:p>
      <w:pPr>
        <w:pStyle w:val="Heading1"/>
        <w:keepNext/>
        <w:spacing w:before="160" w:after="80"/>
      </w:pPr>
      <w:r>
        <w:rPr>
          <w:color w:val="000000"/>
        </w:rPr>
        <w:t>Part I - Root System, Governance, and Evidence Discipline</w:t>
      </w:r>
    </w:p>
    <w:p>
      <w:pPr>
        <w:pStyle w:val="IntenseQuote"/>
        <w:spacing w:after="100" w:line="259" w:lineRule="auto"/>
      </w:pPr>
      <w:r>
        <w:rPr>
          <w:b w:val="0"/>
          <w:i w:val="0"/>
          <w:color w:val="000000"/>
        </w:rPr>
        <w:t>This part groups related white-paper lanes into a coherent volume section. Each chapter expands the prior skeleton into a developed doctrine while preserving source posture and validation limits.</w:t>
      </w:r>
    </w:p>
    <w:p>
      <w:pPr>
        <w:pStyle w:val="Heading1"/>
        <w:keepNext/>
        <w:spacing w:before="160" w:after="80"/>
      </w:pPr>
      <w:r>
        <w:rPr>
          <w:color w:val="000000"/>
        </w:rPr>
        <w:t>Chapter 1 - Portfolio Thesis: One Architecture, Many Domains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Account-wide synthesis</w:t>
            </w:r>
          </w:p>
        </w:tc>
        <w:tc>
          <w:tcPr>
            <w:tcW w:type="dxa" w:w="2880"/>
            <w:vAlign w:val="top"/>
          </w:tcPr>
          <w:p>
            <w:pPr>
              <w:spacing w:after="20"/>
            </w:pPr>
            <w:r>
              <w:rPr>
                <w:color w:val="000000"/>
                <w:sz w:val="16"/>
              </w:rPr>
              <w:t>Source-map chapter</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Source-map chapter into a developed book section. Its controlling idea is closed-loop influence under constraints across medicine, materials, EM control, autonomy, secure infrastructure, legal-policy, and dossier archives.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source/model/implementation/governance/commercial/archive layers.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source/model/implementation/governance/commercial/archive layers</w:t>
            </w:r>
          </w:p>
        </w:tc>
        <w:tc>
          <w:tcPr>
            <w:tcW w:type="dxa" w:w="5904"/>
            <w:vAlign w:val="top"/>
          </w:tcPr>
          <w:p>
            <w:pPr>
              <w:spacing w:after="20"/>
            </w:pPr>
            <w:r>
              <w:rPr>
                <w:color w:val="000000"/>
                <w:sz w:val="16"/>
              </w:rPr>
              <w:t>Define function, source status, inputs, outputs, validation method, and external-use boundary for source/model/implementation/governance/commercial/archive layers.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master book, volume split, source matrix, packet map.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portfolio coherence, version discipline, and audience-specific packets.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master book, volume split, source matrix, packet map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over-aggregation, audience mismatch, and false completeness.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master book.</w:t>
      </w:r>
    </w:p>
    <w:p>
      <w:pPr>
        <w:pStyle w:val="ListBullet"/>
        <w:spacing w:after="100" w:line="259" w:lineRule="auto"/>
      </w:pPr>
      <w:r>
        <w:rPr>
          <w:b w:val="0"/>
          <w:i w:val="0"/>
          <w:color w:val="000000"/>
        </w:rPr>
        <w:t>volume split.</w:t>
      </w:r>
    </w:p>
    <w:p>
      <w:pPr>
        <w:pStyle w:val="ListBullet"/>
        <w:spacing w:after="100" w:line="259" w:lineRule="auto"/>
      </w:pPr>
      <w:r>
        <w:rPr>
          <w:b w:val="0"/>
          <w:i w:val="0"/>
          <w:color w:val="000000"/>
        </w:rPr>
        <w:t>source matrix.</w:t>
      </w:r>
    </w:p>
    <w:p>
      <w:pPr>
        <w:pStyle w:val="ListBullet"/>
        <w:spacing w:after="100" w:line="259" w:lineRule="auto"/>
      </w:pPr>
      <w:r>
        <w:rPr>
          <w:b w:val="0"/>
          <w:i w:val="0"/>
          <w:color w:val="000000"/>
        </w:rPr>
        <w:t>packet map.</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Portfolio Thesis: One Architecture, Many Domains architecture map showing source status, control flow, validation gates, and external-packet route.</w:t>
      </w:r>
    </w:p>
    <w:p>
      <w:pPr>
        <w:pStyle w:val="IntenseQuote"/>
        <w:spacing w:after="100" w:line="259" w:lineRule="auto"/>
      </w:pPr>
      <w:r>
        <w:rPr>
          <w:b w:val="0"/>
          <w:i w:val="0"/>
          <w:color w:val="000000"/>
        </w:rPr>
        <w:t>Caption: Evidence matrix for Portfolio Thesis: One Architecture, Many Domains,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2 - Worldshepherd 9675, BRD953, CRE1AWS, and BSARADGS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 BSARADGS canonical</w:t>
            </w:r>
          </w:p>
        </w:tc>
        <w:tc>
          <w:tcPr>
            <w:tcW w:type="dxa" w:w="2880"/>
            <w:vAlign w:val="top"/>
          </w:tcPr>
          <w:p>
            <w:pPr>
              <w:spacing w:after="20"/>
            </w:pPr>
            <w:r>
              <w:rPr>
                <w:color w:val="000000"/>
                <w:sz w:val="16"/>
              </w:rPr>
              <w:t>Namespace and governance layer</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Namespace and governance layer into a developed book section. Its controlling idea is a stable project namespace that converts internal labels into reviewer-readable functions.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identity, authorization label, contact spine, secure-access layer, dynamic-grid layer, archive ledger.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identity</w:t>
            </w:r>
          </w:p>
        </w:tc>
        <w:tc>
          <w:tcPr>
            <w:tcW w:type="dxa" w:w="5904"/>
            <w:vAlign w:val="top"/>
          </w:tcPr>
          <w:p>
            <w:pPr>
              <w:spacing w:after="20"/>
            </w:pPr>
            <w:r>
              <w:rPr>
                <w:color w:val="000000"/>
                <w:sz w:val="16"/>
              </w:rPr>
              <w:t>Define function, source status, inputs, outputs, validation method, and external-use boundary for identity.</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authorization label</w:t>
            </w:r>
          </w:p>
        </w:tc>
        <w:tc>
          <w:tcPr>
            <w:tcW w:type="dxa" w:w="5904"/>
            <w:vAlign w:val="top"/>
          </w:tcPr>
          <w:p>
            <w:pPr>
              <w:spacing w:after="20"/>
            </w:pPr>
            <w:r>
              <w:rPr>
                <w:color w:val="000000"/>
                <w:sz w:val="16"/>
              </w:rPr>
              <w:t>Define function, source status, inputs, outputs, validation method, and external-use boundary for authorization label.</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contact spine</w:t>
            </w:r>
          </w:p>
        </w:tc>
        <w:tc>
          <w:tcPr>
            <w:tcW w:type="dxa" w:w="5904"/>
            <w:vAlign w:val="top"/>
          </w:tcPr>
          <w:p>
            <w:pPr>
              <w:spacing w:after="20"/>
            </w:pPr>
            <w:r>
              <w:rPr>
                <w:color w:val="000000"/>
                <w:sz w:val="16"/>
              </w:rPr>
              <w:t>Define function, source status, inputs, outputs, validation method, and external-use boundary for contact spine.</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secure-access layer</w:t>
            </w:r>
          </w:p>
        </w:tc>
        <w:tc>
          <w:tcPr>
            <w:tcW w:type="dxa" w:w="5904"/>
            <w:vAlign w:val="top"/>
          </w:tcPr>
          <w:p>
            <w:pPr>
              <w:spacing w:after="20"/>
            </w:pPr>
            <w:r>
              <w:rPr>
                <w:color w:val="000000"/>
                <w:sz w:val="16"/>
              </w:rPr>
              <w:t>Define function, source status, inputs, outputs, validation method, and external-use boundary for secure-access layer.</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dynamic-grid layer</w:t>
            </w:r>
          </w:p>
        </w:tc>
        <w:tc>
          <w:tcPr>
            <w:tcW w:type="dxa" w:w="5904"/>
            <w:vAlign w:val="top"/>
          </w:tcPr>
          <w:p>
            <w:pPr>
              <w:spacing w:after="20"/>
            </w:pPr>
            <w:r>
              <w:rPr>
                <w:color w:val="000000"/>
                <w:sz w:val="16"/>
              </w:rPr>
              <w:t>Define function, source status, inputs, outputs, validation method, and external-use boundary for dynamic-grid layer.</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archive ledger</w:t>
            </w:r>
          </w:p>
        </w:tc>
        <w:tc>
          <w:tcPr>
            <w:tcW w:type="dxa" w:w="5904"/>
            <w:vAlign w:val="top"/>
          </w:tcPr>
          <w:p>
            <w:pPr>
              <w:spacing w:after="20"/>
            </w:pPr>
            <w:r>
              <w:rPr>
                <w:color w:val="000000"/>
                <w:sz w:val="16"/>
              </w:rPr>
              <w:t>Define function, source status, inputs, outputs, validation method, and external-use boundary for archive ledger.</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namespace registry, acronym correction log, chronology.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canonical name registry, first-use chronology, and public/private term map.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namespace registry, acronym correction log, chronology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semantic overload, legacy spelling drift, and misuse of authorization labels.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namespace registry.</w:t>
      </w:r>
    </w:p>
    <w:p>
      <w:pPr>
        <w:pStyle w:val="ListBullet"/>
        <w:spacing w:after="100" w:line="259" w:lineRule="auto"/>
      </w:pPr>
      <w:r>
        <w:rPr>
          <w:b w:val="0"/>
          <w:i w:val="0"/>
          <w:color w:val="000000"/>
        </w:rPr>
        <w:t>acronym correction log.</w:t>
      </w:r>
    </w:p>
    <w:p>
      <w:pPr>
        <w:pStyle w:val="ListBullet"/>
        <w:spacing w:after="100" w:line="259" w:lineRule="auto"/>
      </w:pPr>
      <w:r>
        <w:rPr>
          <w:b w:val="0"/>
          <w:i w:val="0"/>
          <w:color w:val="000000"/>
        </w:rPr>
        <w:t>chronology.</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Worldshepherd 9675, BRD953, CRE1AWS, and BSARADGS architecture map showing source status, control flow, validation gates, and external-packet route.</w:t>
      </w:r>
    </w:p>
    <w:p>
      <w:pPr>
        <w:pStyle w:val="IntenseQuote"/>
        <w:spacing w:after="100" w:line="259" w:lineRule="auto"/>
      </w:pPr>
      <w:r>
        <w:rPr>
          <w:b w:val="0"/>
          <w:i w:val="0"/>
          <w:color w:val="000000"/>
        </w:rPr>
        <w:t>Caption: Evidence matrix for Worldshepherd 9675, BRD953, CRE1AWS, and BSARADGS,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3 - Secure Access, Dynamic Relay Logic, and Post-Quantum Control Plane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 and infrastructure history</w:t>
            </w:r>
          </w:p>
        </w:tc>
        <w:tc>
          <w:tcPr>
            <w:tcW w:type="dxa" w:w="2880"/>
            <w:vAlign w:val="top"/>
          </w:tcPr>
          <w:p>
            <w:pPr>
              <w:spacing w:after="20"/>
            </w:pPr>
            <w:r>
              <w:rPr>
                <w:color w:val="000000"/>
                <w:sz w:val="16"/>
              </w:rPr>
              <w:t>Defensive infrastructure / data-room lane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Defensive infrastructure / data-room lane into a developed book section. Its controlling idea is controlled access, endpoint trust, version control, secure export, and evidence-grade relay workflows.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identity proofing, endpoint trust, role-based access, hash ledger, export log, future crypto posture.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identity proofing</w:t>
            </w:r>
          </w:p>
        </w:tc>
        <w:tc>
          <w:tcPr>
            <w:tcW w:type="dxa" w:w="5904"/>
            <w:vAlign w:val="top"/>
          </w:tcPr>
          <w:p>
            <w:pPr>
              <w:spacing w:after="20"/>
            </w:pPr>
            <w:r>
              <w:rPr>
                <w:color w:val="000000"/>
                <w:sz w:val="16"/>
              </w:rPr>
              <w:t>Define function, source status, inputs, outputs, validation method, and external-use boundary for identity proofing.</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endpoint trust</w:t>
            </w:r>
          </w:p>
        </w:tc>
        <w:tc>
          <w:tcPr>
            <w:tcW w:type="dxa" w:w="5904"/>
            <w:vAlign w:val="top"/>
          </w:tcPr>
          <w:p>
            <w:pPr>
              <w:spacing w:after="20"/>
            </w:pPr>
            <w:r>
              <w:rPr>
                <w:color w:val="000000"/>
                <w:sz w:val="16"/>
              </w:rPr>
              <w:t>Define function, source status, inputs, outputs, validation method, and external-use boundary for endpoint trust.</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role-based access</w:t>
            </w:r>
          </w:p>
        </w:tc>
        <w:tc>
          <w:tcPr>
            <w:tcW w:type="dxa" w:w="5904"/>
            <w:vAlign w:val="top"/>
          </w:tcPr>
          <w:p>
            <w:pPr>
              <w:spacing w:after="20"/>
            </w:pPr>
            <w:r>
              <w:rPr>
                <w:color w:val="000000"/>
                <w:sz w:val="16"/>
              </w:rPr>
              <w:t>Define function, source status, inputs, outputs, validation method, and external-use boundary for role-based access.</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hash ledger</w:t>
            </w:r>
          </w:p>
        </w:tc>
        <w:tc>
          <w:tcPr>
            <w:tcW w:type="dxa" w:w="5904"/>
            <w:vAlign w:val="top"/>
          </w:tcPr>
          <w:p>
            <w:pPr>
              <w:spacing w:after="20"/>
            </w:pPr>
            <w:r>
              <w:rPr>
                <w:color w:val="000000"/>
                <w:sz w:val="16"/>
              </w:rPr>
              <w:t>Define function, source status, inputs, outputs, validation method, and external-use boundary for hash ledger.</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export log</w:t>
            </w:r>
          </w:p>
        </w:tc>
        <w:tc>
          <w:tcPr>
            <w:tcW w:type="dxa" w:w="5904"/>
            <w:vAlign w:val="top"/>
          </w:tcPr>
          <w:p>
            <w:pPr>
              <w:spacing w:after="20"/>
            </w:pPr>
            <w:r>
              <w:rPr>
                <w:color w:val="000000"/>
                <w:sz w:val="16"/>
              </w:rPr>
              <w:t>Define function, source status, inputs, outputs, validation method, and external-use boundary for export log.</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future crypto posture</w:t>
            </w:r>
          </w:p>
        </w:tc>
        <w:tc>
          <w:tcPr>
            <w:tcW w:type="dxa" w:w="5904"/>
            <w:vAlign w:val="top"/>
          </w:tcPr>
          <w:p>
            <w:pPr>
              <w:spacing w:after="20"/>
            </w:pPr>
            <w:r>
              <w:rPr>
                <w:color w:val="000000"/>
                <w:sz w:val="16"/>
              </w:rPr>
              <w:t>Define function, source status, inputs, outputs, validation method, and external-use boundary for future crypto posture.</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secure data-room specification, export ledger, reviewer role matrix.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reconstructability of file custody and ability to explain who saw what, when, and why.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secure data-room specification, export ledger, reviewer role matrix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secret leakage, overclaiming post-quantum status, version chaos.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secure data-room specification.</w:t>
      </w:r>
    </w:p>
    <w:p>
      <w:pPr>
        <w:pStyle w:val="ListBullet"/>
        <w:spacing w:after="100" w:line="259" w:lineRule="auto"/>
      </w:pPr>
      <w:r>
        <w:rPr>
          <w:b w:val="0"/>
          <w:i w:val="0"/>
          <w:color w:val="000000"/>
        </w:rPr>
        <w:t>export ledger.</w:t>
      </w:r>
    </w:p>
    <w:p>
      <w:pPr>
        <w:pStyle w:val="ListBullet"/>
        <w:spacing w:after="100" w:line="259" w:lineRule="auto"/>
      </w:pPr>
      <w:r>
        <w:rPr>
          <w:b w:val="0"/>
          <w:i w:val="0"/>
          <w:color w:val="000000"/>
        </w:rPr>
        <w:t>reviewer role matrix.</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Secure Access, Dynamic Relay Logic, and Post-Quantum Control Plane architecture map showing source status, control flow, validation gates, and external-packet route.</w:t>
      </w:r>
    </w:p>
    <w:p>
      <w:pPr>
        <w:pStyle w:val="IntenseQuote"/>
        <w:spacing w:after="100" w:line="259" w:lineRule="auto"/>
      </w:pPr>
      <w:r>
        <w:rPr>
          <w:b w:val="0"/>
          <w:i w:val="0"/>
          <w:color w:val="000000"/>
        </w:rPr>
        <w:t>Caption: Evidence matrix for Secure Access, Dynamic Relay Logic, and Post-Quantum Control Plane,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4 - Command Ontology: Guardian, Oracle, Hive, Watchers, Ark, and Enochian Interface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memory</w:t>
            </w:r>
          </w:p>
        </w:tc>
        <w:tc>
          <w:tcPr>
            <w:tcW w:type="dxa" w:w="2880"/>
            <w:vAlign w:val="top"/>
          </w:tcPr>
          <w:p>
            <w:pPr>
              <w:spacing w:after="20"/>
            </w:pPr>
            <w:r>
              <w:rPr>
                <w:color w:val="000000"/>
                <w:sz w:val="16"/>
              </w:rPr>
              <w:t>Systems ontology</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Systems ontology into a developed book section. Its controlling idea is functional decomposition of intelligent systems into sensing, forecasting, intent translation, negotiation, constraint enforcement, and recovery.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Watchers observe, Oracle forecasts, Enochian translates, Hive negotiates, Guardian constrains, Ark preserves.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Watchers observe</w:t>
            </w:r>
          </w:p>
        </w:tc>
        <w:tc>
          <w:tcPr>
            <w:tcW w:type="dxa" w:w="5904"/>
            <w:vAlign w:val="top"/>
          </w:tcPr>
          <w:p>
            <w:pPr>
              <w:spacing w:after="20"/>
            </w:pPr>
            <w:r>
              <w:rPr>
                <w:color w:val="000000"/>
                <w:sz w:val="16"/>
              </w:rPr>
              <w:t>Define function, source status, inputs, outputs, validation method, and external-use boundary for Watchers observe.</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Oracle forecasts</w:t>
            </w:r>
          </w:p>
        </w:tc>
        <w:tc>
          <w:tcPr>
            <w:tcW w:type="dxa" w:w="5904"/>
            <w:vAlign w:val="top"/>
          </w:tcPr>
          <w:p>
            <w:pPr>
              <w:spacing w:after="20"/>
            </w:pPr>
            <w:r>
              <w:rPr>
                <w:color w:val="000000"/>
                <w:sz w:val="16"/>
              </w:rPr>
              <w:t>Define function, source status, inputs, outputs, validation method, and external-use boundary for Oracle forecasts.</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Enochian translates</w:t>
            </w:r>
          </w:p>
        </w:tc>
        <w:tc>
          <w:tcPr>
            <w:tcW w:type="dxa" w:w="5904"/>
            <w:vAlign w:val="top"/>
          </w:tcPr>
          <w:p>
            <w:pPr>
              <w:spacing w:after="20"/>
            </w:pPr>
            <w:r>
              <w:rPr>
                <w:color w:val="000000"/>
                <w:sz w:val="16"/>
              </w:rPr>
              <w:t>Define function, source status, inputs, outputs, validation method, and external-use boundary for Enochian translates.</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Hive negotiates</w:t>
            </w:r>
          </w:p>
        </w:tc>
        <w:tc>
          <w:tcPr>
            <w:tcW w:type="dxa" w:w="5904"/>
            <w:vAlign w:val="top"/>
          </w:tcPr>
          <w:p>
            <w:pPr>
              <w:spacing w:after="20"/>
            </w:pPr>
            <w:r>
              <w:rPr>
                <w:color w:val="000000"/>
                <w:sz w:val="16"/>
              </w:rPr>
              <w:t>Define function, source status, inputs, outputs, validation method, and external-use boundary for Hive negotiates.</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Guardian constrains</w:t>
            </w:r>
          </w:p>
        </w:tc>
        <w:tc>
          <w:tcPr>
            <w:tcW w:type="dxa" w:w="5904"/>
            <w:vAlign w:val="top"/>
          </w:tcPr>
          <w:p>
            <w:pPr>
              <w:spacing w:after="20"/>
            </w:pPr>
            <w:r>
              <w:rPr>
                <w:color w:val="000000"/>
                <w:sz w:val="16"/>
              </w:rPr>
              <w:t>Define function, source status, inputs, outputs, validation method, and external-use boundary for Guardian constrains.</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Ark preserves</w:t>
            </w:r>
          </w:p>
        </w:tc>
        <w:tc>
          <w:tcPr>
            <w:tcW w:type="dxa" w:w="5904"/>
            <w:vAlign w:val="top"/>
          </w:tcPr>
          <w:p>
            <w:pPr>
              <w:spacing w:after="20"/>
            </w:pPr>
            <w:r>
              <w:rPr>
                <w:color w:val="000000"/>
                <w:sz w:val="16"/>
              </w:rPr>
              <w:t>Define function, source status, inputs, outputs, validation method, and external-use boundary for Ark preserves.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ontology spec, JSON schema, role-to-component map.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benign test cases showing each component blocking, forecasting, negotiating, logging, or recovering.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ontology spec, JSON schema, role-to-component map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symbolic language being mistaken for external deployment.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ontology spec.</w:t>
      </w:r>
    </w:p>
    <w:p>
      <w:pPr>
        <w:pStyle w:val="ListBullet"/>
        <w:spacing w:after="100" w:line="259" w:lineRule="auto"/>
      </w:pPr>
      <w:r>
        <w:rPr>
          <w:b w:val="0"/>
          <w:i w:val="0"/>
          <w:color w:val="000000"/>
        </w:rPr>
        <w:t>JSON schema.</w:t>
      </w:r>
    </w:p>
    <w:p>
      <w:pPr>
        <w:pStyle w:val="ListBullet"/>
        <w:spacing w:after="100" w:line="259" w:lineRule="auto"/>
      </w:pPr>
      <w:r>
        <w:rPr>
          <w:b w:val="0"/>
          <w:i w:val="0"/>
          <w:color w:val="000000"/>
        </w:rPr>
        <w:t>role-to-component map.</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Command Ontology: Guardian, Oracle, Hive, Watchers, Ark, and Enochian Interface architecture map showing source status, control flow, validation gates, and external-packet route.</w:t>
      </w:r>
    </w:p>
    <w:p>
      <w:pPr>
        <w:pStyle w:val="IntenseQuote"/>
        <w:spacing w:after="100" w:line="259" w:lineRule="auto"/>
      </w:pPr>
      <w:r>
        <w:rPr>
          <w:b w:val="0"/>
          <w:i w:val="0"/>
          <w:color w:val="000000"/>
        </w:rPr>
        <w:t>Caption: Evidence matrix for Command Ontology: Guardian, Oracle, Hive, Watchers, Ark, and Enochian Interface,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5 - DIAS-C: Developmental Impact Attribution and Superuser Compensation</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Gmail/context located counsel packet</w:t>
            </w:r>
          </w:p>
        </w:tc>
        <w:tc>
          <w:tcPr>
            <w:tcW w:type="dxa" w:w="2880"/>
            <w:vAlign w:val="top"/>
          </w:tcPr>
          <w:p>
            <w:pPr>
              <w:spacing w:after="20"/>
            </w:pPr>
            <w:r>
              <w:rPr>
                <w:color w:val="000000"/>
                <w:sz w:val="16"/>
              </w:rPr>
              <w:t>Legal-policy framework</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Legal-policy framework into a developed book section. Its controlling idea is a structured way to analyze high-information-value AI-user contribution streams, evidence, release alignment, and potential compensation models.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contribution corpus, evidence ladder, category weighting, impact model, rights-reservation history, remedy review.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contribution corpus</w:t>
            </w:r>
          </w:p>
        </w:tc>
        <w:tc>
          <w:tcPr>
            <w:tcW w:type="dxa" w:w="5904"/>
            <w:vAlign w:val="top"/>
          </w:tcPr>
          <w:p>
            <w:pPr>
              <w:spacing w:after="20"/>
            </w:pPr>
            <w:r>
              <w:rPr>
                <w:color w:val="000000"/>
                <w:sz w:val="16"/>
              </w:rPr>
              <w:t>Define function, source status, inputs, outputs, validation method, and external-use boundary for contribution corpus.</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evidence ladder</w:t>
            </w:r>
          </w:p>
        </w:tc>
        <w:tc>
          <w:tcPr>
            <w:tcW w:type="dxa" w:w="5904"/>
            <w:vAlign w:val="top"/>
          </w:tcPr>
          <w:p>
            <w:pPr>
              <w:spacing w:after="20"/>
            </w:pPr>
            <w:r>
              <w:rPr>
                <w:color w:val="000000"/>
                <w:sz w:val="16"/>
              </w:rPr>
              <w:t>Define function, source status, inputs, outputs, validation method, and external-use boundary for evidence ladder.</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category weighting</w:t>
            </w:r>
          </w:p>
        </w:tc>
        <w:tc>
          <w:tcPr>
            <w:tcW w:type="dxa" w:w="5904"/>
            <w:vAlign w:val="top"/>
          </w:tcPr>
          <w:p>
            <w:pPr>
              <w:spacing w:after="20"/>
            </w:pPr>
            <w:r>
              <w:rPr>
                <w:color w:val="000000"/>
                <w:sz w:val="16"/>
              </w:rPr>
              <w:t>Define function, source status, inputs, outputs, validation method, and external-use boundary for category weighting.</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impact model</w:t>
            </w:r>
          </w:p>
        </w:tc>
        <w:tc>
          <w:tcPr>
            <w:tcW w:type="dxa" w:w="5904"/>
            <w:vAlign w:val="top"/>
          </w:tcPr>
          <w:p>
            <w:pPr>
              <w:spacing w:after="20"/>
            </w:pPr>
            <w:r>
              <w:rPr>
                <w:color w:val="000000"/>
                <w:sz w:val="16"/>
              </w:rPr>
              <w:t>Define function, source status, inputs, outputs, validation method, and external-use boundary for impact model.</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rights-reservation history</w:t>
            </w:r>
          </w:p>
        </w:tc>
        <w:tc>
          <w:tcPr>
            <w:tcW w:type="dxa" w:w="5904"/>
            <w:vAlign w:val="top"/>
          </w:tcPr>
          <w:p>
            <w:pPr>
              <w:spacing w:after="20"/>
            </w:pPr>
            <w:r>
              <w:rPr>
                <w:color w:val="000000"/>
                <w:sz w:val="16"/>
              </w:rPr>
              <w:t>Define function, source status, inputs, outputs, validation method, and external-use boundary for rights-reservation history.</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remedy review</w:t>
            </w:r>
          </w:p>
        </w:tc>
        <w:tc>
          <w:tcPr>
            <w:tcW w:type="dxa" w:w="5904"/>
            <w:vAlign w:val="top"/>
          </w:tcPr>
          <w:p>
            <w:pPr>
              <w:spacing w:after="20"/>
            </w:pPr>
            <w:r>
              <w:rPr>
                <w:color w:val="000000"/>
                <w:sz w:val="16"/>
              </w:rPr>
              <w:t>Define function, source status, inputs, outputs, validation method, and external-use boundary for remedy review.</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attorney packet, policy edition, evidence checklist.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release chronology, exhibit index, preserved corpus, and counsel-reviewed uncertainty language.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attorney packet, policy edition, evidence checklist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causation overclaim, grievance framing, and legal conclusions without counsel.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attorney packet.</w:t>
      </w:r>
    </w:p>
    <w:p>
      <w:pPr>
        <w:pStyle w:val="ListBullet"/>
        <w:spacing w:after="100" w:line="259" w:lineRule="auto"/>
      </w:pPr>
      <w:r>
        <w:rPr>
          <w:b w:val="0"/>
          <w:i w:val="0"/>
          <w:color w:val="000000"/>
        </w:rPr>
        <w:t>policy edition.</w:t>
      </w:r>
    </w:p>
    <w:p>
      <w:pPr>
        <w:pStyle w:val="ListBullet"/>
        <w:spacing w:after="100" w:line="259" w:lineRule="auto"/>
      </w:pPr>
      <w:r>
        <w:rPr>
          <w:b w:val="0"/>
          <w:i w:val="0"/>
          <w:color w:val="000000"/>
        </w:rPr>
        <w:t>evidence checklist.</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DIAS-C: Developmental Impact Attribution and Superuser Compensation architecture map showing source status, control flow, validation gates, and external-packet route.</w:t>
      </w:r>
    </w:p>
    <w:p>
      <w:pPr>
        <w:pStyle w:val="IntenseQuote"/>
        <w:spacing w:after="100" w:line="259" w:lineRule="auto"/>
      </w:pPr>
      <w:r>
        <w:rPr>
          <w:b w:val="0"/>
          <w:i w:val="0"/>
          <w:color w:val="000000"/>
        </w:rPr>
        <w:t>Caption: Evidence matrix for DIAS-C: Developmental Impact Attribution and Superuser Compensation,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r>
        <w:rPr>
          <w:color w:val="000000"/>
        </w:rPr>
        <w:br w:type="page"/>
      </w:r>
    </w:p>
    <w:p>
      <w:pPr>
        <w:pStyle w:val="Heading1"/>
        <w:keepNext/>
        <w:spacing w:before="160" w:after="80"/>
      </w:pPr>
      <w:r>
        <w:rPr>
          <w:color w:val="000000"/>
        </w:rPr>
        <w:t>Part II - Medicine, Biology, and Controlled Influence in Living Systems</w:t>
      </w:r>
    </w:p>
    <w:p>
      <w:pPr>
        <w:pStyle w:val="IntenseQuote"/>
        <w:spacing w:after="100" w:line="259" w:lineRule="auto"/>
      </w:pPr>
      <w:r>
        <w:rPr>
          <w:b w:val="0"/>
          <w:i w:val="0"/>
          <w:color w:val="000000"/>
        </w:rPr>
        <w:t>This part groups related white-paper lanes into a coherent volume section. Each chapter expands the prior skeleton into a developed doctrine while preserving source posture and validation limits.</w:t>
      </w:r>
    </w:p>
    <w:p>
      <w:pPr>
        <w:pStyle w:val="Heading1"/>
        <w:keepNext/>
        <w:spacing w:before="160" w:after="80"/>
      </w:pPr>
      <w:r>
        <w:rPr>
          <w:color w:val="000000"/>
        </w:rPr>
        <w:t>Chapter 6 - BAROS: Biologically Adaptive Radiotherapy Optimization System</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Gmail-located manuscript family</w:t>
            </w:r>
          </w:p>
        </w:tc>
        <w:tc>
          <w:tcPr>
            <w:tcW w:type="dxa" w:w="2880"/>
            <w:vAlign w:val="top"/>
          </w:tcPr>
          <w:p>
            <w:pPr>
              <w:spacing w:after="20"/>
            </w:pPr>
            <w:r>
              <w:rPr>
                <w:color w:val="000000"/>
                <w:sz w:val="16"/>
              </w:rPr>
              <w:t>Medical research / SaMD concept</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Medical research / SaMD concept into a developed book section. Its controlling idea is biologically adaptive radiotherapy optimization using voxel-level state estimation and TPS-governed dose recalculation.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imaging input, biological map, constrained optimizer, TPS dose calculation, QA, adaptive decision logic.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imaging input</w:t>
            </w:r>
          </w:p>
        </w:tc>
        <w:tc>
          <w:tcPr>
            <w:tcW w:type="dxa" w:w="5904"/>
            <w:vAlign w:val="top"/>
          </w:tcPr>
          <w:p>
            <w:pPr>
              <w:spacing w:after="20"/>
            </w:pPr>
            <w:r>
              <w:rPr>
                <w:color w:val="000000"/>
                <w:sz w:val="16"/>
              </w:rPr>
              <w:t>Define function, source status, inputs, outputs, validation method, and external-use boundary for imaging input.</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biological map</w:t>
            </w:r>
          </w:p>
        </w:tc>
        <w:tc>
          <w:tcPr>
            <w:tcW w:type="dxa" w:w="5904"/>
            <w:vAlign w:val="top"/>
          </w:tcPr>
          <w:p>
            <w:pPr>
              <w:spacing w:after="20"/>
            </w:pPr>
            <w:r>
              <w:rPr>
                <w:color w:val="000000"/>
                <w:sz w:val="16"/>
              </w:rPr>
              <w:t>Define function, source status, inputs, outputs, validation method, and external-use boundary for biological map.</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constrained optimizer</w:t>
            </w:r>
          </w:p>
        </w:tc>
        <w:tc>
          <w:tcPr>
            <w:tcW w:type="dxa" w:w="5904"/>
            <w:vAlign w:val="top"/>
          </w:tcPr>
          <w:p>
            <w:pPr>
              <w:spacing w:after="20"/>
            </w:pPr>
            <w:r>
              <w:rPr>
                <w:color w:val="000000"/>
                <w:sz w:val="16"/>
              </w:rPr>
              <w:t>Define function, source status, inputs, outputs, validation method, and external-use boundary for constrained optimizer.</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TPS dose calculation</w:t>
            </w:r>
          </w:p>
        </w:tc>
        <w:tc>
          <w:tcPr>
            <w:tcW w:type="dxa" w:w="5904"/>
            <w:vAlign w:val="top"/>
          </w:tcPr>
          <w:p>
            <w:pPr>
              <w:spacing w:after="20"/>
            </w:pPr>
            <w:r>
              <w:rPr>
                <w:color w:val="000000"/>
                <w:sz w:val="16"/>
              </w:rPr>
              <w:t>Define function, source status, inputs, outputs, validation method, and external-use boundary for TPS dose calculation.</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QA</w:t>
            </w:r>
          </w:p>
        </w:tc>
        <w:tc>
          <w:tcPr>
            <w:tcW w:type="dxa" w:w="5904"/>
            <w:vAlign w:val="top"/>
          </w:tcPr>
          <w:p>
            <w:pPr>
              <w:spacing w:after="20"/>
            </w:pPr>
            <w:r>
              <w:rPr>
                <w:color w:val="000000"/>
                <w:sz w:val="16"/>
              </w:rPr>
              <w:t>Define function, source status, inputs, outputs, validation method, and external-use boundary for QA.</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adaptive decision logic</w:t>
            </w:r>
          </w:p>
        </w:tc>
        <w:tc>
          <w:tcPr>
            <w:tcW w:type="dxa" w:w="5904"/>
            <w:vAlign w:val="top"/>
          </w:tcPr>
          <w:p>
            <w:pPr>
              <w:spacing w:after="20"/>
            </w:pPr>
            <w:r>
              <w:rPr>
                <w:color w:val="000000"/>
                <w:sz w:val="16"/>
              </w:rPr>
              <w:t>Define function, source status, inputs, outputs, validation method, and external-use boundary for adaptive decision logic.</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clinical manuscript, validation plan, regulatory memo.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retrospective planning studies, DVH/gamma checks, expert review, and regulatory boundary definition.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clinical manuscript, validation plan, regulatory memo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clinical overclaim, simulated endpoints presented as outcomes, bypassing TPS/physician review.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clinical manuscript.</w:t>
      </w:r>
    </w:p>
    <w:p>
      <w:pPr>
        <w:pStyle w:val="ListBullet"/>
        <w:spacing w:after="100" w:line="259" w:lineRule="auto"/>
      </w:pPr>
      <w:r>
        <w:rPr>
          <w:b w:val="0"/>
          <w:i w:val="0"/>
          <w:color w:val="000000"/>
        </w:rPr>
        <w:t>validation plan.</w:t>
      </w:r>
    </w:p>
    <w:p>
      <w:pPr>
        <w:pStyle w:val="ListBullet"/>
        <w:spacing w:after="100" w:line="259" w:lineRule="auto"/>
      </w:pPr>
      <w:r>
        <w:rPr>
          <w:b w:val="0"/>
          <w:i w:val="0"/>
          <w:color w:val="000000"/>
        </w:rPr>
        <w:t>regulatory memo.</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BAROS: Biologically Adaptive Radiotherapy Optimization System architecture map showing source status, control flow, validation gates, and external-packet route.</w:t>
      </w:r>
    </w:p>
    <w:p>
      <w:pPr>
        <w:pStyle w:val="IntenseQuote"/>
        <w:spacing w:after="100" w:line="259" w:lineRule="auto"/>
      </w:pPr>
      <w:r>
        <w:rPr>
          <w:b w:val="0"/>
          <w:i w:val="0"/>
          <w:color w:val="000000"/>
        </w:rPr>
        <w:t>Caption: Evidence matrix for BAROS: Biologically Adaptive Radiotherapy Optimization System,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7 - BAROS Validation, Clinical Translation, and Hospital Economics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w:t>
            </w:r>
          </w:p>
        </w:tc>
        <w:tc>
          <w:tcPr>
            <w:tcW w:type="dxa" w:w="2880"/>
            <w:vAlign w:val="top"/>
          </w:tcPr>
          <w:p>
            <w:pPr>
              <w:spacing w:after="20"/>
            </w:pPr>
            <w:r>
              <w:rPr>
                <w:color w:val="000000"/>
                <w:sz w:val="16"/>
              </w:rPr>
              <w:t>Clinical translation roadmap</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Clinical translation roadmap into a developed book section. Its controlling idea is staged movement from physics correctness to planning quality, workflow feasibility, regulated evidence, and measured economic value.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physics validation, planning validation, workflow validation, clinical evidence, regulatory package, economics model.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physics validation</w:t>
            </w:r>
          </w:p>
        </w:tc>
        <w:tc>
          <w:tcPr>
            <w:tcW w:type="dxa" w:w="5904"/>
            <w:vAlign w:val="top"/>
          </w:tcPr>
          <w:p>
            <w:pPr>
              <w:spacing w:after="20"/>
            </w:pPr>
            <w:r>
              <w:rPr>
                <w:color w:val="000000"/>
                <w:sz w:val="16"/>
              </w:rPr>
              <w:t>Define function, source status, inputs, outputs, validation method, and external-use boundary for physics validation.</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planning validation</w:t>
            </w:r>
          </w:p>
        </w:tc>
        <w:tc>
          <w:tcPr>
            <w:tcW w:type="dxa" w:w="5904"/>
            <w:vAlign w:val="top"/>
          </w:tcPr>
          <w:p>
            <w:pPr>
              <w:spacing w:after="20"/>
            </w:pPr>
            <w:r>
              <w:rPr>
                <w:color w:val="000000"/>
                <w:sz w:val="16"/>
              </w:rPr>
              <w:t>Define function, source status, inputs, outputs, validation method, and external-use boundary for planning validation.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workflow validation</w:t>
            </w:r>
          </w:p>
        </w:tc>
        <w:tc>
          <w:tcPr>
            <w:tcW w:type="dxa" w:w="5904"/>
            <w:vAlign w:val="top"/>
          </w:tcPr>
          <w:p>
            <w:pPr>
              <w:spacing w:after="20"/>
            </w:pPr>
            <w:r>
              <w:rPr>
                <w:color w:val="000000"/>
                <w:sz w:val="16"/>
              </w:rPr>
              <w:t>Define function, source status, inputs, outputs, validation method, and external-use boundary for workflow validation.</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clinical evidence</w:t>
            </w:r>
          </w:p>
        </w:tc>
        <w:tc>
          <w:tcPr>
            <w:tcW w:type="dxa" w:w="5904"/>
            <w:vAlign w:val="top"/>
          </w:tcPr>
          <w:p>
            <w:pPr>
              <w:spacing w:after="20"/>
            </w:pPr>
            <w:r>
              <w:rPr>
                <w:color w:val="000000"/>
                <w:sz w:val="16"/>
              </w:rPr>
              <w:t>Define function, source status, inputs, outputs, validation method, and external-use boundary for clinical evidence.</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regulatory package</w:t>
            </w:r>
          </w:p>
        </w:tc>
        <w:tc>
          <w:tcPr>
            <w:tcW w:type="dxa" w:w="5904"/>
            <w:vAlign w:val="top"/>
          </w:tcPr>
          <w:p>
            <w:pPr>
              <w:spacing w:after="20"/>
            </w:pPr>
            <w:r>
              <w:rPr>
                <w:color w:val="000000"/>
                <w:sz w:val="16"/>
              </w:rPr>
              <w:t>Define function, source status, inputs, outputs, validation method, and external-use boundary for regulatory package.</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economics model</w:t>
            </w:r>
          </w:p>
        </w:tc>
        <w:tc>
          <w:tcPr>
            <w:tcW w:type="dxa" w:w="5904"/>
            <w:vAlign w:val="top"/>
          </w:tcPr>
          <w:p>
            <w:pPr>
              <w:spacing w:after="20"/>
            </w:pPr>
            <w:r>
              <w:rPr>
                <w:color w:val="000000"/>
                <w:sz w:val="16"/>
              </w:rPr>
              <w:t>Define function, source status, inputs, outputs, validation method, and external-use boundary for economics model.</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retrospective protocol, FDA-style Q&amp;A, hospital economics appendix.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defined endpoints, baseline comparator, IRB path, conservative modeled-benefit language.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retrospective protocol, FDA-style Q&amp;A, hospital economics appendix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jumping from simulation to patient outcome claims or ROI claims.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retrospective protocol.</w:t>
      </w:r>
    </w:p>
    <w:p>
      <w:pPr>
        <w:pStyle w:val="ListBullet"/>
        <w:spacing w:after="100" w:line="259" w:lineRule="auto"/>
      </w:pPr>
      <w:r>
        <w:rPr>
          <w:b w:val="0"/>
          <w:i w:val="0"/>
          <w:color w:val="000000"/>
        </w:rPr>
        <w:t>FDA-style Q&amp;A.</w:t>
      </w:r>
    </w:p>
    <w:p>
      <w:pPr>
        <w:pStyle w:val="ListBullet"/>
        <w:spacing w:after="100" w:line="259" w:lineRule="auto"/>
      </w:pPr>
      <w:r>
        <w:rPr>
          <w:b w:val="0"/>
          <w:i w:val="0"/>
          <w:color w:val="000000"/>
        </w:rPr>
        <w:t>hospital economics appendix.</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BAROS Validation, Clinical Translation, and Hospital Economics architecture map showing source status, control flow, validation gates, and external-packet route.</w:t>
      </w:r>
    </w:p>
    <w:p>
      <w:pPr>
        <w:pStyle w:val="IntenseQuote"/>
        <w:spacing w:after="100" w:line="259" w:lineRule="auto"/>
      </w:pPr>
      <w:r>
        <w:rPr>
          <w:b w:val="0"/>
          <w:i w:val="0"/>
          <w:color w:val="000000"/>
        </w:rPr>
        <w:t>Caption: Evidence matrix for BAROS Validation, Clinical Translation, and Hospital Economics,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8 - Synthetic Repair Couplings and Human-Quality-of-Life Discovery Tracks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w:t>
            </w:r>
          </w:p>
        </w:tc>
        <w:tc>
          <w:tcPr>
            <w:tcW w:type="dxa" w:w="2880"/>
            <w:vAlign w:val="top"/>
          </w:tcPr>
          <w:p>
            <w:pPr>
              <w:spacing w:after="20"/>
            </w:pPr>
            <w:r>
              <w:rPr>
                <w:color w:val="000000"/>
                <w:sz w:val="16"/>
              </w:rPr>
              <w:t>Biomedical discovery scaffold</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Biomedical discovery scaffold into a developed book section. Its controlling idea is assay-first discovery of conditional repair-associated couplings prioritizing locality, timing, reversibility, and safety.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target selection, library design, screening, mechanism, safety, translation gates.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target selection</w:t>
            </w:r>
          </w:p>
        </w:tc>
        <w:tc>
          <w:tcPr>
            <w:tcW w:type="dxa" w:w="5904"/>
            <w:vAlign w:val="top"/>
          </w:tcPr>
          <w:p>
            <w:pPr>
              <w:spacing w:after="20"/>
            </w:pPr>
            <w:r>
              <w:rPr>
                <w:color w:val="000000"/>
                <w:sz w:val="16"/>
              </w:rPr>
              <w:t>Define function, source status, inputs, outputs, validation method, and external-use boundary for target selection.</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library design</w:t>
            </w:r>
          </w:p>
        </w:tc>
        <w:tc>
          <w:tcPr>
            <w:tcW w:type="dxa" w:w="5904"/>
            <w:vAlign w:val="top"/>
          </w:tcPr>
          <w:p>
            <w:pPr>
              <w:spacing w:after="20"/>
            </w:pPr>
            <w:r>
              <w:rPr>
                <w:color w:val="000000"/>
                <w:sz w:val="16"/>
              </w:rPr>
              <w:t>Define function, source status, inputs, outputs, validation method, and external-use boundary for library design.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screening</w:t>
            </w:r>
          </w:p>
        </w:tc>
        <w:tc>
          <w:tcPr>
            <w:tcW w:type="dxa" w:w="5904"/>
            <w:vAlign w:val="top"/>
          </w:tcPr>
          <w:p>
            <w:pPr>
              <w:spacing w:after="20"/>
            </w:pPr>
            <w:r>
              <w:rPr>
                <w:color w:val="000000"/>
                <w:sz w:val="16"/>
              </w:rPr>
              <w:t>Define function, source status, inputs, outputs, validation method, and external-use boundary for screening.</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mechanism</w:t>
            </w:r>
          </w:p>
        </w:tc>
        <w:tc>
          <w:tcPr>
            <w:tcW w:type="dxa" w:w="5904"/>
            <w:vAlign w:val="top"/>
          </w:tcPr>
          <w:p>
            <w:pPr>
              <w:spacing w:after="20"/>
            </w:pPr>
            <w:r>
              <w:rPr>
                <w:color w:val="000000"/>
                <w:sz w:val="16"/>
              </w:rPr>
              <w:t>Define function, source status, inputs, outputs, validation method, and external-use boundary for mechanism.</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safety</w:t>
            </w:r>
          </w:p>
        </w:tc>
        <w:tc>
          <w:tcPr>
            <w:tcW w:type="dxa" w:w="5904"/>
            <w:vAlign w:val="top"/>
          </w:tcPr>
          <w:p>
            <w:pPr>
              <w:spacing w:after="20"/>
            </w:pPr>
            <w:r>
              <w:rPr>
                <w:color w:val="000000"/>
                <w:sz w:val="16"/>
              </w:rPr>
              <w:t>Define function, source status, inputs, outputs, validation method, and external-use boundary for safety.</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translation gates</w:t>
            </w:r>
          </w:p>
        </w:tc>
        <w:tc>
          <w:tcPr>
            <w:tcW w:type="dxa" w:w="5904"/>
            <w:vAlign w:val="top"/>
          </w:tcPr>
          <w:p>
            <w:pPr>
              <w:spacing w:after="20"/>
            </w:pPr>
            <w:r>
              <w:rPr>
                <w:color w:val="000000"/>
                <w:sz w:val="16"/>
              </w:rPr>
              <w:t>Define function, source status, inputs, outputs, validation method, and external-use boundary for translation gates.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target taxonomy, assay workflow, safety stop-rule appendix.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orthogonal assays, known/speculative tiering, counterscreens, biosafety and ethics review.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target taxonomy, assay workflow, safety stop-rule appendix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human-use claims, self-experimentation, and binding-only inference.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target taxonomy.</w:t>
      </w:r>
    </w:p>
    <w:p>
      <w:pPr>
        <w:pStyle w:val="ListBullet"/>
        <w:spacing w:after="100" w:line="259" w:lineRule="auto"/>
      </w:pPr>
      <w:r>
        <w:rPr>
          <w:b w:val="0"/>
          <w:i w:val="0"/>
          <w:color w:val="000000"/>
        </w:rPr>
        <w:t>assay workflow.</w:t>
      </w:r>
    </w:p>
    <w:p>
      <w:pPr>
        <w:pStyle w:val="ListBullet"/>
        <w:spacing w:after="100" w:line="259" w:lineRule="auto"/>
      </w:pPr>
      <w:r>
        <w:rPr>
          <w:b w:val="0"/>
          <w:i w:val="0"/>
          <w:color w:val="000000"/>
        </w:rPr>
        <w:t>safety stop-rule appendix.</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Synthetic Repair Couplings and Human-Quality-of-Life Discovery Tracks architecture map showing source status, control flow, validation gates, and external-packet route.</w:t>
      </w:r>
    </w:p>
    <w:p>
      <w:pPr>
        <w:pStyle w:val="IntenseQuote"/>
        <w:spacing w:after="100" w:line="259" w:lineRule="auto"/>
      </w:pPr>
      <w:r>
        <w:rPr>
          <w:b w:val="0"/>
          <w:i w:val="0"/>
          <w:color w:val="000000"/>
        </w:rPr>
        <w:t>Caption: Evidence matrix for Synthetic Repair Couplings and Human-Quality-of-Life Discovery Tracks,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r>
        <w:rPr>
          <w:color w:val="000000"/>
        </w:rPr>
        <w:br w:type="page"/>
      </w:r>
    </w:p>
    <w:p>
      <w:pPr>
        <w:pStyle w:val="Heading1"/>
        <w:keepNext/>
        <w:spacing w:before="160" w:after="80"/>
      </w:pPr>
      <w:r>
        <w:rPr>
          <w:color w:val="000000"/>
        </w:rPr>
        <w:t>Part III - Materials, Metasurfaces, Field Control, and Theory Lanes</w:t>
      </w:r>
    </w:p>
    <w:p>
      <w:pPr>
        <w:pStyle w:val="IntenseQuote"/>
        <w:spacing w:after="100" w:line="259" w:lineRule="auto"/>
      </w:pPr>
      <w:r>
        <w:rPr>
          <w:b w:val="0"/>
          <w:i w:val="0"/>
          <w:color w:val="000000"/>
        </w:rPr>
        <w:t>This part groups related white-paper lanes into a coherent volume section. Each chapter expands the prior skeleton into a developed doctrine while preserving source posture and validation limits.</w:t>
      </w:r>
    </w:p>
    <w:p>
      <w:pPr>
        <w:pStyle w:val="Heading1"/>
        <w:keepNext/>
        <w:spacing w:before="160" w:after="80"/>
      </w:pPr>
      <w:r>
        <w:rPr>
          <w:color w:val="000000"/>
        </w:rPr>
        <w:t>Chapter 9 - WS-AlTi M1-MSZ-Prime Programmable Aluminum-Titanium Meta-Alloy</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Direct uploaded summary</w:t>
            </w:r>
          </w:p>
        </w:tc>
        <w:tc>
          <w:tcPr>
            <w:tcW w:type="dxa" w:w="2880"/>
            <w:vAlign w:val="top"/>
          </w:tcPr>
          <w:p>
            <w:pPr>
              <w:spacing w:after="20"/>
            </w:pPr>
            <w:r>
              <w:rPr>
                <w:color w:val="000000"/>
                <w:sz w:val="16"/>
              </w:rPr>
              <w:t>Materials / additive manufacturing</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Materials / additive manufacturing into a developed book section. Its controlling idea is a programmable deposited aluminum-titanium meta-alloy platform, not merely a new alloy.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material system, DED feed architecture, materials compiler, hardware, coupons, applications.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material system</w:t>
            </w:r>
          </w:p>
        </w:tc>
        <w:tc>
          <w:tcPr>
            <w:tcW w:type="dxa" w:w="5904"/>
            <w:vAlign w:val="top"/>
          </w:tcPr>
          <w:p>
            <w:pPr>
              <w:spacing w:after="20"/>
            </w:pPr>
            <w:r>
              <w:rPr>
                <w:color w:val="000000"/>
                <w:sz w:val="16"/>
              </w:rPr>
              <w:t>Define function, source status, inputs, outputs, validation method, and external-use boundary for material system.</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DED feed architecture</w:t>
            </w:r>
          </w:p>
        </w:tc>
        <w:tc>
          <w:tcPr>
            <w:tcW w:type="dxa" w:w="5904"/>
            <w:vAlign w:val="top"/>
          </w:tcPr>
          <w:p>
            <w:pPr>
              <w:spacing w:after="20"/>
            </w:pPr>
            <w:r>
              <w:rPr>
                <w:color w:val="000000"/>
                <w:sz w:val="16"/>
              </w:rPr>
              <w:t>Define function, source status, inputs, outputs, validation method, and external-use boundary for DED feed architecture.</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materials compiler</w:t>
            </w:r>
          </w:p>
        </w:tc>
        <w:tc>
          <w:tcPr>
            <w:tcW w:type="dxa" w:w="5904"/>
            <w:vAlign w:val="top"/>
          </w:tcPr>
          <w:p>
            <w:pPr>
              <w:spacing w:after="20"/>
            </w:pPr>
            <w:r>
              <w:rPr>
                <w:color w:val="000000"/>
                <w:sz w:val="16"/>
              </w:rPr>
              <w:t>Define function, source status, inputs, outputs, validation method, and external-use boundary for materials compiler.</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hardware</w:t>
            </w:r>
          </w:p>
        </w:tc>
        <w:tc>
          <w:tcPr>
            <w:tcW w:type="dxa" w:w="5904"/>
            <w:vAlign w:val="top"/>
          </w:tcPr>
          <w:p>
            <w:pPr>
              <w:spacing w:after="20"/>
            </w:pPr>
            <w:r>
              <w:rPr>
                <w:color w:val="000000"/>
                <w:sz w:val="16"/>
              </w:rPr>
              <w:t>Define function, source status, inputs, outputs, validation method, and external-use boundary for hardware.</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coupons</w:t>
            </w:r>
          </w:p>
        </w:tc>
        <w:tc>
          <w:tcPr>
            <w:tcW w:type="dxa" w:w="5904"/>
            <w:vAlign w:val="top"/>
          </w:tcPr>
          <w:p>
            <w:pPr>
              <w:spacing w:after="20"/>
            </w:pPr>
            <w:r>
              <w:rPr>
                <w:color w:val="000000"/>
                <w:sz w:val="16"/>
              </w:rPr>
              <w:t>Define function, source status, inputs, outputs, validation method, and external-use boundary for coupons.</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applications</w:t>
            </w:r>
          </w:p>
        </w:tc>
        <w:tc>
          <w:tcPr>
            <w:tcW w:type="dxa" w:w="5904"/>
            <w:vAlign w:val="top"/>
          </w:tcPr>
          <w:p>
            <w:pPr>
              <w:spacing w:after="20"/>
            </w:pPr>
            <w:r>
              <w:rPr>
                <w:color w:val="000000"/>
                <w:sz w:val="16"/>
              </w:rPr>
              <w:t>Define function, source status, inputs, outputs, validation method, and external-use boundary for applications.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provisional disclosure, coupon plan, partner packets.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provisional filing, coupon tests, microscopy, mechanical testing, corrosion/fatigue data.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provisional disclosure, coupon plan, partner packets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valuation overstatement, premature disclosure, unsupported partner claims.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provisional disclosure.</w:t>
      </w:r>
    </w:p>
    <w:p>
      <w:pPr>
        <w:pStyle w:val="ListBullet"/>
        <w:spacing w:after="100" w:line="259" w:lineRule="auto"/>
      </w:pPr>
      <w:r>
        <w:rPr>
          <w:b w:val="0"/>
          <w:i w:val="0"/>
          <w:color w:val="000000"/>
        </w:rPr>
        <w:t>coupon plan.</w:t>
      </w:r>
    </w:p>
    <w:p>
      <w:pPr>
        <w:pStyle w:val="ListBullet"/>
        <w:spacing w:after="100" w:line="259" w:lineRule="auto"/>
      </w:pPr>
      <w:r>
        <w:rPr>
          <w:b w:val="0"/>
          <w:i w:val="0"/>
          <w:color w:val="000000"/>
        </w:rPr>
        <w:t>partner packets.</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WS-AlTi M1-MSZ-Prime Programmable Aluminum-Titanium Meta-Alloy architecture map showing source status, control flow, validation gates, and external-packet route.</w:t>
      </w:r>
    </w:p>
    <w:p>
      <w:pPr>
        <w:pStyle w:val="IntenseQuote"/>
        <w:spacing w:after="100" w:line="259" w:lineRule="auto"/>
      </w:pPr>
      <w:r>
        <w:rPr>
          <w:b w:val="0"/>
          <w:i w:val="0"/>
          <w:color w:val="000000"/>
        </w:rPr>
        <w:t>Caption: Evidence matrix for WS-AlTi M1-MSZ-Prime Programmable Aluminum-Titanium Meta-Alloy,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10 - Materials Compiler, Dual-Feed DED Hardware, and Spatial Zoning</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Derived from WS-AlTi lane</w:t>
            </w:r>
          </w:p>
        </w:tc>
        <w:tc>
          <w:tcPr>
            <w:tcW w:type="dxa" w:w="2880"/>
            <w:vAlign w:val="top"/>
          </w:tcPr>
          <w:p>
            <w:pPr>
              <w:spacing w:after="20"/>
            </w:pPr>
            <w:r>
              <w:rPr>
                <w:color w:val="000000"/>
                <w:sz w:val="16"/>
              </w:rPr>
              <w:t>Manufacturing process / compiler lane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Manufacturing process / compiler lane into a developed book section. Its controlling idea is software-defined physical material generation through design-to-deposition translation.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design intent, zone map, process planner, dual-feed DED hardware, feedback loop, verification.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design intent</w:t>
            </w:r>
          </w:p>
        </w:tc>
        <w:tc>
          <w:tcPr>
            <w:tcW w:type="dxa" w:w="5904"/>
            <w:vAlign w:val="top"/>
          </w:tcPr>
          <w:p>
            <w:pPr>
              <w:spacing w:after="20"/>
            </w:pPr>
            <w:r>
              <w:rPr>
                <w:color w:val="000000"/>
                <w:sz w:val="16"/>
              </w:rPr>
              <w:t>Define function, source status, inputs, outputs, validation method, and external-use boundary for design intent.</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zone map</w:t>
            </w:r>
          </w:p>
        </w:tc>
        <w:tc>
          <w:tcPr>
            <w:tcW w:type="dxa" w:w="5904"/>
            <w:vAlign w:val="top"/>
          </w:tcPr>
          <w:p>
            <w:pPr>
              <w:spacing w:after="20"/>
            </w:pPr>
            <w:r>
              <w:rPr>
                <w:color w:val="000000"/>
                <w:sz w:val="16"/>
              </w:rPr>
              <w:t>Define function, source status, inputs, outputs, validation method, and external-use boundary for zone map.</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process planner</w:t>
            </w:r>
          </w:p>
        </w:tc>
        <w:tc>
          <w:tcPr>
            <w:tcW w:type="dxa" w:w="5904"/>
            <w:vAlign w:val="top"/>
          </w:tcPr>
          <w:p>
            <w:pPr>
              <w:spacing w:after="20"/>
            </w:pPr>
            <w:r>
              <w:rPr>
                <w:color w:val="000000"/>
                <w:sz w:val="16"/>
              </w:rPr>
              <w:t>Define function, source status, inputs, outputs, validation method, and external-use boundary for process planner.</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dual-feed DED hardware</w:t>
            </w:r>
          </w:p>
        </w:tc>
        <w:tc>
          <w:tcPr>
            <w:tcW w:type="dxa" w:w="5904"/>
            <w:vAlign w:val="top"/>
          </w:tcPr>
          <w:p>
            <w:pPr>
              <w:spacing w:after="20"/>
            </w:pPr>
            <w:r>
              <w:rPr>
                <w:color w:val="000000"/>
                <w:sz w:val="16"/>
              </w:rPr>
              <w:t>Define function, source status, inputs, outputs, validation method, and external-use boundary for dual-feed DED hardware.</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feedback loop</w:t>
            </w:r>
          </w:p>
        </w:tc>
        <w:tc>
          <w:tcPr>
            <w:tcW w:type="dxa" w:w="5904"/>
            <w:vAlign w:val="top"/>
          </w:tcPr>
          <w:p>
            <w:pPr>
              <w:spacing w:after="20"/>
            </w:pPr>
            <w:r>
              <w:rPr>
                <w:color w:val="000000"/>
                <w:sz w:val="16"/>
              </w:rPr>
              <w:t>Define function, source status, inputs, outputs, validation method, and external-use boundary for feedback loop.</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verification</w:t>
            </w:r>
          </w:p>
        </w:tc>
        <w:tc>
          <w:tcPr>
            <w:tcW w:type="dxa" w:w="5904"/>
            <w:vAlign w:val="top"/>
          </w:tcPr>
          <w:p>
            <w:pPr>
              <w:spacing w:after="20"/>
            </w:pPr>
            <w:r>
              <w:rPr>
                <w:color w:val="000000"/>
                <w:sz w:val="16"/>
              </w:rPr>
              <w:t>Define function, source status, inputs, outputs, validation method, and external-use boundary for verification.</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compiler specification, DED hardware captions, validation table.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predicted vs measured property maps across spatial zones.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compiler specification, DED hardware captions, validation table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breadth without enablement, residual stress, calibration limits.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compiler specification.</w:t>
      </w:r>
    </w:p>
    <w:p>
      <w:pPr>
        <w:pStyle w:val="ListBullet"/>
        <w:spacing w:after="100" w:line="259" w:lineRule="auto"/>
      </w:pPr>
      <w:r>
        <w:rPr>
          <w:b w:val="0"/>
          <w:i w:val="0"/>
          <w:color w:val="000000"/>
        </w:rPr>
        <w:t>DED hardware captions.</w:t>
      </w:r>
    </w:p>
    <w:p>
      <w:pPr>
        <w:pStyle w:val="ListBullet"/>
        <w:spacing w:after="100" w:line="259" w:lineRule="auto"/>
      </w:pPr>
      <w:r>
        <w:rPr>
          <w:b w:val="0"/>
          <w:i w:val="0"/>
          <w:color w:val="000000"/>
        </w:rPr>
        <w:t>validation table.</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Materials Compiler, Dual-Feed DED Hardware, and Spatial Zoning architecture map showing source status, control flow, validation gates, and external-packet route.</w:t>
      </w:r>
    </w:p>
    <w:p>
      <w:pPr>
        <w:pStyle w:val="IntenseQuote"/>
        <w:spacing w:after="100" w:line="259" w:lineRule="auto"/>
      </w:pPr>
      <w:r>
        <w:rPr>
          <w:b w:val="0"/>
          <w:i w:val="0"/>
          <w:color w:val="000000"/>
        </w:rPr>
        <w:t>Caption: Evidence matrix for Materials Compiler, Dual-Feed DED Hardware, and Spatial Zoning,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11 - Programmable Electromagnetic Boundary Conditions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Direct uploaded EM text</w:t>
            </w:r>
          </w:p>
        </w:tc>
        <w:tc>
          <w:tcPr>
            <w:tcW w:type="dxa" w:w="2880"/>
            <w:vAlign w:val="top"/>
          </w:tcPr>
          <w:p>
            <w:pPr>
              <w:spacing w:after="20"/>
            </w:pPr>
            <w:r>
              <w:rPr>
                <w:color w:val="000000"/>
                <w:sz w:val="16"/>
              </w:rPr>
              <w:t>Metasurface / field-control model</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Metasurface / field-control model into a developed book section. Its controlling idea is reconfigurable EM tiles with signed coupling, RF controls, material tuning, sensing, and closed-loop boundary behavior.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nodes, coupling matrix, phase/amplitude/material actuators, sensing layer, controller.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nodes</w:t>
            </w:r>
          </w:p>
        </w:tc>
        <w:tc>
          <w:tcPr>
            <w:tcW w:type="dxa" w:w="5904"/>
            <w:vAlign w:val="top"/>
          </w:tcPr>
          <w:p>
            <w:pPr>
              <w:spacing w:after="20"/>
            </w:pPr>
            <w:r>
              <w:rPr>
                <w:color w:val="000000"/>
                <w:sz w:val="16"/>
              </w:rPr>
              <w:t>Define function, source status, inputs, outputs, validation method, and external-use boundary for nodes.</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coupling matrix</w:t>
            </w:r>
          </w:p>
        </w:tc>
        <w:tc>
          <w:tcPr>
            <w:tcW w:type="dxa" w:w="5904"/>
            <w:vAlign w:val="top"/>
          </w:tcPr>
          <w:p>
            <w:pPr>
              <w:spacing w:after="20"/>
            </w:pPr>
            <w:r>
              <w:rPr>
                <w:color w:val="000000"/>
                <w:sz w:val="16"/>
              </w:rPr>
              <w:t>Define function, source status, inputs, outputs, validation method, and external-use boundary for coupling matrix.</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phase/amplitude/material actuators</w:t>
            </w:r>
          </w:p>
        </w:tc>
        <w:tc>
          <w:tcPr>
            <w:tcW w:type="dxa" w:w="5904"/>
            <w:vAlign w:val="top"/>
          </w:tcPr>
          <w:p>
            <w:pPr>
              <w:spacing w:after="20"/>
            </w:pPr>
            <w:r>
              <w:rPr>
                <w:color w:val="000000"/>
                <w:sz w:val="16"/>
              </w:rPr>
              <w:t>Define function, source status, inputs, outputs, validation method, and external-use boundary for phase/amplitude/material actuators.</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sensing layer</w:t>
            </w:r>
          </w:p>
        </w:tc>
        <w:tc>
          <w:tcPr>
            <w:tcW w:type="dxa" w:w="5904"/>
            <w:vAlign w:val="top"/>
          </w:tcPr>
          <w:p>
            <w:pPr>
              <w:spacing w:after="20"/>
            </w:pPr>
            <w:r>
              <w:rPr>
                <w:color w:val="000000"/>
                <w:sz w:val="16"/>
              </w:rPr>
              <w:t>Define function, source status, inputs, outputs, validation method, and external-use boundary for sensing layer.</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controller</w:t>
            </w:r>
          </w:p>
        </w:tc>
        <w:tc>
          <w:tcPr>
            <w:tcW w:type="dxa" w:w="5904"/>
            <w:vAlign w:val="top"/>
          </w:tcPr>
          <w:p>
            <w:pPr>
              <w:spacing w:after="20"/>
            </w:pPr>
            <w:r>
              <w:rPr>
                <w:color w:val="000000"/>
                <w:sz w:val="16"/>
              </w:rPr>
              <w:t>Define function, source status, inputs, outputs, validation method, and external-use boundary for controller.</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benign simulation appendix, tile model, safety note.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benign simulations and lab measurement of tile response and field pattern.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benign simulation appendix, tile model, safety note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dual-use overreach, operational stealth framing, broad-spectrum claims.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benign simulation appendix.</w:t>
      </w:r>
    </w:p>
    <w:p>
      <w:pPr>
        <w:pStyle w:val="ListBullet"/>
        <w:spacing w:after="100" w:line="259" w:lineRule="auto"/>
      </w:pPr>
      <w:r>
        <w:rPr>
          <w:b w:val="0"/>
          <w:i w:val="0"/>
          <w:color w:val="000000"/>
        </w:rPr>
        <w:t>tile model.</w:t>
      </w:r>
    </w:p>
    <w:p>
      <w:pPr>
        <w:pStyle w:val="ListBullet"/>
        <w:spacing w:after="100" w:line="259" w:lineRule="auto"/>
      </w:pPr>
      <w:r>
        <w:rPr>
          <w:b w:val="0"/>
          <w:i w:val="0"/>
          <w:color w:val="000000"/>
        </w:rPr>
        <w:t>safety note.</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Programmable Electromagnetic Boundary Conditions architecture map showing source status, control flow, validation gates, and external-packet route.</w:t>
      </w:r>
    </w:p>
    <w:p>
      <w:pPr>
        <w:pStyle w:val="IntenseQuote"/>
        <w:spacing w:after="100" w:line="259" w:lineRule="auto"/>
      </w:pPr>
      <w:r>
        <w:rPr>
          <w:b w:val="0"/>
          <w:i w:val="0"/>
          <w:color w:val="000000"/>
        </w:rPr>
        <w:t>Caption: Evidence matrix for Programmable Electromagnetic Boundary Conditions,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12 - BR3DGS, .XYZ Compiler, Secure-5, Red Grid, and Field-Linked Systems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w:t>
            </w:r>
          </w:p>
        </w:tc>
        <w:tc>
          <w:tcPr>
            <w:tcW w:type="dxa" w:w="2880"/>
            <w:vAlign w:val="top"/>
          </w:tcPr>
          <w:p>
            <w:pPr>
              <w:spacing w:after="20"/>
            </w:pPr>
            <w:r>
              <w:rPr>
                <w:color w:val="000000"/>
                <w:sz w:val="16"/>
              </w:rPr>
              <w:t>Symbolic-to-control grammar</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Symbolic-to-control grammar into a developed book section. Its controlling idea is compiler conversion of project strings into safe simulation matrices such as K, theta, and A.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input syntax, parser, intermediate representation, policy layer, simulator, archive.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input syntax</w:t>
            </w:r>
          </w:p>
        </w:tc>
        <w:tc>
          <w:tcPr>
            <w:tcW w:type="dxa" w:w="5904"/>
            <w:vAlign w:val="top"/>
          </w:tcPr>
          <w:p>
            <w:pPr>
              <w:spacing w:after="20"/>
            </w:pPr>
            <w:r>
              <w:rPr>
                <w:color w:val="000000"/>
                <w:sz w:val="16"/>
              </w:rPr>
              <w:t>Define function, source status, inputs, outputs, validation method, and external-use boundary for input syntax.</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parser</w:t>
            </w:r>
          </w:p>
        </w:tc>
        <w:tc>
          <w:tcPr>
            <w:tcW w:type="dxa" w:w="5904"/>
            <w:vAlign w:val="top"/>
          </w:tcPr>
          <w:p>
            <w:pPr>
              <w:spacing w:after="20"/>
            </w:pPr>
            <w:r>
              <w:rPr>
                <w:color w:val="000000"/>
                <w:sz w:val="16"/>
              </w:rPr>
              <w:t>Define function, source status, inputs, outputs, validation method, and external-use boundary for parser.</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intermediate representation</w:t>
            </w:r>
          </w:p>
        </w:tc>
        <w:tc>
          <w:tcPr>
            <w:tcW w:type="dxa" w:w="5904"/>
            <w:vAlign w:val="top"/>
          </w:tcPr>
          <w:p>
            <w:pPr>
              <w:spacing w:after="20"/>
            </w:pPr>
            <w:r>
              <w:rPr>
                <w:color w:val="000000"/>
                <w:sz w:val="16"/>
              </w:rPr>
              <w:t>Define function, source status, inputs, outputs, validation method, and external-use boundary for intermediate representation.</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policy layer</w:t>
            </w:r>
          </w:p>
        </w:tc>
        <w:tc>
          <w:tcPr>
            <w:tcW w:type="dxa" w:w="5904"/>
            <w:vAlign w:val="top"/>
          </w:tcPr>
          <w:p>
            <w:pPr>
              <w:spacing w:after="20"/>
            </w:pPr>
            <w:r>
              <w:rPr>
                <w:color w:val="000000"/>
                <w:sz w:val="16"/>
              </w:rPr>
              <w:t>Define function, source status, inputs, outputs, validation method, and external-use boundary for policy layer.</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simulator</w:t>
            </w:r>
          </w:p>
        </w:tc>
        <w:tc>
          <w:tcPr>
            <w:tcW w:type="dxa" w:w="5904"/>
            <w:vAlign w:val="top"/>
          </w:tcPr>
          <w:p>
            <w:pPr>
              <w:spacing w:after="20"/>
            </w:pPr>
            <w:r>
              <w:rPr>
                <w:color w:val="000000"/>
                <w:sz w:val="16"/>
              </w:rPr>
              <w:t>Define function, source status, inputs, outputs, validation method, and external-use boundary for simulator.</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archive</w:t>
            </w:r>
          </w:p>
        </w:tc>
        <w:tc>
          <w:tcPr>
            <w:tcW w:type="dxa" w:w="5904"/>
            <w:vAlign w:val="top"/>
          </w:tcPr>
          <w:p>
            <w:pPr>
              <w:spacing w:after="20"/>
            </w:pPr>
            <w:r>
              <w:rPr>
                <w:color w:val="000000"/>
                <w:sz w:val="16"/>
              </w:rPr>
              <w:t>Define function, source status, inputs, outputs, validation method, and external-use boundary for archive.</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grammar draft, K-theta-A schema, vector glossary.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deterministic parser tests, JSON schema, non-operational toy simulations.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grammar draft, K-theta-A schema, vector glossary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conflating symbolic commands with real-world control.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grammar draft.</w:t>
      </w:r>
    </w:p>
    <w:p>
      <w:pPr>
        <w:pStyle w:val="ListBullet"/>
        <w:spacing w:after="100" w:line="259" w:lineRule="auto"/>
      </w:pPr>
      <w:r>
        <w:rPr>
          <w:b w:val="0"/>
          <w:i w:val="0"/>
          <w:color w:val="000000"/>
        </w:rPr>
        <w:t>K-theta-A schema.</w:t>
      </w:r>
    </w:p>
    <w:p>
      <w:pPr>
        <w:pStyle w:val="ListBullet"/>
        <w:spacing w:after="100" w:line="259" w:lineRule="auto"/>
      </w:pPr>
      <w:r>
        <w:rPr>
          <w:b w:val="0"/>
          <w:i w:val="0"/>
          <w:color w:val="000000"/>
        </w:rPr>
        <w:t>vector glossary.</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BR3DGS, .XYZ Compiler, Secure-5, Red Grid, and Field-Linked Systems architecture map showing source status, control flow, validation gates, and external-packet route.</w:t>
      </w:r>
    </w:p>
    <w:p>
      <w:pPr>
        <w:pStyle w:val="IntenseQuote"/>
        <w:spacing w:after="100" w:line="259" w:lineRule="auto"/>
      </w:pPr>
      <w:r>
        <w:rPr>
          <w:b w:val="0"/>
          <w:i w:val="0"/>
          <w:color w:val="000000"/>
        </w:rPr>
        <w:t>Caption: Evidence matrix for BR3DGS, .XYZ Compiler, Secure-5, Red Grid, and Field-Linked Systems,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13 - Bose-Davis Dispersion, Flamehold Model, Deep Earth Harmonic Mapping, and AI Interface Theory</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Personal-context located titles</w:t>
            </w:r>
          </w:p>
        </w:tc>
        <w:tc>
          <w:tcPr>
            <w:tcW w:type="dxa" w:w="2880"/>
            <w:vAlign w:val="top"/>
          </w:tcPr>
          <w:p>
            <w:pPr>
              <w:spacing w:after="20"/>
            </w:pPr>
            <w:r>
              <w:rPr>
                <w:color w:val="000000"/>
                <w:sz w:val="16"/>
              </w:rPr>
              <w:t>Theoretical manuscript lane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Theoretical manuscript lane into a developed book section. Its controlling idea is preservation of theoretical manuscripts while separating math, metaphor, and testable claims.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definitions, physical interpretation, data source, simulation, interface theory, dossier placement.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definitions</w:t>
            </w:r>
          </w:p>
        </w:tc>
        <w:tc>
          <w:tcPr>
            <w:tcW w:type="dxa" w:w="5904"/>
            <w:vAlign w:val="top"/>
          </w:tcPr>
          <w:p>
            <w:pPr>
              <w:spacing w:after="20"/>
            </w:pPr>
            <w:r>
              <w:rPr>
                <w:color w:val="000000"/>
                <w:sz w:val="16"/>
              </w:rPr>
              <w:t>Define function, source status, inputs, outputs, validation method, and external-use boundary for definitions.</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physical interpretation</w:t>
            </w:r>
          </w:p>
        </w:tc>
        <w:tc>
          <w:tcPr>
            <w:tcW w:type="dxa" w:w="5904"/>
            <w:vAlign w:val="top"/>
          </w:tcPr>
          <w:p>
            <w:pPr>
              <w:spacing w:after="20"/>
            </w:pPr>
            <w:r>
              <w:rPr>
                <w:color w:val="000000"/>
                <w:sz w:val="16"/>
              </w:rPr>
              <w:t>Define function, source status, inputs, outputs, validation method, and external-use boundary for physical interpretation.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data source</w:t>
            </w:r>
          </w:p>
        </w:tc>
        <w:tc>
          <w:tcPr>
            <w:tcW w:type="dxa" w:w="5904"/>
            <w:vAlign w:val="top"/>
          </w:tcPr>
          <w:p>
            <w:pPr>
              <w:spacing w:after="20"/>
            </w:pPr>
            <w:r>
              <w:rPr>
                <w:color w:val="000000"/>
                <w:sz w:val="16"/>
              </w:rPr>
              <w:t>Define function, source status, inputs, outputs, validation method, and external-use boundary for data source.</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simulation</w:t>
            </w:r>
          </w:p>
        </w:tc>
        <w:tc>
          <w:tcPr>
            <w:tcW w:type="dxa" w:w="5904"/>
            <w:vAlign w:val="top"/>
          </w:tcPr>
          <w:p>
            <w:pPr>
              <w:spacing w:after="20"/>
            </w:pPr>
            <w:r>
              <w:rPr>
                <w:color w:val="000000"/>
                <w:sz w:val="16"/>
              </w:rPr>
              <w:t>Define function, source status, inputs, outputs, validation method, and external-use boundary for simulation.</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interface theory</w:t>
            </w:r>
          </w:p>
        </w:tc>
        <w:tc>
          <w:tcPr>
            <w:tcW w:type="dxa" w:w="5904"/>
            <w:vAlign w:val="top"/>
          </w:tcPr>
          <w:p>
            <w:pPr>
              <w:spacing w:after="20"/>
            </w:pPr>
            <w:r>
              <w:rPr>
                <w:color w:val="000000"/>
                <w:sz w:val="16"/>
              </w:rPr>
              <w:t>Define function, source status, inputs, outputs, validation method, and external-use boundary for interface theory.</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dossier placement</w:t>
            </w:r>
          </w:p>
        </w:tc>
        <w:tc>
          <w:tcPr>
            <w:tcW w:type="dxa" w:w="5904"/>
            <w:vAlign w:val="top"/>
          </w:tcPr>
          <w:p>
            <w:pPr>
              <w:spacing w:after="20"/>
            </w:pPr>
            <w:r>
              <w:rPr>
                <w:color w:val="000000"/>
                <w:sz w:val="16"/>
              </w:rPr>
              <w:t>Define function, source status, inputs, outputs, validation method, and external-use boundary for dossier placement.</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theory inventory, hypothesis table, recovery queue.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equation audit, units audit, falsifiable predictions, domain review.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theory inventory, hypothesis table, recovery queue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presenting speculative theory as established physics.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theory inventory.</w:t>
      </w:r>
    </w:p>
    <w:p>
      <w:pPr>
        <w:pStyle w:val="ListBullet"/>
        <w:spacing w:after="100" w:line="259" w:lineRule="auto"/>
      </w:pPr>
      <w:r>
        <w:rPr>
          <w:b w:val="0"/>
          <w:i w:val="0"/>
          <w:color w:val="000000"/>
        </w:rPr>
        <w:t>hypothesis table.</w:t>
      </w:r>
    </w:p>
    <w:p>
      <w:pPr>
        <w:pStyle w:val="ListBullet"/>
        <w:spacing w:after="100" w:line="259" w:lineRule="auto"/>
      </w:pPr>
      <w:r>
        <w:rPr>
          <w:b w:val="0"/>
          <w:i w:val="0"/>
          <w:color w:val="000000"/>
        </w:rPr>
        <w:t>recovery queue.</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Bose-Davis Dispersion, Flamehold Model, Deep Earth Harmonic Mapping, and AI Interface Theory architecture map showing source status, control flow, validation gates, and external-packet route.</w:t>
      </w:r>
    </w:p>
    <w:p>
      <w:pPr>
        <w:pStyle w:val="IntenseQuote"/>
        <w:spacing w:after="100" w:line="259" w:lineRule="auto"/>
      </w:pPr>
      <w:r>
        <w:rPr>
          <w:b w:val="0"/>
          <w:i w:val="0"/>
          <w:color w:val="000000"/>
        </w:rPr>
        <w:t>Caption: Evidence matrix for Bose-Davis Dispersion, Flamehold Model, Deep Earth Harmonic Mapping, and AI Interface Theory,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r>
        <w:rPr>
          <w:color w:val="000000"/>
        </w:rPr>
        <w:br w:type="page"/>
      </w:r>
    </w:p>
    <w:p>
      <w:pPr>
        <w:pStyle w:val="Heading1"/>
        <w:keepNext/>
        <w:spacing w:before="160" w:after="80"/>
      </w:pPr>
      <w:r>
        <w:rPr>
          <w:color w:val="000000"/>
        </w:rPr>
        <w:t>Part IV - Autonomy, Aerospace, Infrastructure, and System-of-Systems Architecture</w:t>
      </w:r>
    </w:p>
    <w:p>
      <w:pPr>
        <w:pStyle w:val="IntenseQuote"/>
        <w:spacing w:after="100" w:line="259" w:lineRule="auto"/>
      </w:pPr>
      <w:r>
        <w:rPr>
          <w:b w:val="0"/>
          <w:i w:val="0"/>
          <w:color w:val="000000"/>
        </w:rPr>
        <w:t>This part groups related white-paper lanes into a coherent volume section. Each chapter expands the prior skeleton into a developed doctrine while preserving source posture and validation limits.</w:t>
      </w:r>
    </w:p>
    <w:p>
      <w:pPr>
        <w:pStyle w:val="Heading1"/>
        <w:keepNext/>
        <w:spacing w:before="160" w:after="80"/>
      </w:pPr>
      <w:r>
        <w:rPr>
          <w:color w:val="000000"/>
        </w:rPr>
        <w:t>Chapter 14 - HIVE, WASP, AVIS, NOAHS ARK, Watchers, Sentinels, and Swarm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memory</w:t>
            </w:r>
          </w:p>
        </w:tc>
        <w:tc>
          <w:tcPr>
            <w:tcW w:type="dxa" w:w="2880"/>
            <w:vAlign w:val="top"/>
          </w:tcPr>
          <w:p>
            <w:pPr>
              <w:spacing w:after="20"/>
            </w:pPr>
            <w:r>
              <w:rPr>
                <w:color w:val="000000"/>
                <w:sz w:val="16"/>
              </w:rPr>
              <w:t>Safe multi-agent governance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Safe multi-agent governance into a developed book section. Its controlling idea is distributed agent coordination with sensing, constraint enforcement, rollback, and auditability.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agent node, HIVE, Watcher, Sentinel, Guardian, ARK layers.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agent node</w:t>
            </w:r>
          </w:p>
        </w:tc>
        <w:tc>
          <w:tcPr>
            <w:tcW w:type="dxa" w:w="5904"/>
            <w:vAlign w:val="top"/>
          </w:tcPr>
          <w:p>
            <w:pPr>
              <w:spacing w:after="20"/>
            </w:pPr>
            <w:r>
              <w:rPr>
                <w:color w:val="000000"/>
                <w:sz w:val="16"/>
              </w:rPr>
              <w:t>Define function, source status, inputs, outputs, validation method, and external-use boundary for agent node.</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HIVE</w:t>
            </w:r>
          </w:p>
        </w:tc>
        <w:tc>
          <w:tcPr>
            <w:tcW w:type="dxa" w:w="5904"/>
            <w:vAlign w:val="top"/>
          </w:tcPr>
          <w:p>
            <w:pPr>
              <w:spacing w:after="20"/>
            </w:pPr>
            <w:r>
              <w:rPr>
                <w:color w:val="000000"/>
                <w:sz w:val="16"/>
              </w:rPr>
              <w:t>Define function, source status, inputs, outputs, validation method, and external-use boundary for HIVE.</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Watcher</w:t>
            </w:r>
          </w:p>
        </w:tc>
        <w:tc>
          <w:tcPr>
            <w:tcW w:type="dxa" w:w="5904"/>
            <w:vAlign w:val="top"/>
          </w:tcPr>
          <w:p>
            <w:pPr>
              <w:spacing w:after="20"/>
            </w:pPr>
            <w:r>
              <w:rPr>
                <w:color w:val="000000"/>
                <w:sz w:val="16"/>
              </w:rPr>
              <w:t>Define function, source status, inputs, outputs, validation method, and external-use boundary for Watcher.</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Sentinel</w:t>
            </w:r>
          </w:p>
        </w:tc>
        <w:tc>
          <w:tcPr>
            <w:tcW w:type="dxa" w:w="5904"/>
            <w:vAlign w:val="top"/>
          </w:tcPr>
          <w:p>
            <w:pPr>
              <w:spacing w:after="20"/>
            </w:pPr>
            <w:r>
              <w:rPr>
                <w:color w:val="000000"/>
                <w:sz w:val="16"/>
              </w:rPr>
              <w:t>Define function, source status, inputs, outputs, validation method, and external-use boundary for Sentinel.</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Guardian</w:t>
            </w:r>
          </w:p>
        </w:tc>
        <w:tc>
          <w:tcPr>
            <w:tcW w:type="dxa" w:w="5904"/>
            <w:vAlign w:val="top"/>
          </w:tcPr>
          <w:p>
            <w:pPr>
              <w:spacing w:after="20"/>
            </w:pPr>
            <w:r>
              <w:rPr>
                <w:color w:val="000000"/>
                <w:sz w:val="16"/>
              </w:rPr>
              <w:t>Define function, source status, inputs, outputs, validation method, and external-use boundary for Guardian.</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ARK layers</w:t>
            </w:r>
          </w:p>
        </w:tc>
        <w:tc>
          <w:tcPr>
            <w:tcW w:type="dxa" w:w="5904"/>
            <w:vAlign w:val="top"/>
          </w:tcPr>
          <w:p>
            <w:pPr>
              <w:spacing w:after="20"/>
            </w:pPr>
            <w:r>
              <w:rPr>
                <w:color w:val="000000"/>
                <w:sz w:val="16"/>
              </w:rPr>
              <w:t>Define function, source status, inputs, outputs, validation method, and external-use boundary for ARK layers.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swarm governance spec, safe simulation appendix.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toy simulations measuring latency, conflict resolution, recovery, and constraint compliance.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swarm governance spec, safe simulation appendix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harmful autonomy, real actuator connection, tactical swarm framing.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swarm governance spec.</w:t>
      </w:r>
    </w:p>
    <w:p>
      <w:pPr>
        <w:pStyle w:val="ListBullet"/>
        <w:spacing w:after="100" w:line="259" w:lineRule="auto"/>
      </w:pPr>
      <w:r>
        <w:rPr>
          <w:b w:val="0"/>
          <w:i w:val="0"/>
          <w:color w:val="000000"/>
        </w:rPr>
        <w:t>safe simulation appendix.</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HIVE, WASP, AVIS, NOAHS ARK, Watchers, Sentinels, and Swarm Governance architecture map showing source status, control flow, validation gates, and external-packet route.</w:t>
      </w:r>
    </w:p>
    <w:p>
      <w:pPr>
        <w:pStyle w:val="IntenseQuote"/>
        <w:spacing w:after="100" w:line="259" w:lineRule="auto"/>
      </w:pPr>
      <w:r>
        <w:rPr>
          <w:b w:val="0"/>
          <w:i w:val="0"/>
          <w:color w:val="000000"/>
        </w:rPr>
        <w:t>Caption: Evidence matrix for HIVE, WASP, AVIS, NOAHS ARK, Watchers, Sentinels, and Swarm Governance,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15 - General Dynamics, Virgin Galactic, General Atomics, Boeing, Northrop Grumman, and Boston Dynamics Orientation Lanes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 plus General Atomics source</w:t>
            </w:r>
          </w:p>
        </w:tc>
        <w:tc>
          <w:tcPr>
            <w:tcW w:type="dxa" w:w="2880"/>
            <w:vAlign w:val="top"/>
          </w:tcPr>
          <w:p>
            <w:pPr>
              <w:spacing w:after="20"/>
            </w:pPr>
            <w:r>
              <w:rPr>
                <w:color w:val="000000"/>
                <w:sz w:val="16"/>
              </w:rPr>
              <w:t>Partner-orientation packaging</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Partner-orientation packaging into a developed book section. Its controlling idea is company-specific orientation packets that map each recipient to relevant project lanes without implying relationship.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stability, transition, autonomy, aerospace manufacturing, advanced systems, robotics lenses.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stability</w:t>
            </w:r>
          </w:p>
        </w:tc>
        <w:tc>
          <w:tcPr>
            <w:tcW w:type="dxa" w:w="5904"/>
            <w:vAlign w:val="top"/>
          </w:tcPr>
          <w:p>
            <w:pPr>
              <w:spacing w:after="20"/>
            </w:pPr>
            <w:r>
              <w:rPr>
                <w:color w:val="000000"/>
                <w:sz w:val="16"/>
              </w:rPr>
              <w:t>Define function, source status, inputs, outputs, validation method, and external-use boundary for stability.</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transition</w:t>
            </w:r>
          </w:p>
        </w:tc>
        <w:tc>
          <w:tcPr>
            <w:tcW w:type="dxa" w:w="5904"/>
            <w:vAlign w:val="top"/>
          </w:tcPr>
          <w:p>
            <w:pPr>
              <w:spacing w:after="20"/>
            </w:pPr>
            <w:r>
              <w:rPr>
                <w:color w:val="000000"/>
                <w:sz w:val="16"/>
              </w:rPr>
              <w:t>Define function, source status, inputs, outputs, validation method, and external-use boundary for transition.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autonomy</w:t>
            </w:r>
          </w:p>
        </w:tc>
        <w:tc>
          <w:tcPr>
            <w:tcW w:type="dxa" w:w="5904"/>
            <w:vAlign w:val="top"/>
          </w:tcPr>
          <w:p>
            <w:pPr>
              <w:spacing w:after="20"/>
            </w:pPr>
            <w:r>
              <w:rPr>
                <w:color w:val="000000"/>
                <w:sz w:val="16"/>
              </w:rPr>
              <w:t>Define function, source status, inputs, outputs, validation method, and external-use boundary for autonomy.</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aerospace manufacturing</w:t>
            </w:r>
          </w:p>
        </w:tc>
        <w:tc>
          <w:tcPr>
            <w:tcW w:type="dxa" w:w="5904"/>
            <w:vAlign w:val="top"/>
          </w:tcPr>
          <w:p>
            <w:pPr>
              <w:spacing w:after="20"/>
            </w:pPr>
            <w:r>
              <w:rPr>
                <w:color w:val="000000"/>
                <w:sz w:val="16"/>
              </w:rPr>
              <w:t>Define function, source status, inputs, outputs, validation method, and external-use boundary for aerospace manufacturing.</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advanced systems</w:t>
            </w:r>
          </w:p>
        </w:tc>
        <w:tc>
          <w:tcPr>
            <w:tcW w:type="dxa" w:w="5904"/>
            <w:vAlign w:val="top"/>
          </w:tcPr>
          <w:p>
            <w:pPr>
              <w:spacing w:after="20"/>
            </w:pPr>
            <w:r>
              <w:rPr>
                <w:color w:val="000000"/>
                <w:sz w:val="16"/>
              </w:rPr>
              <w:t>Define function, source status, inputs, outputs, validation method, and external-use boundary for advanced systems.</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robotics lenses</w:t>
            </w:r>
          </w:p>
        </w:tc>
        <w:tc>
          <w:tcPr>
            <w:tcW w:type="dxa" w:w="5904"/>
            <w:vAlign w:val="top"/>
          </w:tcPr>
          <w:p>
            <w:pPr>
              <w:spacing w:after="20"/>
            </w:pPr>
            <w:r>
              <w:rPr>
                <w:color w:val="000000"/>
                <w:sz w:val="16"/>
              </w:rPr>
              <w:t>Define function, source status, inputs, outputs, validation method, and external-use boundary for robotics lenses.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six one-pagers, partner-fit matrix, outreach log.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clear labels stating orientation target only, with non-confidential and confidential packet split.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six one-pagers, partner-fit matrix, outreach log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false endorsement, overbroad outreach, export-control risk.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six one-pagers.</w:t>
      </w:r>
    </w:p>
    <w:p>
      <w:pPr>
        <w:pStyle w:val="ListBullet"/>
        <w:spacing w:after="100" w:line="259" w:lineRule="auto"/>
      </w:pPr>
      <w:r>
        <w:rPr>
          <w:b w:val="0"/>
          <w:i w:val="0"/>
          <w:color w:val="000000"/>
        </w:rPr>
        <w:t>partner-fit matrix.</w:t>
      </w:r>
    </w:p>
    <w:p>
      <w:pPr>
        <w:pStyle w:val="ListBullet"/>
        <w:spacing w:after="100" w:line="259" w:lineRule="auto"/>
      </w:pPr>
      <w:r>
        <w:rPr>
          <w:b w:val="0"/>
          <w:i w:val="0"/>
          <w:color w:val="000000"/>
        </w:rPr>
        <w:t>outreach log.</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General Dynamics, Virgin Galactic, General Atomics, Boeing, Northrop Grumman, and Boston Dynamics Orientation Lanes architecture map showing source status, control flow, validation gates, and external-packet route.</w:t>
      </w:r>
    </w:p>
    <w:p>
      <w:pPr>
        <w:pStyle w:val="IntenseQuote"/>
        <w:spacing w:after="100" w:line="259" w:lineRule="auto"/>
      </w:pPr>
      <w:r>
        <w:rPr>
          <w:b w:val="0"/>
          <w:i w:val="0"/>
          <w:color w:val="000000"/>
        </w:rPr>
        <w:t>Caption: Evidence matrix for General Dynamics, Virgin Galactic, General Atomics, Boeing, Northrop Grumman, and Boston Dynamics Orientation Lanes,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16 - General Atomics and the GDS Triad: Energy, Sensing, Autonomy, Stability, and Transition</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File Library source</w:t>
            </w:r>
          </w:p>
        </w:tc>
        <w:tc>
          <w:tcPr>
            <w:tcW w:type="dxa" w:w="2880"/>
            <w:vAlign w:val="top"/>
          </w:tcPr>
          <w:p>
            <w:pPr>
              <w:spacing w:after="20"/>
            </w:pPr>
            <w:r>
              <w:rPr>
                <w:color w:val="000000"/>
                <w:sz w:val="16"/>
              </w:rPr>
              <w:t>Systems-of-systems analogy</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Systems-of-systems analogy into a developed book section. Its controlling idea is a triadic constraint model where energy enables autonomy, sensing enables prediction, structure enables persistence, and transition enables evolution.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stability domain, transition domain, autonomy domain, energetic autonomy coupling, Watcher/Oracle/Hive mapping, Ark/Guardian mapping.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stability domain</w:t>
            </w:r>
          </w:p>
        </w:tc>
        <w:tc>
          <w:tcPr>
            <w:tcW w:type="dxa" w:w="5904"/>
            <w:vAlign w:val="top"/>
          </w:tcPr>
          <w:p>
            <w:pPr>
              <w:spacing w:after="20"/>
            </w:pPr>
            <w:r>
              <w:rPr>
                <w:color w:val="000000"/>
                <w:sz w:val="16"/>
              </w:rPr>
              <w:t>Define function, source status, inputs, outputs, validation method, and external-use boundary for stability domain.</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transition domain</w:t>
            </w:r>
          </w:p>
        </w:tc>
        <w:tc>
          <w:tcPr>
            <w:tcW w:type="dxa" w:w="5904"/>
            <w:vAlign w:val="top"/>
          </w:tcPr>
          <w:p>
            <w:pPr>
              <w:spacing w:after="20"/>
            </w:pPr>
            <w:r>
              <w:rPr>
                <w:color w:val="000000"/>
                <w:sz w:val="16"/>
              </w:rPr>
              <w:t>Define function, source status, inputs, outputs, validation method, and external-use boundary for transition domain.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autonomy domain</w:t>
            </w:r>
          </w:p>
        </w:tc>
        <w:tc>
          <w:tcPr>
            <w:tcW w:type="dxa" w:w="5904"/>
            <w:vAlign w:val="top"/>
          </w:tcPr>
          <w:p>
            <w:pPr>
              <w:spacing w:after="20"/>
            </w:pPr>
            <w:r>
              <w:rPr>
                <w:color w:val="000000"/>
                <w:sz w:val="16"/>
              </w:rPr>
              <w:t>Define function, source status, inputs, outputs, validation method, and external-use boundary for autonomy domain.</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energetic autonomy coupling</w:t>
            </w:r>
          </w:p>
        </w:tc>
        <w:tc>
          <w:tcPr>
            <w:tcW w:type="dxa" w:w="5904"/>
            <w:vAlign w:val="top"/>
          </w:tcPr>
          <w:p>
            <w:pPr>
              <w:spacing w:after="20"/>
            </w:pPr>
            <w:r>
              <w:rPr>
                <w:color w:val="000000"/>
                <w:sz w:val="16"/>
              </w:rPr>
              <w:t>Define function, source status, inputs, outputs, validation method, and external-use boundary for energetic autonomy coupling.</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Watcher/Oracle/Hive mapping</w:t>
            </w:r>
          </w:p>
        </w:tc>
        <w:tc>
          <w:tcPr>
            <w:tcW w:type="dxa" w:w="5904"/>
            <w:vAlign w:val="top"/>
          </w:tcPr>
          <w:p>
            <w:pPr>
              <w:spacing w:after="20"/>
            </w:pPr>
            <w:r>
              <w:rPr>
                <w:color w:val="000000"/>
                <w:sz w:val="16"/>
              </w:rPr>
              <w:t>Define function, source status, inputs, outputs, validation method, and external-use boundary for Watcher/Oracle/Hive mapping.</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Ark/Guardian mapping</w:t>
            </w:r>
          </w:p>
        </w:tc>
        <w:tc>
          <w:tcPr>
            <w:tcW w:type="dxa" w:w="5904"/>
            <w:vAlign w:val="top"/>
          </w:tcPr>
          <w:p>
            <w:pPr>
              <w:spacing w:after="20"/>
            </w:pPr>
            <w:r>
              <w:rPr>
                <w:color w:val="000000"/>
                <w:sz w:val="16"/>
              </w:rPr>
              <w:t>Define function, source status, inputs, outputs, validation method, and external-use boundary for Ark/Guardian mapping.</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GDS triad diagram, coupling definition, safe simulation concept.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measurable variables for energy budget, sensor latency, failure recovery, and stability.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GDS triad diagram, coupling definition, safe simulation concept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implying corporate involvement or proprietary access.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GDS triad diagram.</w:t>
      </w:r>
    </w:p>
    <w:p>
      <w:pPr>
        <w:pStyle w:val="ListBullet"/>
        <w:spacing w:after="100" w:line="259" w:lineRule="auto"/>
      </w:pPr>
      <w:r>
        <w:rPr>
          <w:b w:val="0"/>
          <w:i w:val="0"/>
          <w:color w:val="000000"/>
        </w:rPr>
        <w:t>coupling definition.</w:t>
      </w:r>
    </w:p>
    <w:p>
      <w:pPr>
        <w:pStyle w:val="ListBullet"/>
        <w:spacing w:after="100" w:line="259" w:lineRule="auto"/>
      </w:pPr>
      <w:r>
        <w:rPr>
          <w:b w:val="0"/>
          <w:i w:val="0"/>
          <w:color w:val="000000"/>
        </w:rPr>
        <w:t>safe simulation concept.</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General Atomics and the GDS Triad: Energy, Sensing, Autonomy, Stability, and Transition architecture map showing source status, control flow, validation gates, and external-packet route.</w:t>
      </w:r>
    </w:p>
    <w:p>
      <w:pPr>
        <w:pStyle w:val="IntenseQuote"/>
        <w:spacing w:after="100" w:line="259" w:lineRule="auto"/>
      </w:pPr>
      <w:r>
        <w:rPr>
          <w:b w:val="0"/>
          <w:i w:val="0"/>
          <w:color w:val="000000"/>
        </w:rPr>
        <w:t>Caption: Evidence matrix for General Atomics and the GDS Triad: Energy, Sensing, Autonomy, Stability, and Transition,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17 - Orbital Command and Deep-Sea Technology Stack</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context</w:t>
            </w:r>
          </w:p>
        </w:tc>
        <w:tc>
          <w:tcPr>
            <w:tcW w:type="dxa" w:w="2880"/>
            <w:vAlign w:val="top"/>
          </w:tcPr>
          <w:p>
            <w:pPr>
              <w:spacing w:after="20"/>
            </w:pPr>
            <w:r>
              <w:rPr>
                <w:color w:val="000000"/>
                <w:sz w:val="16"/>
              </w:rPr>
              <w:t>Extreme-environment systems architecture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Extreme-environment systems architecture into a developed book section. Its controlling idea is surface, orbital, and submersible chains joined by sensing, communication delay, redundancy, prediction, and self-correction.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surface chain, orbital chain, submersible chain, predictive subsystem, redundancy, self-correction.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surface chain</w:t>
            </w:r>
          </w:p>
        </w:tc>
        <w:tc>
          <w:tcPr>
            <w:tcW w:type="dxa" w:w="5904"/>
            <w:vAlign w:val="top"/>
          </w:tcPr>
          <w:p>
            <w:pPr>
              <w:spacing w:after="20"/>
            </w:pPr>
            <w:r>
              <w:rPr>
                <w:color w:val="000000"/>
                <w:sz w:val="16"/>
              </w:rPr>
              <w:t>Define function, source status, inputs, outputs, validation method, and external-use boundary for surface chain.</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orbital chain</w:t>
            </w:r>
          </w:p>
        </w:tc>
        <w:tc>
          <w:tcPr>
            <w:tcW w:type="dxa" w:w="5904"/>
            <w:vAlign w:val="top"/>
          </w:tcPr>
          <w:p>
            <w:pPr>
              <w:spacing w:after="20"/>
            </w:pPr>
            <w:r>
              <w:rPr>
                <w:color w:val="000000"/>
                <w:sz w:val="16"/>
              </w:rPr>
              <w:t>Define function, source status, inputs, outputs, validation method, and external-use boundary for orbital chain.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submersible chain</w:t>
            </w:r>
          </w:p>
        </w:tc>
        <w:tc>
          <w:tcPr>
            <w:tcW w:type="dxa" w:w="5904"/>
            <w:vAlign w:val="top"/>
          </w:tcPr>
          <w:p>
            <w:pPr>
              <w:spacing w:after="20"/>
            </w:pPr>
            <w:r>
              <w:rPr>
                <w:color w:val="000000"/>
                <w:sz w:val="16"/>
              </w:rPr>
              <w:t>Define function, source status, inputs, outputs, validation method, and external-use boundary for submersible chain.</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predictive subsystem</w:t>
            </w:r>
          </w:p>
        </w:tc>
        <w:tc>
          <w:tcPr>
            <w:tcW w:type="dxa" w:w="5904"/>
            <w:vAlign w:val="top"/>
          </w:tcPr>
          <w:p>
            <w:pPr>
              <w:spacing w:after="20"/>
            </w:pPr>
            <w:r>
              <w:rPr>
                <w:color w:val="000000"/>
                <w:sz w:val="16"/>
              </w:rPr>
              <w:t>Define function, source status, inputs, outputs, validation method, and external-use boundary for predictive subsystem.</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redundancy</w:t>
            </w:r>
          </w:p>
        </w:tc>
        <w:tc>
          <w:tcPr>
            <w:tcW w:type="dxa" w:w="5904"/>
            <w:vAlign w:val="top"/>
          </w:tcPr>
          <w:p>
            <w:pPr>
              <w:spacing w:after="20"/>
            </w:pPr>
            <w:r>
              <w:rPr>
                <w:color w:val="000000"/>
                <w:sz w:val="16"/>
              </w:rPr>
              <w:t>Define function, source status, inputs, outputs, validation method, and external-use boundary for redundancy.</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self-correction</w:t>
            </w:r>
          </w:p>
        </w:tc>
        <w:tc>
          <w:tcPr>
            <w:tcW w:type="dxa" w:w="5904"/>
            <w:vAlign w:val="top"/>
          </w:tcPr>
          <w:p>
            <w:pPr>
              <w:spacing w:after="20"/>
            </w:pPr>
            <w:r>
              <w:rPr>
                <w:color w:val="000000"/>
                <w:sz w:val="16"/>
              </w:rPr>
              <w:t>Define function, source status, inputs, outputs, validation method, and external-use boundary for self-correction.</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three-chain diagrams, predictive behavior examples.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benign simulations of delay, sensor degradation, failover, and recovery.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three-chain diagrams, predictive behavior examples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real-asset control implications, classified-system language, surveillance framing.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three-chain diagrams.</w:t>
      </w:r>
    </w:p>
    <w:p>
      <w:pPr>
        <w:pStyle w:val="ListBullet"/>
        <w:spacing w:after="100" w:line="259" w:lineRule="auto"/>
      </w:pPr>
      <w:r>
        <w:rPr>
          <w:b w:val="0"/>
          <w:i w:val="0"/>
          <w:color w:val="000000"/>
        </w:rPr>
        <w:t>predictive behavior examples.</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Orbital Command and Deep-Sea Technology Stack architecture map showing source status, control flow, validation gates, and external-packet route.</w:t>
      </w:r>
    </w:p>
    <w:p>
      <w:pPr>
        <w:pStyle w:val="IntenseQuote"/>
        <w:spacing w:after="100" w:line="259" w:lineRule="auto"/>
      </w:pPr>
      <w:r>
        <w:rPr>
          <w:b w:val="0"/>
          <w:i w:val="0"/>
          <w:color w:val="000000"/>
        </w:rPr>
        <w:t>Caption: Evidence matrix for Orbital Command and Deep-Sea Technology Stack,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18 - CTA-Aligned Dossier Families: AAI, BIO, LOG, Q-BID, SCADE, and SHY</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Personal context</w:t>
            </w:r>
          </w:p>
        </w:tc>
        <w:tc>
          <w:tcPr>
            <w:tcW w:type="dxa" w:w="2880"/>
            <w:vAlign w:val="top"/>
          </w:tcPr>
          <w:p>
            <w:pPr>
              <w:spacing w:after="20"/>
            </w:pPr>
            <w:r>
              <w:rPr>
                <w:color w:val="000000"/>
                <w:sz w:val="16"/>
              </w:rPr>
              <w:t>Strategic taxonomy</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Strategic taxonomy into a developed book section. Its controlling idea is classification of project artifacts into research families while staying non-operational and evidence-bounded.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Applied AI, Biomanufacturing, Logistics, Information Dominance, Field Control, High-Energy Transition tags.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Applied AI</w:t>
            </w:r>
          </w:p>
        </w:tc>
        <w:tc>
          <w:tcPr>
            <w:tcW w:type="dxa" w:w="5904"/>
            <w:vAlign w:val="top"/>
          </w:tcPr>
          <w:p>
            <w:pPr>
              <w:spacing w:after="20"/>
            </w:pPr>
            <w:r>
              <w:rPr>
                <w:color w:val="000000"/>
                <w:sz w:val="16"/>
              </w:rPr>
              <w:t>Define function, source status, inputs, outputs, validation method, and external-use boundary for Applied AI.</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Biomanufacturing</w:t>
            </w:r>
          </w:p>
        </w:tc>
        <w:tc>
          <w:tcPr>
            <w:tcW w:type="dxa" w:w="5904"/>
            <w:vAlign w:val="top"/>
          </w:tcPr>
          <w:p>
            <w:pPr>
              <w:spacing w:after="20"/>
            </w:pPr>
            <w:r>
              <w:rPr>
                <w:color w:val="000000"/>
                <w:sz w:val="16"/>
              </w:rPr>
              <w:t>Define function, source status, inputs, outputs, validation method, and external-use boundary for Biomanufacturing.</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Logistics</w:t>
            </w:r>
          </w:p>
        </w:tc>
        <w:tc>
          <w:tcPr>
            <w:tcW w:type="dxa" w:w="5904"/>
            <w:vAlign w:val="top"/>
          </w:tcPr>
          <w:p>
            <w:pPr>
              <w:spacing w:after="20"/>
            </w:pPr>
            <w:r>
              <w:rPr>
                <w:color w:val="000000"/>
                <w:sz w:val="16"/>
              </w:rPr>
              <w:t>Define function, source status, inputs, outputs, validation method, and external-use boundary for Logistics.</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Information Dominance</w:t>
            </w:r>
          </w:p>
        </w:tc>
        <w:tc>
          <w:tcPr>
            <w:tcW w:type="dxa" w:w="5904"/>
            <w:vAlign w:val="top"/>
          </w:tcPr>
          <w:p>
            <w:pPr>
              <w:spacing w:after="20"/>
            </w:pPr>
            <w:r>
              <w:rPr>
                <w:color w:val="000000"/>
                <w:sz w:val="16"/>
              </w:rPr>
              <w:t>Define function, source status, inputs, outputs, validation method, and external-use boundary for Information Dominance.</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Field Control</w:t>
            </w:r>
          </w:p>
        </w:tc>
        <w:tc>
          <w:tcPr>
            <w:tcW w:type="dxa" w:w="5904"/>
            <w:vAlign w:val="top"/>
          </w:tcPr>
          <w:p>
            <w:pPr>
              <w:spacing w:after="20"/>
            </w:pPr>
            <w:r>
              <w:rPr>
                <w:color w:val="000000"/>
                <w:sz w:val="16"/>
              </w:rPr>
              <w:t>Define function, source status, inputs, outputs, validation method, and external-use boundary for Field Control.</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High-Energy Transition tags</w:t>
            </w:r>
          </w:p>
        </w:tc>
        <w:tc>
          <w:tcPr>
            <w:tcW w:type="dxa" w:w="5904"/>
            <w:vAlign w:val="top"/>
          </w:tcPr>
          <w:p>
            <w:pPr>
              <w:spacing w:after="20"/>
            </w:pPr>
            <w:r>
              <w:rPr>
                <w:color w:val="000000"/>
                <w:sz w:val="16"/>
              </w:rPr>
              <w:t>Define function, source status, inputs, outputs, validation method, and external-use boundary for High-Energy Transition tags.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family index, sensitivity guide, volume split map.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artifact tagging, sensitivity review, external-use filters.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family index, sensitivity guide, volume split map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turning taxonomy into implied capability.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family index.</w:t>
      </w:r>
    </w:p>
    <w:p>
      <w:pPr>
        <w:pStyle w:val="ListBullet"/>
        <w:spacing w:after="100" w:line="259" w:lineRule="auto"/>
      </w:pPr>
      <w:r>
        <w:rPr>
          <w:b w:val="0"/>
          <w:i w:val="0"/>
          <w:color w:val="000000"/>
        </w:rPr>
        <w:t>sensitivity guide.</w:t>
      </w:r>
    </w:p>
    <w:p>
      <w:pPr>
        <w:pStyle w:val="ListBullet"/>
        <w:spacing w:after="100" w:line="259" w:lineRule="auto"/>
      </w:pPr>
      <w:r>
        <w:rPr>
          <w:b w:val="0"/>
          <w:i w:val="0"/>
          <w:color w:val="000000"/>
        </w:rPr>
        <w:t>volume split map.</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CTA-Aligned Dossier Families: AAI, BIO, LOG, Q-BID, SCADE, and SHY architecture map showing source status, control flow, validation gates, and external-packet route.</w:t>
      </w:r>
    </w:p>
    <w:p>
      <w:pPr>
        <w:pStyle w:val="IntenseQuote"/>
        <w:spacing w:after="100" w:line="259" w:lineRule="auto"/>
      </w:pPr>
      <w:r>
        <w:rPr>
          <w:b w:val="0"/>
          <w:i w:val="0"/>
          <w:color w:val="000000"/>
        </w:rPr>
        <w:t>Caption: Evidence matrix for CTA-Aligned Dossier Families: AAI, BIO, LOG, Q-BID, SCADE, and SHY,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19 - Secure Linux, SSH Hardening, Padawan Crypto Recovery, and Defensive Infrastructure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Personal context</w:t>
            </w:r>
          </w:p>
        </w:tc>
        <w:tc>
          <w:tcPr>
            <w:tcW w:type="dxa" w:w="2880"/>
            <w:vAlign w:val="top"/>
          </w:tcPr>
          <w:p>
            <w:pPr>
              <w:spacing w:after="20"/>
            </w:pPr>
            <w:r>
              <w:rPr>
                <w:color w:val="000000"/>
                <w:sz w:val="16"/>
              </w:rPr>
              <w:t>Defensive computing lane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Defensive computing lane into a developed book section. Its controlling idea is trusted local infrastructure, encrypted storage, SSH discipline, mock recovery, and non-destructive archive handling.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network audit, ed25519 keys, sshd hardening, disk encryption, mock recovery, evidence hygiene.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network audit</w:t>
            </w:r>
          </w:p>
        </w:tc>
        <w:tc>
          <w:tcPr>
            <w:tcW w:type="dxa" w:w="5904"/>
            <w:vAlign w:val="top"/>
          </w:tcPr>
          <w:p>
            <w:pPr>
              <w:spacing w:after="20"/>
            </w:pPr>
            <w:r>
              <w:rPr>
                <w:color w:val="000000"/>
                <w:sz w:val="16"/>
              </w:rPr>
              <w:t>Define function, source status, inputs, outputs, validation method, and external-use boundary for network audit.</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ed25519 keys</w:t>
            </w:r>
          </w:p>
        </w:tc>
        <w:tc>
          <w:tcPr>
            <w:tcW w:type="dxa" w:w="5904"/>
            <w:vAlign w:val="top"/>
          </w:tcPr>
          <w:p>
            <w:pPr>
              <w:spacing w:after="20"/>
            </w:pPr>
            <w:r>
              <w:rPr>
                <w:color w:val="000000"/>
                <w:sz w:val="16"/>
              </w:rPr>
              <w:t>Define function, source status, inputs, outputs, validation method, and external-use boundary for ed25519 keys.</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sshd hardening</w:t>
            </w:r>
          </w:p>
        </w:tc>
        <w:tc>
          <w:tcPr>
            <w:tcW w:type="dxa" w:w="5904"/>
            <w:vAlign w:val="top"/>
          </w:tcPr>
          <w:p>
            <w:pPr>
              <w:spacing w:after="20"/>
            </w:pPr>
            <w:r>
              <w:rPr>
                <w:color w:val="000000"/>
                <w:sz w:val="16"/>
              </w:rPr>
              <w:t>Define function, source status, inputs, outputs, validation method, and external-use boundary for sshd hardening.</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disk encryption</w:t>
            </w:r>
          </w:p>
        </w:tc>
        <w:tc>
          <w:tcPr>
            <w:tcW w:type="dxa" w:w="5904"/>
            <w:vAlign w:val="top"/>
          </w:tcPr>
          <w:p>
            <w:pPr>
              <w:spacing w:after="20"/>
            </w:pPr>
            <w:r>
              <w:rPr>
                <w:color w:val="000000"/>
                <w:sz w:val="16"/>
              </w:rPr>
              <w:t>Define function, source status, inputs, outputs, validation method, and external-use boundary for disk encryption.</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mock recovery</w:t>
            </w:r>
          </w:p>
        </w:tc>
        <w:tc>
          <w:tcPr>
            <w:tcW w:type="dxa" w:w="5904"/>
            <w:vAlign w:val="top"/>
          </w:tcPr>
          <w:p>
            <w:pPr>
              <w:spacing w:after="20"/>
            </w:pPr>
            <w:r>
              <w:rPr>
                <w:color w:val="000000"/>
                <w:sz w:val="16"/>
              </w:rPr>
              <w:t>Define function, source status, inputs, outputs, validation method, and external-use boundary for mock recovery.</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evidence hygiene</w:t>
            </w:r>
          </w:p>
        </w:tc>
        <w:tc>
          <w:tcPr>
            <w:tcW w:type="dxa" w:w="5904"/>
            <w:vAlign w:val="top"/>
          </w:tcPr>
          <w:p>
            <w:pPr>
              <w:spacing w:after="20"/>
            </w:pPr>
            <w:r>
              <w:rPr>
                <w:color w:val="000000"/>
                <w:sz w:val="16"/>
              </w:rPr>
              <w:t>Define function, source status, inputs, outputs, validation method, and external-use boundary for evidence hygiene.</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defensive checklist, mock lab, archive backup policy.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sanitized logs, no secrets, backup verification, mock-first recovery.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defensive checklist, mock lab, archive backup policy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secret leakage, destructive recovery, third-party asset issues.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defensive checklist.</w:t>
      </w:r>
    </w:p>
    <w:p>
      <w:pPr>
        <w:pStyle w:val="ListBullet"/>
        <w:spacing w:after="100" w:line="259" w:lineRule="auto"/>
      </w:pPr>
      <w:r>
        <w:rPr>
          <w:b w:val="0"/>
          <w:i w:val="0"/>
          <w:color w:val="000000"/>
        </w:rPr>
        <w:t>mock lab.</w:t>
      </w:r>
    </w:p>
    <w:p>
      <w:pPr>
        <w:pStyle w:val="ListBullet"/>
        <w:spacing w:after="100" w:line="259" w:lineRule="auto"/>
      </w:pPr>
      <w:r>
        <w:rPr>
          <w:b w:val="0"/>
          <w:i w:val="0"/>
          <w:color w:val="000000"/>
        </w:rPr>
        <w:t>archive backup policy.</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Secure Linux, SSH Hardening, Padawan Crypto Recovery, and Defensive Infrastructure architecture map showing source status, control flow, validation gates, and external-packet route.</w:t>
      </w:r>
    </w:p>
    <w:p>
      <w:pPr>
        <w:pStyle w:val="IntenseQuote"/>
        <w:spacing w:after="100" w:line="259" w:lineRule="auto"/>
      </w:pPr>
      <w:r>
        <w:rPr>
          <w:b w:val="0"/>
          <w:i w:val="0"/>
          <w:color w:val="000000"/>
        </w:rPr>
        <w:t>Caption: Evidence matrix for Secure Linux, SSH Hardening, Padawan Crypto Recovery, and Defensive Infrastructure,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20 - Legacy Systems, DOSBox, BRD953 Workspace, and Project Shepherd DOS Edition</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Personal context</w:t>
            </w:r>
          </w:p>
        </w:tc>
        <w:tc>
          <w:tcPr>
            <w:tcW w:type="dxa" w:w="2880"/>
            <w:vAlign w:val="top"/>
          </w:tcPr>
          <w:p>
            <w:pPr>
              <w:spacing w:after="20"/>
            </w:pPr>
            <w:r>
              <w:rPr>
                <w:color w:val="000000"/>
                <w:sz w:val="16"/>
              </w:rPr>
              <w:t>Archival tooling</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Archival tooling into a developed book section. Its controlling idea is retro-computing and legacy workspace preservation for reproducible inspection of older project artifacts.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directory skeleton, startup scripts, tool bundle, project folders, configuration, archive policy.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directory skeleton</w:t>
            </w:r>
          </w:p>
        </w:tc>
        <w:tc>
          <w:tcPr>
            <w:tcW w:type="dxa" w:w="5904"/>
            <w:vAlign w:val="top"/>
          </w:tcPr>
          <w:p>
            <w:pPr>
              <w:spacing w:after="20"/>
            </w:pPr>
            <w:r>
              <w:rPr>
                <w:color w:val="000000"/>
                <w:sz w:val="16"/>
              </w:rPr>
              <w:t>Define function, source status, inputs, outputs, validation method, and external-use boundary for directory skeleton.</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startup scripts</w:t>
            </w:r>
          </w:p>
        </w:tc>
        <w:tc>
          <w:tcPr>
            <w:tcW w:type="dxa" w:w="5904"/>
            <w:vAlign w:val="top"/>
          </w:tcPr>
          <w:p>
            <w:pPr>
              <w:spacing w:after="20"/>
            </w:pPr>
            <w:r>
              <w:rPr>
                <w:color w:val="000000"/>
                <w:sz w:val="16"/>
              </w:rPr>
              <w:t>Define function, source status, inputs, outputs, validation method, and external-use boundary for startup scripts.</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tool bundle</w:t>
            </w:r>
          </w:p>
        </w:tc>
        <w:tc>
          <w:tcPr>
            <w:tcW w:type="dxa" w:w="5904"/>
            <w:vAlign w:val="top"/>
          </w:tcPr>
          <w:p>
            <w:pPr>
              <w:spacing w:after="20"/>
            </w:pPr>
            <w:r>
              <w:rPr>
                <w:color w:val="000000"/>
                <w:sz w:val="16"/>
              </w:rPr>
              <w:t>Define function, source status, inputs, outputs, validation method, and external-use boundary for tool bundle.</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project folders</w:t>
            </w:r>
          </w:p>
        </w:tc>
        <w:tc>
          <w:tcPr>
            <w:tcW w:type="dxa" w:w="5904"/>
            <w:vAlign w:val="top"/>
          </w:tcPr>
          <w:p>
            <w:pPr>
              <w:spacing w:after="20"/>
            </w:pPr>
            <w:r>
              <w:rPr>
                <w:color w:val="000000"/>
                <w:sz w:val="16"/>
              </w:rPr>
              <w:t>Define function, source status, inputs, outputs, validation method, and external-use boundary for project folders.</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configuration</w:t>
            </w:r>
          </w:p>
        </w:tc>
        <w:tc>
          <w:tcPr>
            <w:tcW w:type="dxa" w:w="5904"/>
            <w:vAlign w:val="top"/>
          </w:tcPr>
          <w:p>
            <w:pPr>
              <w:spacing w:after="20"/>
            </w:pPr>
            <w:r>
              <w:rPr>
                <w:color w:val="000000"/>
                <w:sz w:val="16"/>
              </w:rPr>
              <w:t>Define function, source status, inputs, outputs, validation method, and external-use boundary for configuration.</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archive policy</w:t>
            </w:r>
          </w:p>
        </w:tc>
        <w:tc>
          <w:tcPr>
            <w:tcW w:type="dxa" w:w="5904"/>
            <w:vAlign w:val="top"/>
          </w:tcPr>
          <w:p>
            <w:pPr>
              <w:spacing w:after="20"/>
            </w:pPr>
            <w:r>
              <w:rPr>
                <w:color w:val="000000"/>
                <w:sz w:val="16"/>
              </w:rPr>
              <w:t>Define function, source status, inputs, outputs, validation method, and external-use boundary for archive policy.</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DOS starter kit, legacy manifest, forensic checklist.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buildable sandbox with sample files and read-only originals.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DOS starter kit, legacy manifest, forensic checklist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altering original evidence, running unknown binaries, overstating emulation.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DOS starter kit.</w:t>
      </w:r>
    </w:p>
    <w:p>
      <w:pPr>
        <w:pStyle w:val="ListBullet"/>
        <w:spacing w:after="100" w:line="259" w:lineRule="auto"/>
      </w:pPr>
      <w:r>
        <w:rPr>
          <w:b w:val="0"/>
          <w:i w:val="0"/>
          <w:color w:val="000000"/>
        </w:rPr>
        <w:t>legacy manifest.</w:t>
      </w:r>
    </w:p>
    <w:p>
      <w:pPr>
        <w:pStyle w:val="ListBullet"/>
        <w:spacing w:after="100" w:line="259" w:lineRule="auto"/>
      </w:pPr>
      <w:r>
        <w:rPr>
          <w:b w:val="0"/>
          <w:i w:val="0"/>
          <w:color w:val="000000"/>
        </w:rPr>
        <w:t>forensic checklist.</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Legacy Systems, DOSBox, BRD953 Workspace, and Project Shepherd DOS Edition architecture map showing source status, control flow, validation gates, and external-packet route.</w:t>
      </w:r>
    </w:p>
    <w:p>
      <w:pPr>
        <w:pStyle w:val="IntenseQuote"/>
        <w:spacing w:after="100" w:line="259" w:lineRule="auto"/>
      </w:pPr>
      <w:r>
        <w:rPr>
          <w:b w:val="0"/>
          <w:i w:val="0"/>
          <w:color w:val="000000"/>
        </w:rPr>
        <w:t>Caption: Evidence matrix for Legacy Systems, DOSBox, BRD953 Workspace, and Project Shepherd DOS Edition,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r>
        <w:rPr>
          <w:color w:val="000000"/>
        </w:rPr>
        <w:br w:type="page"/>
      </w:r>
    </w:p>
    <w:p>
      <w:pPr>
        <w:pStyle w:val="Heading1"/>
        <w:keepNext/>
        <w:spacing w:before="160" w:after="80"/>
      </w:pPr>
      <w:r>
        <w:rPr>
          <w:color w:val="000000"/>
        </w:rPr>
        <w:t>Part V - Dossier Archive, Chronology, Commercialization, and Roadmap</w:t>
      </w:r>
    </w:p>
    <w:p>
      <w:pPr>
        <w:pStyle w:val="IntenseQuote"/>
        <w:spacing w:after="100" w:line="259" w:lineRule="auto"/>
      </w:pPr>
      <w:r>
        <w:rPr>
          <w:b w:val="0"/>
          <w:i w:val="0"/>
          <w:color w:val="000000"/>
        </w:rPr>
        <w:t>This part groups related white-paper lanes into a coherent volume section. Each chapter expands the prior skeleton into a developed doctrine while preserving source posture and validation limits.</w:t>
      </w:r>
    </w:p>
    <w:p>
      <w:pPr>
        <w:pStyle w:val="Heading1"/>
        <w:keepNext/>
        <w:spacing w:before="160" w:after="80"/>
      </w:pPr>
      <w:r>
        <w:rPr>
          <w:color w:val="000000"/>
        </w:rPr>
        <w:t>Chapter 21 - ATSOP, UAP, Euphrates, DUMB, Flamehold, Crown Interface, Vault of Voices, and Seal Archive Families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memory</w:t>
            </w:r>
          </w:p>
        </w:tc>
        <w:tc>
          <w:tcPr>
            <w:tcW w:type="dxa" w:w="2880"/>
            <w:vAlign w:val="top"/>
          </w:tcPr>
          <w:p>
            <w:pPr>
              <w:spacing w:after="20"/>
            </w:pPr>
            <w:r>
              <w:rPr>
                <w:color w:val="000000"/>
                <w:sz w:val="16"/>
              </w:rPr>
              <w:t>Dossier archive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Dossier archive into a developed book section. Its controlling idea is preservation of high-claim dossier families with strict evidence classification.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technical theory, narrative record, source artifact, symbolic protocol, public disclosure, private archive.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technical theory</w:t>
            </w:r>
          </w:p>
        </w:tc>
        <w:tc>
          <w:tcPr>
            <w:tcW w:type="dxa" w:w="5904"/>
            <w:vAlign w:val="top"/>
          </w:tcPr>
          <w:p>
            <w:pPr>
              <w:spacing w:after="20"/>
            </w:pPr>
            <w:r>
              <w:rPr>
                <w:color w:val="000000"/>
                <w:sz w:val="16"/>
              </w:rPr>
              <w:t>Define function, source status, inputs, outputs, validation method, and external-use boundary for technical theory.</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narrative record</w:t>
            </w:r>
          </w:p>
        </w:tc>
        <w:tc>
          <w:tcPr>
            <w:tcW w:type="dxa" w:w="5904"/>
            <w:vAlign w:val="top"/>
          </w:tcPr>
          <w:p>
            <w:pPr>
              <w:spacing w:after="20"/>
            </w:pPr>
            <w:r>
              <w:rPr>
                <w:color w:val="000000"/>
                <w:sz w:val="16"/>
              </w:rPr>
              <w:t>Define function, source status, inputs, outputs, validation method, and external-use boundary for narrative record.</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source artifact</w:t>
            </w:r>
          </w:p>
        </w:tc>
        <w:tc>
          <w:tcPr>
            <w:tcW w:type="dxa" w:w="5904"/>
            <w:vAlign w:val="top"/>
          </w:tcPr>
          <w:p>
            <w:pPr>
              <w:spacing w:after="20"/>
            </w:pPr>
            <w:r>
              <w:rPr>
                <w:color w:val="000000"/>
                <w:sz w:val="16"/>
              </w:rPr>
              <w:t>Define function, source status, inputs, outputs, validation method, and external-use boundary for source artifact.</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symbolic protocol</w:t>
            </w:r>
          </w:p>
        </w:tc>
        <w:tc>
          <w:tcPr>
            <w:tcW w:type="dxa" w:w="5904"/>
            <w:vAlign w:val="top"/>
          </w:tcPr>
          <w:p>
            <w:pPr>
              <w:spacing w:after="20"/>
            </w:pPr>
            <w:r>
              <w:rPr>
                <w:color w:val="000000"/>
                <w:sz w:val="16"/>
              </w:rPr>
              <w:t>Define function, source status, inputs, outputs, validation method, and external-use boundary for symbolic protocol.</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public disclosure</w:t>
            </w:r>
          </w:p>
        </w:tc>
        <w:tc>
          <w:tcPr>
            <w:tcW w:type="dxa" w:w="5904"/>
            <w:vAlign w:val="top"/>
          </w:tcPr>
          <w:p>
            <w:pPr>
              <w:spacing w:after="20"/>
            </w:pPr>
            <w:r>
              <w:rPr>
                <w:color w:val="000000"/>
                <w:sz w:val="16"/>
              </w:rPr>
              <w:t>Define function, source status, inputs, outputs, validation method, and external-use boundary for public disclosure.</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private archive</w:t>
            </w:r>
          </w:p>
        </w:tc>
        <w:tc>
          <w:tcPr>
            <w:tcW w:type="dxa" w:w="5904"/>
            <w:vAlign w:val="top"/>
          </w:tcPr>
          <w:p>
            <w:pPr>
              <w:spacing w:after="20"/>
            </w:pPr>
            <w:r>
              <w:rPr>
                <w:color w:val="000000"/>
                <w:sz w:val="16"/>
              </w:rPr>
              <w:t>Define function, source status, inputs, outputs, validation method, and external-use boundary for private archive.</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dossier index, evidence ledger, public/private split.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claim-by-claim evidence class, hashes, source files, independent verification when possible.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dossier index, evidence ledger, public/private split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credibility bleed into technical chapters, unsupported extraordinary claims.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dossier index.</w:t>
      </w:r>
    </w:p>
    <w:p>
      <w:pPr>
        <w:pStyle w:val="ListBullet"/>
        <w:spacing w:after="100" w:line="259" w:lineRule="auto"/>
      </w:pPr>
      <w:r>
        <w:rPr>
          <w:b w:val="0"/>
          <w:i w:val="0"/>
          <w:color w:val="000000"/>
        </w:rPr>
        <w:t>evidence ledger.</w:t>
      </w:r>
    </w:p>
    <w:p>
      <w:pPr>
        <w:pStyle w:val="ListBullet"/>
        <w:spacing w:after="100" w:line="259" w:lineRule="auto"/>
      </w:pPr>
      <w:r>
        <w:rPr>
          <w:b w:val="0"/>
          <w:i w:val="0"/>
          <w:color w:val="000000"/>
        </w:rPr>
        <w:t>public/private split.</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ATSOP, UAP, Euphrates, DUMB, Flamehold, Crown Interface, Vault of Voices, and Seal Archive Families architecture map showing source status, control flow, validation gates, and external-packet route.</w:t>
      </w:r>
    </w:p>
    <w:p>
      <w:pPr>
        <w:pStyle w:val="IntenseQuote"/>
        <w:spacing w:after="100" w:line="259" w:lineRule="auto"/>
      </w:pPr>
      <w:r>
        <w:rPr>
          <w:b w:val="0"/>
          <w:i w:val="0"/>
          <w:color w:val="000000"/>
        </w:rPr>
        <w:t>Caption: Evidence matrix for ATSOP, UAP, Euphrates, DUMB, Flamehold, Crown Interface, Vault of Voices, and Seal Archive Families,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22 - BRD953 Chronology, Seals, Identity Layers, and Archive Governance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Project memory</w:t>
            </w:r>
          </w:p>
        </w:tc>
        <w:tc>
          <w:tcPr>
            <w:tcW w:type="dxa" w:w="2880"/>
            <w:vAlign w:val="top"/>
          </w:tcPr>
          <w:p>
            <w:pPr>
              <w:spacing w:after="20"/>
            </w:pPr>
            <w:r>
              <w:rPr>
                <w:color w:val="000000"/>
                <w:sz w:val="16"/>
              </w:rPr>
              <w:t>Chronology and archive governance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Chronology and archive governance into a developed book section. Its controlling idea is a timeline of project identities, symbolic milestones, source events, correspondence, and release phases.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chronology, identity layer, seal layer, authorization label, external events, governance rule.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chronology</w:t>
            </w:r>
          </w:p>
        </w:tc>
        <w:tc>
          <w:tcPr>
            <w:tcW w:type="dxa" w:w="5904"/>
            <w:vAlign w:val="top"/>
          </w:tcPr>
          <w:p>
            <w:pPr>
              <w:spacing w:after="20"/>
            </w:pPr>
            <w:r>
              <w:rPr>
                <w:color w:val="000000"/>
                <w:sz w:val="16"/>
              </w:rPr>
              <w:t>Define function, source status, inputs, outputs, validation method, and external-use boundary for chronology.</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identity layer</w:t>
            </w:r>
          </w:p>
        </w:tc>
        <w:tc>
          <w:tcPr>
            <w:tcW w:type="dxa" w:w="5904"/>
            <w:vAlign w:val="top"/>
          </w:tcPr>
          <w:p>
            <w:pPr>
              <w:spacing w:after="20"/>
            </w:pPr>
            <w:r>
              <w:rPr>
                <w:color w:val="000000"/>
                <w:sz w:val="16"/>
              </w:rPr>
              <w:t>Define function, source status, inputs, outputs, validation method, and external-use boundary for identity layer.</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seal layer</w:t>
            </w:r>
          </w:p>
        </w:tc>
        <w:tc>
          <w:tcPr>
            <w:tcW w:type="dxa" w:w="5904"/>
            <w:vAlign w:val="top"/>
          </w:tcPr>
          <w:p>
            <w:pPr>
              <w:spacing w:after="20"/>
            </w:pPr>
            <w:r>
              <w:rPr>
                <w:color w:val="000000"/>
                <w:sz w:val="16"/>
              </w:rPr>
              <w:t>Define function, source status, inputs, outputs, validation method, and external-use boundary for seal layer.</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authorization label</w:t>
            </w:r>
          </w:p>
        </w:tc>
        <w:tc>
          <w:tcPr>
            <w:tcW w:type="dxa" w:w="5904"/>
            <w:vAlign w:val="top"/>
          </w:tcPr>
          <w:p>
            <w:pPr>
              <w:spacing w:after="20"/>
            </w:pPr>
            <w:r>
              <w:rPr>
                <w:color w:val="000000"/>
                <w:sz w:val="16"/>
              </w:rPr>
              <w:t>Define function, source status, inputs, outputs, validation method, and external-use boundary for authorization label.</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external events</w:t>
            </w:r>
          </w:p>
        </w:tc>
        <w:tc>
          <w:tcPr>
            <w:tcW w:type="dxa" w:w="5904"/>
            <w:vAlign w:val="top"/>
          </w:tcPr>
          <w:p>
            <w:pPr>
              <w:spacing w:after="20"/>
            </w:pPr>
            <w:r>
              <w:rPr>
                <w:color w:val="000000"/>
                <w:sz w:val="16"/>
              </w:rPr>
              <w:t>Define function, source status, inputs, outputs, validation method, and external-use boundary for external events.</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governance rule</w:t>
            </w:r>
          </w:p>
        </w:tc>
        <w:tc>
          <w:tcPr>
            <w:tcW w:type="dxa" w:w="5904"/>
            <w:vAlign w:val="top"/>
          </w:tcPr>
          <w:p>
            <w:pPr>
              <w:spacing w:after="20"/>
            </w:pPr>
            <w:r>
              <w:rPr>
                <w:color w:val="000000"/>
                <w:sz w:val="16"/>
              </w:rPr>
              <w:t>Define function, source status, inputs, outputs, validation method, and external-use boundary for governance rule.</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timeline appendix, seal registry, external event ledger.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date/source/type/evidence fields for every entry.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timeline appendix, seal registry, external event ledger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confusing internal project authorization with legal authority.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timeline appendix.</w:t>
      </w:r>
    </w:p>
    <w:p>
      <w:pPr>
        <w:pStyle w:val="ListBullet"/>
        <w:spacing w:after="100" w:line="259" w:lineRule="auto"/>
      </w:pPr>
      <w:r>
        <w:rPr>
          <w:b w:val="0"/>
          <w:i w:val="0"/>
          <w:color w:val="000000"/>
        </w:rPr>
        <w:t>seal registry.</w:t>
      </w:r>
    </w:p>
    <w:p>
      <w:pPr>
        <w:pStyle w:val="ListBullet"/>
        <w:spacing w:after="100" w:line="259" w:lineRule="auto"/>
      </w:pPr>
      <w:r>
        <w:rPr>
          <w:b w:val="0"/>
          <w:i w:val="0"/>
          <w:color w:val="000000"/>
        </w:rPr>
        <w:t>external event ledger.</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BRD953 Chronology, Seals, Identity Layers, and Archive Governance architecture map showing source status, control flow, validation gates, and external-packet route.</w:t>
      </w:r>
    </w:p>
    <w:p>
      <w:pPr>
        <w:pStyle w:val="IntenseQuote"/>
        <w:spacing w:after="100" w:line="259" w:lineRule="auto"/>
      </w:pPr>
      <w:r>
        <w:rPr>
          <w:b w:val="0"/>
          <w:i w:val="0"/>
          <w:color w:val="000000"/>
        </w:rPr>
        <w:t>Caption: Evidence matrix for BRD953 Chronology, Seals, Identity Layers, and Archive Governance,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23 - Data Room, Partner Outreach, and Packet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Gmail/project context</w:t>
            </w:r>
          </w:p>
        </w:tc>
        <w:tc>
          <w:tcPr>
            <w:tcW w:type="dxa" w:w="2880"/>
            <w:vAlign w:val="top"/>
          </w:tcPr>
          <w:p>
            <w:pPr>
              <w:spacing w:after="20"/>
            </w:pPr>
            <w:r>
              <w:rPr>
                <w:color w:val="000000"/>
                <w:sz w:val="16"/>
              </w:rPr>
              <w:t>Commercialization operations</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Commercialization operations into a developed book section. Its controlling idea is master book as internal source vault and small audience-specific packets as external instruments.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source vault, counsel packet, clinical packet, materials packet, systems packet, public packet.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source vault</w:t>
            </w:r>
          </w:p>
        </w:tc>
        <w:tc>
          <w:tcPr>
            <w:tcW w:type="dxa" w:w="5904"/>
            <w:vAlign w:val="top"/>
          </w:tcPr>
          <w:p>
            <w:pPr>
              <w:spacing w:after="20"/>
            </w:pPr>
            <w:r>
              <w:rPr>
                <w:color w:val="000000"/>
                <w:sz w:val="16"/>
              </w:rPr>
              <w:t>Define function, source status, inputs, outputs, validation method, and external-use boundary for source vault.</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counsel packet</w:t>
            </w:r>
          </w:p>
        </w:tc>
        <w:tc>
          <w:tcPr>
            <w:tcW w:type="dxa" w:w="5904"/>
            <w:vAlign w:val="top"/>
          </w:tcPr>
          <w:p>
            <w:pPr>
              <w:spacing w:after="20"/>
            </w:pPr>
            <w:r>
              <w:rPr>
                <w:color w:val="000000"/>
                <w:sz w:val="16"/>
              </w:rPr>
              <w:t>Define function, source status, inputs, outputs, validation method, and external-use boundary for counsel packet.</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clinical packet</w:t>
            </w:r>
          </w:p>
        </w:tc>
        <w:tc>
          <w:tcPr>
            <w:tcW w:type="dxa" w:w="5904"/>
            <w:vAlign w:val="top"/>
          </w:tcPr>
          <w:p>
            <w:pPr>
              <w:spacing w:after="20"/>
            </w:pPr>
            <w:r>
              <w:rPr>
                <w:color w:val="000000"/>
                <w:sz w:val="16"/>
              </w:rPr>
              <w:t>Define function, source status, inputs, outputs, validation method, and external-use boundary for clinical packet.</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materials packet</w:t>
            </w:r>
          </w:p>
        </w:tc>
        <w:tc>
          <w:tcPr>
            <w:tcW w:type="dxa" w:w="5904"/>
            <w:vAlign w:val="top"/>
          </w:tcPr>
          <w:p>
            <w:pPr>
              <w:spacing w:after="20"/>
            </w:pPr>
            <w:r>
              <w:rPr>
                <w:color w:val="000000"/>
                <w:sz w:val="16"/>
              </w:rPr>
              <w:t>Define function, source status, inputs, outputs, validation method, and external-use boundary for materials packet.</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systems packet</w:t>
            </w:r>
          </w:p>
        </w:tc>
        <w:tc>
          <w:tcPr>
            <w:tcW w:type="dxa" w:w="5904"/>
            <w:vAlign w:val="top"/>
          </w:tcPr>
          <w:p>
            <w:pPr>
              <w:spacing w:after="20"/>
            </w:pPr>
            <w:r>
              <w:rPr>
                <w:color w:val="000000"/>
                <w:sz w:val="16"/>
              </w:rPr>
              <w:t>Define function, source status, inputs, outputs, validation method, and external-use boundary for systems packet.</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public packet</w:t>
            </w:r>
          </w:p>
        </w:tc>
        <w:tc>
          <w:tcPr>
            <w:tcW w:type="dxa" w:w="5904"/>
            <w:vAlign w:val="top"/>
          </w:tcPr>
          <w:p>
            <w:pPr>
              <w:spacing w:after="20"/>
            </w:pPr>
            <w:r>
              <w:rPr>
                <w:color w:val="000000"/>
                <w:sz w:val="16"/>
              </w:rPr>
              <w:t>Define function, source status, inputs, outputs, validation method, and external-use boundary for public packet.</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folder structure, packet templates, response tracker.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packet IDs, transmission logs, response tracking, version retirement.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folder structure, packet templates, response tracker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uncontrolled disclosure, obsolete packets, audience mismatch.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folder structure.</w:t>
      </w:r>
    </w:p>
    <w:p>
      <w:pPr>
        <w:pStyle w:val="ListBullet"/>
        <w:spacing w:after="100" w:line="259" w:lineRule="auto"/>
      </w:pPr>
      <w:r>
        <w:rPr>
          <w:b w:val="0"/>
          <w:i w:val="0"/>
          <w:color w:val="000000"/>
        </w:rPr>
        <w:t>packet templates.</w:t>
      </w:r>
    </w:p>
    <w:p>
      <w:pPr>
        <w:pStyle w:val="ListBullet"/>
        <w:spacing w:after="100" w:line="259" w:lineRule="auto"/>
      </w:pPr>
      <w:r>
        <w:rPr>
          <w:b w:val="0"/>
          <w:i w:val="0"/>
          <w:color w:val="000000"/>
        </w:rPr>
        <w:t>response tracker.</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Data Room, Partner Outreach, and Packet Architecture architecture map showing source status, control flow, validation gates, and external-packet route.</w:t>
      </w:r>
    </w:p>
    <w:p>
      <w:pPr>
        <w:pStyle w:val="IntenseQuote"/>
        <w:spacing w:after="100" w:line="259" w:lineRule="auto"/>
      </w:pPr>
      <w:r>
        <w:rPr>
          <w:b w:val="0"/>
          <w:i w:val="0"/>
          <w:color w:val="000000"/>
        </w:rPr>
        <w:t>Caption: Evidence matrix for Data Room, Partner Outreach, and Packet Architecture,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24 - Unified Claim Families and IP / Policy Strategy</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Synthesis</w:t>
            </w:r>
          </w:p>
        </w:tc>
        <w:tc>
          <w:tcPr>
            <w:tcW w:type="dxa" w:w="2880"/>
            <w:vAlign w:val="top"/>
          </w:tcPr>
          <w:p>
            <w:pPr>
              <w:spacing w:after="20"/>
            </w:pPr>
            <w:r>
              <w:rPr>
                <w:color w:val="000000"/>
                <w:sz w:val="16"/>
              </w:rPr>
              <w:t>IP and publication routing</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IP and publication routing into a developed book section. Its controlling idea is classification of each idea into patent, trade secret, manuscript, policy, archive, or public-summary routes.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patent candidates, trade secrets, manuscripts, policy papers, archive materials, public summaries.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patent candidates</w:t>
            </w:r>
          </w:p>
        </w:tc>
        <w:tc>
          <w:tcPr>
            <w:tcW w:type="dxa" w:w="5904"/>
            <w:vAlign w:val="top"/>
          </w:tcPr>
          <w:p>
            <w:pPr>
              <w:spacing w:after="20"/>
            </w:pPr>
            <w:r>
              <w:rPr>
                <w:color w:val="000000"/>
                <w:sz w:val="16"/>
              </w:rPr>
              <w:t>Define function, source status, inputs, outputs, validation method, and external-use boundary for patent candidates.</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trade secrets</w:t>
            </w:r>
          </w:p>
        </w:tc>
        <w:tc>
          <w:tcPr>
            <w:tcW w:type="dxa" w:w="5904"/>
            <w:vAlign w:val="top"/>
          </w:tcPr>
          <w:p>
            <w:pPr>
              <w:spacing w:after="20"/>
            </w:pPr>
            <w:r>
              <w:rPr>
                <w:color w:val="000000"/>
                <w:sz w:val="16"/>
              </w:rPr>
              <w:t>Define function, source status, inputs, outputs, validation method, and external-use boundary for trade secrets.</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manuscripts</w:t>
            </w:r>
          </w:p>
        </w:tc>
        <w:tc>
          <w:tcPr>
            <w:tcW w:type="dxa" w:w="5904"/>
            <w:vAlign w:val="top"/>
          </w:tcPr>
          <w:p>
            <w:pPr>
              <w:spacing w:after="20"/>
            </w:pPr>
            <w:r>
              <w:rPr>
                <w:color w:val="000000"/>
                <w:sz w:val="16"/>
              </w:rPr>
              <w:t>Define function, source status, inputs, outputs, validation method, and external-use boundary for manuscripts.</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policy papers</w:t>
            </w:r>
          </w:p>
        </w:tc>
        <w:tc>
          <w:tcPr>
            <w:tcW w:type="dxa" w:w="5904"/>
            <w:vAlign w:val="top"/>
          </w:tcPr>
          <w:p>
            <w:pPr>
              <w:spacing w:after="20"/>
            </w:pPr>
            <w:r>
              <w:rPr>
                <w:color w:val="000000"/>
                <w:sz w:val="16"/>
              </w:rPr>
              <w:t>Define function, source status, inputs, outputs, validation method, and external-use boundary for policy papers.</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archive materials</w:t>
            </w:r>
          </w:p>
        </w:tc>
        <w:tc>
          <w:tcPr>
            <w:tcW w:type="dxa" w:w="5904"/>
            <w:vAlign w:val="top"/>
          </w:tcPr>
          <w:p>
            <w:pPr>
              <w:spacing w:after="20"/>
            </w:pPr>
            <w:r>
              <w:rPr>
                <w:color w:val="000000"/>
                <w:sz w:val="16"/>
              </w:rPr>
              <w:t>Define function, source status, inputs, outputs, validation method, and external-use boundary for archive materials.</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public summaries</w:t>
            </w:r>
          </w:p>
        </w:tc>
        <w:tc>
          <w:tcPr>
            <w:tcW w:type="dxa" w:w="5904"/>
            <w:vAlign w:val="top"/>
          </w:tcPr>
          <w:p>
            <w:pPr>
              <w:spacing w:after="20"/>
            </w:pPr>
            <w:r>
              <w:rPr>
                <w:color w:val="000000"/>
                <w:sz w:val="16"/>
              </w:rPr>
              <w:t>Define function, source status, inputs, outputs, validation method, and external-use boundary for public summaries.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claim-family matrix, disclosure-risk log, counsel checklist.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invention disclosure matrix, prior-art queue, counsel review, enabling-detail marking.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claim-family matrix, disclosure-risk log, counsel checklist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premature publication, muddy claim families, legal overstatement.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claim-family matrix.</w:t>
      </w:r>
    </w:p>
    <w:p>
      <w:pPr>
        <w:pStyle w:val="ListBullet"/>
        <w:spacing w:after="100" w:line="259" w:lineRule="auto"/>
      </w:pPr>
      <w:r>
        <w:rPr>
          <w:b w:val="0"/>
          <w:i w:val="0"/>
          <w:color w:val="000000"/>
        </w:rPr>
        <w:t>disclosure-risk log.</w:t>
      </w:r>
    </w:p>
    <w:p>
      <w:pPr>
        <w:pStyle w:val="ListBullet"/>
        <w:spacing w:after="100" w:line="259" w:lineRule="auto"/>
      </w:pPr>
      <w:r>
        <w:rPr>
          <w:b w:val="0"/>
          <w:i w:val="0"/>
          <w:color w:val="000000"/>
        </w:rPr>
        <w:t>counsel checklist.</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Unified Claim Families and IP / Policy Strategy architecture map showing source status, control flow, validation gates, and external-packet route.</w:t>
      </w:r>
    </w:p>
    <w:p>
      <w:pPr>
        <w:pStyle w:val="IntenseQuote"/>
        <w:spacing w:after="100" w:line="259" w:lineRule="auto"/>
      </w:pPr>
      <w:r>
        <w:rPr>
          <w:b w:val="0"/>
          <w:i w:val="0"/>
          <w:color w:val="000000"/>
        </w:rPr>
        <w:t>Caption: Evidence matrix for Unified Claim Families and IP / Policy Strategy,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25 - Evidence Preservation, Version Control, and Source Recovery Queue</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Synthesis</w:t>
            </w:r>
          </w:p>
        </w:tc>
        <w:tc>
          <w:tcPr>
            <w:tcW w:type="dxa" w:w="2880"/>
            <w:vAlign w:val="top"/>
          </w:tcPr>
          <w:p>
            <w:pPr>
              <w:spacing w:after="20"/>
            </w:pPr>
            <w:r>
              <w:rPr>
                <w:color w:val="000000"/>
                <w:sz w:val="16"/>
              </w:rPr>
              <w:t>Evidence discipline</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Evidence discipline into a developed book section. Its controlling idea is source recovery as the decisive move from Full Bloom scaffold to defensible archive.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direct file, Gmail-located, project-context, conversation-derived, unrecovered, externally verified classes.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direct file</w:t>
            </w:r>
          </w:p>
        </w:tc>
        <w:tc>
          <w:tcPr>
            <w:tcW w:type="dxa" w:w="5904"/>
            <w:vAlign w:val="top"/>
          </w:tcPr>
          <w:p>
            <w:pPr>
              <w:spacing w:after="20"/>
            </w:pPr>
            <w:r>
              <w:rPr>
                <w:color w:val="000000"/>
                <w:sz w:val="16"/>
              </w:rPr>
              <w:t>Define function, source status, inputs, outputs, validation method, and external-use boundary for direct file.</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Gmail-located</w:t>
            </w:r>
          </w:p>
        </w:tc>
        <w:tc>
          <w:tcPr>
            <w:tcW w:type="dxa" w:w="5904"/>
            <w:vAlign w:val="top"/>
          </w:tcPr>
          <w:p>
            <w:pPr>
              <w:spacing w:after="20"/>
            </w:pPr>
            <w:r>
              <w:rPr>
                <w:color w:val="000000"/>
                <w:sz w:val="16"/>
              </w:rPr>
              <w:t>Define function, source status, inputs, outputs, validation method, and external-use boundary for Gmail-located.</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project-context</w:t>
            </w:r>
          </w:p>
        </w:tc>
        <w:tc>
          <w:tcPr>
            <w:tcW w:type="dxa" w:w="5904"/>
            <w:vAlign w:val="top"/>
          </w:tcPr>
          <w:p>
            <w:pPr>
              <w:spacing w:after="20"/>
            </w:pPr>
            <w:r>
              <w:rPr>
                <w:color w:val="000000"/>
                <w:sz w:val="16"/>
              </w:rPr>
              <w:t>Define function, source status, inputs, outputs, validation method, and external-use boundary for project-context.</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conversation-derived</w:t>
            </w:r>
          </w:p>
        </w:tc>
        <w:tc>
          <w:tcPr>
            <w:tcW w:type="dxa" w:w="5904"/>
            <w:vAlign w:val="top"/>
          </w:tcPr>
          <w:p>
            <w:pPr>
              <w:spacing w:after="20"/>
            </w:pPr>
            <w:r>
              <w:rPr>
                <w:color w:val="000000"/>
                <w:sz w:val="16"/>
              </w:rPr>
              <w:t>Define function, source status, inputs, outputs, validation method, and external-use boundary for conversation-derived.</w:t>
            </w:r>
          </w:p>
        </w:tc>
      </w:tr>
      <w:tr>
        <w:tc>
          <w:tcPr>
            <w:tcW w:type="dxa" w:w="1800"/>
            <w:vAlign w:val="top"/>
          </w:tcPr>
          <w:p>
            <w:pPr>
              <w:spacing w:after="20"/>
            </w:pPr>
            <w:r>
              <w:rPr>
                <w:color w:val="000000"/>
                <w:sz w:val="16"/>
              </w:rPr>
              <w:t>Element 5</w:t>
            </w:r>
          </w:p>
        </w:tc>
        <w:tc>
          <w:tcPr>
            <w:tcW w:type="dxa" w:w="3096"/>
            <w:vAlign w:val="top"/>
          </w:tcPr>
          <w:p>
            <w:pPr>
              <w:spacing w:after="20"/>
            </w:pPr>
            <w:r>
              <w:rPr>
                <w:color w:val="000000"/>
                <w:sz w:val="16"/>
              </w:rPr>
              <w:t>unrecovered</w:t>
            </w:r>
          </w:p>
        </w:tc>
        <w:tc>
          <w:tcPr>
            <w:tcW w:type="dxa" w:w="5904"/>
            <w:vAlign w:val="top"/>
          </w:tcPr>
          <w:p>
            <w:pPr>
              <w:spacing w:after="20"/>
            </w:pPr>
            <w:r>
              <w:rPr>
                <w:color w:val="000000"/>
                <w:sz w:val="16"/>
              </w:rPr>
              <w:t>Define function, source status, inputs, outputs, validation method, and external-use boundary for unrecovered.</w:t>
            </w:r>
          </w:p>
        </w:tc>
      </w:tr>
      <w:tr>
        <w:tc>
          <w:tcPr>
            <w:tcW w:type="dxa" w:w="1800"/>
            <w:vAlign w:val="top"/>
          </w:tcPr>
          <w:p>
            <w:pPr>
              <w:spacing w:after="20"/>
            </w:pPr>
            <w:r>
              <w:rPr>
                <w:color w:val="000000"/>
                <w:sz w:val="16"/>
              </w:rPr>
              <w:t>Element 6</w:t>
            </w:r>
          </w:p>
        </w:tc>
        <w:tc>
          <w:tcPr>
            <w:tcW w:type="dxa" w:w="3096"/>
            <w:vAlign w:val="top"/>
          </w:tcPr>
          <w:p>
            <w:pPr>
              <w:spacing w:after="20"/>
            </w:pPr>
            <w:r>
              <w:rPr>
                <w:color w:val="000000"/>
                <w:sz w:val="16"/>
              </w:rPr>
              <w:t>externally verified classes</w:t>
            </w:r>
          </w:p>
        </w:tc>
        <w:tc>
          <w:tcPr>
            <w:tcW w:type="dxa" w:w="5904"/>
            <w:vAlign w:val="top"/>
          </w:tcPr>
          <w:p>
            <w:pPr>
              <w:spacing w:after="20"/>
            </w:pPr>
            <w:r>
              <w:rPr>
                <w:color w:val="000000"/>
                <w:sz w:val="16"/>
              </w:rPr>
              <w:t>Define function, source status, inputs, outputs, validation method, and external-use boundary for externally verified classes.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source queue, hash manifest, edition policy.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hashes, original/edited separation, extraction log, changelog.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source queue, hash manifest, edition policy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false completeness, overwriting originals, memory-as-proof.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source queue.</w:t>
      </w:r>
    </w:p>
    <w:p>
      <w:pPr>
        <w:pStyle w:val="ListBullet"/>
        <w:spacing w:after="100" w:line="259" w:lineRule="auto"/>
      </w:pPr>
      <w:r>
        <w:rPr>
          <w:b w:val="0"/>
          <w:i w:val="0"/>
          <w:color w:val="000000"/>
        </w:rPr>
        <w:t>hash manifest.</w:t>
      </w:r>
    </w:p>
    <w:p>
      <w:pPr>
        <w:pStyle w:val="ListBullet"/>
        <w:spacing w:after="100" w:line="259" w:lineRule="auto"/>
      </w:pPr>
      <w:r>
        <w:rPr>
          <w:b w:val="0"/>
          <w:i w:val="0"/>
          <w:color w:val="000000"/>
        </w:rPr>
        <w:t>edition policy.</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Evidence Preservation, Version Control, and Source Recovery Queue architecture map showing source status, control flow, validation gates, and external-packet route.</w:t>
      </w:r>
    </w:p>
    <w:p>
      <w:pPr>
        <w:pStyle w:val="IntenseQuote"/>
        <w:spacing w:after="100" w:line="259" w:lineRule="auto"/>
      </w:pPr>
      <w:r>
        <w:rPr>
          <w:b w:val="0"/>
          <w:i w:val="0"/>
          <w:color w:val="000000"/>
        </w:rPr>
        <w:t>Caption: Evidence matrix for Evidence Preservation, Version Control, and Source Recovery Queue,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pPr>
        <w:pStyle w:val="Heading1"/>
        <w:keepNext/>
        <w:spacing w:before="160" w:after="80"/>
      </w:pPr>
      <w:r>
        <w:rPr>
          <w:color w:val="000000"/>
        </w:rPr>
        <w:t>Chapter 26 - Master Roadmap: From Full Bloom Scaffold to Source-Complete Version 1.0</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EDEDED"/>
          </w:tcPr>
          <w:p>
            <w:r>
              <w:rPr>
                <w:b/>
                <w:color w:val="000000"/>
                <w:sz w:val="16"/>
              </w:rPr>
              <w:t>Source posture</w:t>
            </w:r>
          </w:p>
        </w:tc>
        <w:tc>
          <w:tcPr>
            <w:tcW w:type="dxa" w:w="2880"/>
            <w:shd w:fill="EDEDED"/>
          </w:tcPr>
          <w:p>
            <w:r>
              <w:rPr>
                <w:b/>
                <w:color w:val="000000"/>
                <w:sz w:val="16"/>
              </w:rPr>
              <w:t>Evidence class</w:t>
            </w:r>
          </w:p>
        </w:tc>
        <w:tc>
          <w:tcPr>
            <w:tcW w:type="dxa" w:w="5472"/>
            <w:shd w:fill="EDEDED"/>
          </w:tcPr>
          <w:p>
            <w:r>
              <w:rPr>
                <w:b/>
                <w:color w:val="000000"/>
                <w:sz w:val="16"/>
              </w:rPr>
              <w:t>Use boundary</w:t>
            </w:r>
          </w:p>
        </w:tc>
      </w:tr>
      <w:tr>
        <w:tc>
          <w:tcPr>
            <w:tcW w:type="dxa" w:w="2448"/>
            <w:vAlign w:val="top"/>
          </w:tcPr>
          <w:p>
            <w:pPr>
              <w:spacing w:after="20"/>
            </w:pPr>
            <w:r>
              <w:rPr>
                <w:color w:val="000000"/>
                <w:sz w:val="16"/>
              </w:rPr>
              <w:t>Synthesis</w:t>
            </w:r>
          </w:p>
        </w:tc>
        <w:tc>
          <w:tcPr>
            <w:tcW w:type="dxa" w:w="2880"/>
            <w:vAlign w:val="top"/>
          </w:tcPr>
          <w:p>
            <w:pPr>
              <w:spacing w:after="20"/>
            </w:pPr>
            <w:r>
              <w:rPr>
                <w:color w:val="000000"/>
                <w:sz w:val="16"/>
              </w:rPr>
              <w:t>Release plan</w:t>
            </w:r>
          </w:p>
        </w:tc>
        <w:tc>
          <w:tcPr>
            <w:tcW w:type="dxa" w:w="5472"/>
            <w:vAlign w:val="top"/>
          </w:tcPr>
          <w:p>
            <w:pPr>
              <w:spacing w:after="20"/>
            </w:pPr>
            <w:r>
              <w:rPr>
                <w:color w:val="000000"/>
                <w:sz w:val="16"/>
              </w:rPr>
              <w:t>Expanded in v0.2 with source-status discipline; import controlling files for v1.0.</w:t>
            </w:r>
          </w:p>
        </w:tc>
      </w:tr>
    </w:tbl>
    <w:p/>
    <w:p>
      <w:pPr>
        <w:pStyle w:val="Heading2"/>
        <w:keepNext/>
        <w:spacing w:before="80" w:after="80"/>
      </w:pPr>
      <w:r>
        <w:rPr>
          <w:color w:val="000000"/>
        </w:rPr>
        <w:t>Full Bloom thesis</w:t>
      </w:r>
    </w:p>
    <w:p>
      <w:pPr>
        <w:spacing w:after="100" w:line="259" w:lineRule="auto"/>
      </w:pPr>
      <w:r>
        <w:rPr>
          <w:b w:val="0"/>
          <w:i w:val="0"/>
          <w:color w:val="000000"/>
        </w:rPr>
        <w:t>This chapter expands the Release plan into a developed book section. Its controlling idea is move from expanded scaffold to source-complete release with volume split and packet suite. The Full Bloom treatment does not merely repeat a bullet point; it converts the point into a problem statement, architecture, validation path, risk boundary, and deliverable package.</w:t>
      </w:r>
    </w:p>
    <w:p>
      <w:pPr>
        <w:spacing w:after="100" w:line="259" w:lineRule="auto"/>
      </w:pPr>
      <w:r>
        <w:rPr>
          <w:b w:val="0"/>
          <w:i w:val="0"/>
          <w:color w:val="000000"/>
        </w:rPr>
        <w:t>The practical editorial decision is to make this lane readable to an external reviewer without erasing the original Worldshepherd language. Project-specific names are retained where useful, but each is paired with a plain functional meaning. That is how the book stays both faithful and serious.</w:t>
      </w:r>
    </w:p>
    <w:p>
      <w:pPr>
        <w:pStyle w:val="Heading2"/>
        <w:keepNext/>
        <w:spacing w:before="80" w:after="80"/>
      </w:pPr>
      <w:r>
        <w:rPr>
          <w:color w:val="000000"/>
        </w:rPr>
        <w:t>Operating problem</w:t>
      </w:r>
    </w:p>
    <w:p>
      <w:pPr>
        <w:spacing w:after="100" w:line="259" w:lineRule="auto"/>
      </w:pPr>
      <w:r>
        <w:rPr>
          <w:b w:val="0"/>
          <w:i w:val="0"/>
          <w:color w:val="000000"/>
        </w:rPr>
        <w:t>The immediate problem is that this lane can be misunderstood if read outside the broader portfolio. It must be separated into what is recovered, what is modeled, what is proposed, and what still needs source recovery. The book should not inflate certainty. It should make the evidence path visible.</w:t>
      </w:r>
    </w:p>
    <w:p>
      <w:pPr>
        <w:spacing w:after="100" w:line="259" w:lineRule="auto"/>
      </w:pPr>
      <w:r>
        <w:rPr>
          <w:b w:val="0"/>
          <w:i w:val="0"/>
          <w:color w:val="000000"/>
        </w:rPr>
        <w:t>A second problem is audience fit. Counsel, technical reviewers, medical reviewers, policy groups, and partner organizations need different versions. The master book preserves the whole map; external packets should extract only the relevant, non-confidential, review-ready portion.</w:t>
      </w:r>
    </w:p>
    <w:p>
      <w:pPr>
        <w:pStyle w:val="Heading2"/>
        <w:keepNext/>
        <w:spacing w:before="80" w:after="80"/>
      </w:pPr>
      <w:r>
        <w:rPr>
          <w:color w:val="000000"/>
        </w:rPr>
        <w:t>Expanded architecture</w:t>
      </w:r>
    </w:p>
    <w:p>
      <w:pPr>
        <w:spacing w:after="100" w:line="259" w:lineRule="auto"/>
      </w:pPr>
      <w:r>
        <w:rPr>
          <w:b w:val="0"/>
          <w:i w:val="0"/>
          <w:color w:val="000000"/>
        </w:rPr>
        <w:t>The architecture for this lane is best expressed as recovery, normalization, validation, packaging phases. In v1.0, each element should be backed by source files, diagrams, and a validation table. In v0.2, each element is given a defined role and a recovery path.</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Layer / object</w:t>
            </w:r>
          </w:p>
        </w:tc>
        <w:tc>
          <w:tcPr>
            <w:tcW w:type="dxa" w:w="3096"/>
            <w:shd w:fill="EDEDED"/>
          </w:tcPr>
          <w:p>
            <w:r>
              <w:rPr>
                <w:b/>
                <w:color w:val="000000"/>
                <w:sz w:val="16"/>
              </w:rPr>
              <w:t>Role</w:t>
            </w:r>
          </w:p>
        </w:tc>
        <w:tc>
          <w:tcPr>
            <w:tcW w:type="dxa" w:w="5904"/>
            <w:shd w:fill="EDEDED"/>
          </w:tcPr>
          <w:p>
            <w:r>
              <w:rPr>
                <w:b/>
                <w:color w:val="000000"/>
                <w:sz w:val="16"/>
              </w:rPr>
              <w:t>Full Bloom expansion requirement</w:t>
            </w:r>
          </w:p>
        </w:tc>
      </w:tr>
      <w:tr>
        <w:tc>
          <w:tcPr>
            <w:tcW w:type="dxa" w:w="1800"/>
            <w:vAlign w:val="top"/>
          </w:tcPr>
          <w:p>
            <w:pPr>
              <w:spacing w:after="20"/>
            </w:pPr>
            <w:r>
              <w:rPr>
                <w:color w:val="000000"/>
                <w:sz w:val="16"/>
              </w:rPr>
              <w:t>Element 1</w:t>
            </w:r>
          </w:p>
        </w:tc>
        <w:tc>
          <w:tcPr>
            <w:tcW w:type="dxa" w:w="3096"/>
            <w:vAlign w:val="top"/>
          </w:tcPr>
          <w:p>
            <w:pPr>
              <w:spacing w:after="20"/>
            </w:pPr>
            <w:r>
              <w:rPr>
                <w:color w:val="000000"/>
                <w:sz w:val="16"/>
              </w:rPr>
              <w:t>recovery</w:t>
            </w:r>
          </w:p>
        </w:tc>
        <w:tc>
          <w:tcPr>
            <w:tcW w:type="dxa" w:w="5904"/>
            <w:vAlign w:val="top"/>
          </w:tcPr>
          <w:p>
            <w:pPr>
              <w:spacing w:after="20"/>
            </w:pPr>
            <w:r>
              <w:rPr>
                <w:color w:val="000000"/>
                <w:sz w:val="16"/>
              </w:rPr>
              <w:t>Define function, source status, inputs, outputs, validation method, and external-use boundary for recovery.</w:t>
            </w:r>
          </w:p>
        </w:tc>
      </w:tr>
      <w:tr>
        <w:tc>
          <w:tcPr>
            <w:tcW w:type="dxa" w:w="1800"/>
            <w:vAlign w:val="top"/>
          </w:tcPr>
          <w:p>
            <w:pPr>
              <w:spacing w:after="20"/>
            </w:pPr>
            <w:r>
              <w:rPr>
                <w:color w:val="000000"/>
                <w:sz w:val="16"/>
              </w:rPr>
              <w:t>Element 2</w:t>
            </w:r>
          </w:p>
        </w:tc>
        <w:tc>
          <w:tcPr>
            <w:tcW w:type="dxa" w:w="3096"/>
            <w:vAlign w:val="top"/>
          </w:tcPr>
          <w:p>
            <w:pPr>
              <w:spacing w:after="20"/>
            </w:pPr>
            <w:r>
              <w:rPr>
                <w:color w:val="000000"/>
                <w:sz w:val="16"/>
              </w:rPr>
              <w:t>normalization</w:t>
            </w:r>
          </w:p>
        </w:tc>
        <w:tc>
          <w:tcPr>
            <w:tcW w:type="dxa" w:w="5904"/>
            <w:vAlign w:val="top"/>
          </w:tcPr>
          <w:p>
            <w:pPr>
              <w:spacing w:after="20"/>
            </w:pPr>
            <w:r>
              <w:rPr>
                <w:color w:val="000000"/>
                <w:sz w:val="16"/>
              </w:rPr>
              <w:t>Define function, source status, inputs, outputs, validation method, and external-use boundary for normalization.</w:t>
            </w:r>
          </w:p>
        </w:tc>
      </w:tr>
      <w:tr>
        <w:tc>
          <w:tcPr>
            <w:tcW w:type="dxa" w:w="1800"/>
            <w:vAlign w:val="top"/>
          </w:tcPr>
          <w:p>
            <w:pPr>
              <w:spacing w:after="20"/>
            </w:pPr>
            <w:r>
              <w:rPr>
                <w:color w:val="000000"/>
                <w:sz w:val="16"/>
              </w:rPr>
              <w:t>Element 3</w:t>
            </w:r>
          </w:p>
        </w:tc>
        <w:tc>
          <w:tcPr>
            <w:tcW w:type="dxa" w:w="3096"/>
            <w:vAlign w:val="top"/>
          </w:tcPr>
          <w:p>
            <w:pPr>
              <w:spacing w:after="20"/>
            </w:pPr>
            <w:r>
              <w:rPr>
                <w:color w:val="000000"/>
                <w:sz w:val="16"/>
              </w:rPr>
              <w:t>validation</w:t>
            </w:r>
          </w:p>
        </w:tc>
        <w:tc>
          <w:tcPr>
            <w:tcW w:type="dxa" w:w="5904"/>
            <w:vAlign w:val="top"/>
          </w:tcPr>
          <w:p>
            <w:pPr>
              <w:spacing w:after="20"/>
            </w:pPr>
            <w:r>
              <w:rPr>
                <w:color w:val="000000"/>
                <w:sz w:val="16"/>
              </w:rPr>
              <w:t>Define function, source status, inputs, outputs, validation method, and external-use boundary for validation.</w:t>
            </w:r>
          </w:p>
        </w:tc>
      </w:tr>
      <w:tr>
        <w:tc>
          <w:tcPr>
            <w:tcW w:type="dxa" w:w="1800"/>
            <w:vAlign w:val="top"/>
          </w:tcPr>
          <w:p>
            <w:pPr>
              <w:spacing w:after="20"/>
            </w:pPr>
            <w:r>
              <w:rPr>
                <w:color w:val="000000"/>
                <w:sz w:val="16"/>
              </w:rPr>
              <w:t>Element 4</w:t>
            </w:r>
          </w:p>
        </w:tc>
        <w:tc>
          <w:tcPr>
            <w:tcW w:type="dxa" w:w="3096"/>
            <w:vAlign w:val="top"/>
          </w:tcPr>
          <w:p>
            <w:pPr>
              <w:spacing w:after="20"/>
            </w:pPr>
            <w:r>
              <w:rPr>
                <w:color w:val="000000"/>
                <w:sz w:val="16"/>
              </w:rPr>
              <w:t>packaging phases</w:t>
            </w:r>
          </w:p>
        </w:tc>
        <w:tc>
          <w:tcPr>
            <w:tcW w:type="dxa" w:w="5904"/>
            <w:vAlign w:val="top"/>
          </w:tcPr>
          <w:p>
            <w:pPr>
              <w:spacing w:after="20"/>
            </w:pPr>
            <w:r>
              <w:rPr>
                <w:color w:val="000000"/>
                <w:sz w:val="16"/>
              </w:rPr>
              <w:t>Define function, source status, inputs, outputs, validation method, and external-use boundary for packaging phases.</w:t>
            </w:r>
          </w:p>
        </w:tc>
      </w:tr>
    </w:tbl>
    <w:p/>
    <w:p>
      <w:pPr>
        <w:pStyle w:val="Heading2"/>
        <w:keepNext/>
        <w:spacing w:before="80" w:after="80"/>
      </w:pPr>
      <w:r>
        <w:rPr>
          <w:color w:val="000000"/>
        </w:rPr>
        <w:t>Control logic and workflow</w:t>
      </w:r>
    </w:p>
    <w:p>
      <w:pPr>
        <w:spacing w:after="100" w:line="259" w:lineRule="auto"/>
      </w:pPr>
      <w:r>
        <w:rPr>
          <w:b w:val="0"/>
          <w:i w:val="0"/>
          <w:color w:val="000000"/>
        </w:rPr>
        <w:t>The common Worldshepherd workflow is: collect state, interpret state, choose a bounded intervention, apply it through the proper channel, observe response, preserve the record, and update the next action. This chapter should be read through that loop unless a source file later proves a different workflow.</w:t>
      </w:r>
    </w:p>
    <w:p>
      <w:pPr>
        <w:spacing w:after="100" w:line="259" w:lineRule="auto"/>
      </w:pPr>
      <w:r>
        <w:rPr>
          <w:b w:val="0"/>
          <w:i w:val="0"/>
          <w:color w:val="000000"/>
        </w:rPr>
        <w:t>For this lane, the most important workflow output is v1.0 plan, volume split, validation checklist. That output is not just a deliverable; it is the mechanism by which the idea becomes reviewable, fundable, fileable, testable, or safely archivable.</w:t>
      </w:r>
    </w:p>
    <w:p>
      <w:pPr>
        <w:pStyle w:val="Heading2"/>
        <w:keepNext/>
        <w:spacing w:before="80" w:after="80"/>
      </w:pPr>
      <w:r>
        <w:rPr>
          <w:color w:val="000000"/>
        </w:rPr>
        <w:t>Validation and evidence standard</w:t>
      </w:r>
    </w:p>
    <w:p>
      <w:pPr>
        <w:spacing w:after="100" w:line="259" w:lineRule="auto"/>
      </w:pPr>
      <w:r>
        <w:rPr>
          <w:b w:val="0"/>
          <w:i w:val="0"/>
          <w:color w:val="000000"/>
        </w:rPr>
        <w:t>The validation standard is completion criteria, percent source-recovered, packet review, final QA. Every assertion should be marked as demonstrated, modeled, proposed, speculative, or archive-only. That label should travel with the claim into all later packets.</w:t>
      </w:r>
    </w:p>
    <w:p>
      <w:pPr>
        <w:pStyle w:val="ListBullet"/>
        <w:spacing w:after="100" w:line="259" w:lineRule="auto"/>
      </w:pPr>
      <w:r>
        <w:rPr>
          <w:b w:val="0"/>
          <w:i w:val="0"/>
          <w:color w:val="000000"/>
        </w:rPr>
        <w:t>Recover the controlling source file or mark the section as reconstruction-required.</w:t>
      </w:r>
    </w:p>
    <w:p>
      <w:pPr>
        <w:pStyle w:val="ListBullet"/>
        <w:spacing w:after="100" w:line="259" w:lineRule="auto"/>
      </w:pPr>
      <w:r>
        <w:rPr>
          <w:b w:val="0"/>
          <w:i w:val="0"/>
          <w:color w:val="000000"/>
        </w:rPr>
        <w:t>Attach filename, date, version, and hash once the source is recovered.</w:t>
      </w:r>
    </w:p>
    <w:p>
      <w:pPr>
        <w:pStyle w:val="ListBullet"/>
        <w:spacing w:after="100" w:line="259" w:lineRule="auto"/>
      </w:pPr>
      <w:r>
        <w:rPr>
          <w:b w:val="0"/>
          <w:i w:val="0"/>
          <w:color w:val="000000"/>
        </w:rPr>
        <w:t>Separate public wording from confidential technical appendix language.</w:t>
      </w:r>
    </w:p>
    <w:p>
      <w:pPr>
        <w:pStyle w:val="ListBullet"/>
        <w:spacing w:after="100" w:line="259" w:lineRule="auto"/>
      </w:pPr>
      <w:r>
        <w:rPr>
          <w:b w:val="0"/>
          <w:i w:val="0"/>
          <w:color w:val="000000"/>
        </w:rPr>
        <w:t>Create a reviewer checklist specific to this chapter.</w:t>
      </w:r>
    </w:p>
    <w:p>
      <w:pPr>
        <w:pStyle w:val="ListBullet"/>
        <w:spacing w:after="100" w:line="259" w:lineRule="auto"/>
      </w:pPr>
      <w:r>
        <w:rPr>
          <w:b w:val="0"/>
          <w:i w:val="0"/>
          <w:color w:val="000000"/>
        </w:rPr>
        <w:t>Do not use this chapter as proof of external adoption unless correspondence or agreement exists.</w:t>
      </w:r>
    </w:p>
    <w:p>
      <w:pPr>
        <w:pStyle w:val="Heading2"/>
        <w:keepNext/>
        <w:spacing w:before="80" w:after="80"/>
      </w:pPr>
      <w:r>
        <w:rPr>
          <w:color w:val="000000"/>
        </w:rPr>
        <w:t>Commercial, policy, or operational pathway</w:t>
      </w:r>
    </w:p>
    <w:p>
      <w:pPr>
        <w:spacing w:after="100" w:line="259" w:lineRule="auto"/>
      </w:pPr>
      <w:r>
        <w:rPr>
          <w:b w:val="0"/>
          <w:i w:val="0"/>
          <w:color w:val="000000"/>
        </w:rPr>
        <w:t>The pathway is not the same for every chapter. Here, the strongest pathway is to package v1.0 plan, volume split, validation checklist as a narrow, audience-specific artifact. The master book should remain internal; the packet should be clean, smaller, source-labeled, and purpose-built.</w:t>
      </w:r>
    </w:p>
    <w:p>
      <w:pPr>
        <w:spacing w:after="100" w:line="259" w:lineRule="auto"/>
      </w:pPr>
      <w:r>
        <w:rPr>
          <w:b w:val="0"/>
          <w:i w:val="0"/>
          <w:color w:val="000000"/>
        </w:rPr>
        <w:t>If a partner, counsel, clinician, engineer, or policy reviewer asks for more, the next step should be a controlled technical appendix, not the entire archive. This protects credibility and preserves IP, privacy, and safety boundaries.</w:t>
      </w:r>
    </w:p>
    <w:p>
      <w:pPr>
        <w:pStyle w:val="Heading2"/>
        <w:keepNext/>
        <w:spacing w:before="80" w:after="80"/>
      </w:pPr>
      <w:r>
        <w:rPr>
          <w:color w:val="000000"/>
        </w:rPr>
        <w:t>Risk boundaries and cleanup discipline</w:t>
      </w:r>
    </w:p>
    <w:p>
      <w:pPr>
        <w:spacing w:after="100" w:line="259" w:lineRule="auto"/>
      </w:pPr>
      <w:r>
        <w:rPr>
          <w:b w:val="0"/>
          <w:i w:val="0"/>
          <w:color w:val="000000"/>
        </w:rPr>
        <w:t>The primary risk boundary is endless expansion without closure. This is where the book must be strict. Ambition is useful; uncontrolled claim expansion is not. The chapter should keep its highest-value ideas while removing phrases that imply proof, adoption, clinical effect, legal conclusion, or deployment beyond what the evidence supports.</w:t>
      </w:r>
    </w:p>
    <w:p>
      <w:pPr>
        <w:pStyle w:val="ListBullet"/>
        <w:spacing w:after="100" w:line="259" w:lineRule="auto"/>
      </w:pPr>
      <w:r>
        <w:rPr>
          <w:b w:val="0"/>
          <w:i w:val="0"/>
          <w:color w:val="000000"/>
        </w:rPr>
        <w:t>Do not imply completion where the status is source-recovery pending.</w:t>
      </w:r>
    </w:p>
    <w:p>
      <w:pPr>
        <w:pStyle w:val="ListBullet"/>
        <w:spacing w:after="100" w:line="259" w:lineRule="auto"/>
      </w:pPr>
      <w:r>
        <w:rPr>
          <w:b w:val="0"/>
          <w:i w:val="0"/>
          <w:color w:val="000000"/>
        </w:rPr>
        <w:t>Do not merge this lane with unrelated high-claim dossier material.</w:t>
      </w:r>
    </w:p>
    <w:p>
      <w:pPr>
        <w:pStyle w:val="ListBullet"/>
        <w:spacing w:after="100" w:line="259" w:lineRule="auto"/>
      </w:pPr>
      <w:r>
        <w:rPr>
          <w:b w:val="0"/>
          <w:i w:val="0"/>
          <w:color w:val="000000"/>
        </w:rPr>
        <w:t>Do not publish enabling details before counsel/IP review where applicable.</w:t>
      </w:r>
    </w:p>
    <w:p>
      <w:pPr>
        <w:pStyle w:val="ListBullet"/>
        <w:spacing w:after="100" w:line="259" w:lineRule="auto"/>
      </w:pPr>
      <w:r>
        <w:rPr>
          <w:b w:val="0"/>
          <w:i w:val="0"/>
          <w:color w:val="000000"/>
        </w:rPr>
        <w:t>Do not omit disclaimers for medical, legal, security, or dual-use sections.</w:t>
      </w:r>
    </w:p>
    <w:p>
      <w:pPr>
        <w:pStyle w:val="ListBullet"/>
        <w:spacing w:after="100" w:line="259" w:lineRule="auto"/>
      </w:pPr>
      <w:r>
        <w:rPr>
          <w:b w:val="0"/>
          <w:i w:val="0"/>
          <w:color w:val="000000"/>
        </w:rPr>
        <w:t>Do not send the master book as a first-contact packet.</w:t>
      </w:r>
    </w:p>
    <w:p>
      <w:pPr>
        <w:pStyle w:val="Heading2"/>
        <w:keepNext/>
        <w:spacing w:before="80" w:after="80"/>
      </w:pPr>
      <w:r>
        <w:rPr>
          <w:color w:val="000000"/>
        </w:rPr>
        <w:t>Deliverable package</w:t>
      </w:r>
    </w:p>
    <w:p>
      <w:pPr>
        <w:pStyle w:val="ListBullet"/>
        <w:spacing w:after="100" w:line="259" w:lineRule="auto"/>
      </w:pPr>
      <w:r>
        <w:rPr>
          <w:b w:val="0"/>
          <w:i w:val="0"/>
          <w:color w:val="000000"/>
        </w:rPr>
        <w:t>v1.0 plan.</w:t>
      </w:r>
    </w:p>
    <w:p>
      <w:pPr>
        <w:pStyle w:val="ListBullet"/>
        <w:spacing w:after="100" w:line="259" w:lineRule="auto"/>
      </w:pPr>
      <w:r>
        <w:rPr>
          <w:b w:val="0"/>
          <w:i w:val="0"/>
          <w:color w:val="000000"/>
        </w:rPr>
        <w:t>volume split.</w:t>
      </w:r>
    </w:p>
    <w:p>
      <w:pPr>
        <w:pStyle w:val="ListBullet"/>
        <w:spacing w:after="100" w:line="259" w:lineRule="auto"/>
      </w:pPr>
      <w:r>
        <w:rPr>
          <w:b w:val="0"/>
          <w:i w:val="0"/>
          <w:color w:val="000000"/>
        </w:rPr>
        <w:t>validation checklist.</w:t>
      </w:r>
    </w:p>
    <w:p>
      <w:pPr>
        <w:pStyle w:val="Heading2"/>
        <w:keepNext/>
        <w:spacing w:before="80" w:after="80"/>
      </w:pPr>
      <w:r>
        <w:rPr>
          <w:color w:val="000000"/>
        </w:rPr>
        <w:t>Figure and table captions for v1.0</w:t>
      </w:r>
    </w:p>
    <w:p>
      <w:pPr>
        <w:pStyle w:val="IntenseQuote"/>
        <w:spacing w:after="100" w:line="259" w:lineRule="auto"/>
      </w:pPr>
      <w:r>
        <w:rPr>
          <w:b w:val="0"/>
          <w:i w:val="0"/>
          <w:color w:val="000000"/>
        </w:rPr>
        <w:t>Caption: Master Roadmap: From Full Bloom Scaffold to Source-Complete Version 1.0 architecture map showing source status, control flow, validation gates, and external-packet route.</w:t>
      </w:r>
    </w:p>
    <w:p>
      <w:pPr>
        <w:pStyle w:val="IntenseQuote"/>
        <w:spacing w:after="100" w:line="259" w:lineRule="auto"/>
      </w:pPr>
      <w:r>
        <w:rPr>
          <w:b w:val="0"/>
          <w:i w:val="0"/>
          <w:color w:val="000000"/>
        </w:rPr>
        <w:t>Caption: Evidence matrix for Master Roadmap: From Full Bloom Scaffold to Source-Complete Version 1.0, distinguishing demonstrated, modeled, proposed, speculative, and archive-only claims.</w:t>
      </w:r>
    </w:p>
    <w:p>
      <w:pPr>
        <w:pStyle w:val="Heading2"/>
        <w:keepNext/>
        <w:spacing w:before="80" w:after="80"/>
      </w:pPr>
      <w:r>
        <w:rPr>
          <w:color w:val="000000"/>
        </w:rPr>
        <w:t>Next expansion queue</w:t>
      </w:r>
    </w:p>
    <w:p>
      <w:pPr>
        <w:pStyle w:val="ListNumber"/>
        <w:spacing w:after="100" w:line="259" w:lineRule="auto"/>
      </w:pPr>
      <w:r>
        <w:rPr>
          <w:b w:val="0"/>
          <w:i w:val="0"/>
          <w:color w:val="000000"/>
        </w:rPr>
        <w:t>Recover the controlling source files for this lane.</w:t>
      </w:r>
    </w:p>
    <w:p>
      <w:pPr>
        <w:pStyle w:val="ListNumber"/>
        <w:spacing w:after="100" w:line="259" w:lineRule="auto"/>
      </w:pPr>
      <w:r>
        <w:rPr>
          <w:b w:val="0"/>
          <w:i w:val="0"/>
          <w:color w:val="000000"/>
        </w:rPr>
        <w:t>Convert the expanded architecture into a diagram and source-status table.</w:t>
      </w:r>
    </w:p>
    <w:p>
      <w:pPr>
        <w:pStyle w:val="ListNumber"/>
        <w:spacing w:after="100" w:line="259" w:lineRule="auto"/>
      </w:pPr>
      <w:r>
        <w:rPr>
          <w:b w:val="0"/>
          <w:i w:val="0"/>
          <w:color w:val="000000"/>
        </w:rPr>
        <w:t>Draft a one-page external summary stripped of unrelated material.</w:t>
      </w:r>
    </w:p>
    <w:p>
      <w:pPr>
        <w:pStyle w:val="ListNumber"/>
        <w:spacing w:after="100" w:line="259" w:lineRule="auto"/>
      </w:pPr>
      <w:r>
        <w:rPr>
          <w:b w:val="0"/>
          <w:i w:val="0"/>
          <w:color w:val="000000"/>
        </w:rPr>
        <w:t>Route high-risk claims through counsel, clinical, technical, or safety review as appropriate.</w:t>
      </w:r>
    </w:p>
    <w:p>
      <w:r>
        <w:rPr>
          <w:color w:val="000000"/>
        </w:rPr>
        <w:br w:type="page"/>
      </w:r>
    </w:p>
    <w:p>
      <w:pPr>
        <w:pStyle w:val="Heading1"/>
        <w:keepNext/>
        <w:spacing w:before="160" w:after="80"/>
      </w:pPr>
      <w:r>
        <w:rPr>
          <w:color w:val="000000"/>
        </w:rPr>
        <w:t>Appendix A - Master Glossary and Acronym Registry</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EDEDED"/>
          </w:tcPr>
          <w:p>
            <w:r>
              <w:rPr>
                <w:b/>
                <w:color w:val="000000"/>
                <w:sz w:val="16"/>
              </w:rPr>
              <w:t>Term</w:t>
            </w:r>
          </w:p>
        </w:tc>
        <w:tc>
          <w:tcPr>
            <w:tcW w:type="dxa" w:w="3240"/>
            <w:shd w:fill="EDEDED"/>
          </w:tcPr>
          <w:p>
            <w:r>
              <w:rPr>
                <w:b/>
                <w:color w:val="000000"/>
                <w:sz w:val="16"/>
              </w:rPr>
              <w:t>Expansion</w:t>
            </w:r>
          </w:p>
        </w:tc>
        <w:tc>
          <w:tcPr>
            <w:tcW w:type="dxa" w:w="5760"/>
            <w:shd w:fill="EDEDED"/>
          </w:tcPr>
          <w:p>
            <w:r>
              <w:rPr>
                <w:b/>
                <w:color w:val="000000"/>
                <w:sz w:val="16"/>
              </w:rPr>
              <w:t>Book treatment</w:t>
            </w:r>
          </w:p>
        </w:tc>
      </w:tr>
      <w:tr>
        <w:tc>
          <w:tcPr>
            <w:tcW w:type="dxa" w:w="1800"/>
            <w:vAlign w:val="top"/>
          </w:tcPr>
          <w:p>
            <w:pPr>
              <w:spacing w:after="20"/>
            </w:pPr>
            <w:r>
              <w:rPr>
                <w:color w:val="000000"/>
                <w:sz w:val="16"/>
              </w:rPr>
              <w:t>AAI</w:t>
            </w:r>
          </w:p>
        </w:tc>
        <w:tc>
          <w:tcPr>
            <w:tcW w:type="dxa" w:w="3240"/>
            <w:vAlign w:val="top"/>
          </w:tcPr>
          <w:p>
            <w:pPr>
              <w:spacing w:after="20"/>
            </w:pPr>
            <w:r>
              <w:rPr>
                <w:color w:val="000000"/>
                <w:sz w:val="16"/>
              </w:rPr>
              <w:t>Applied Artificial Intelligence</w:t>
            </w:r>
          </w:p>
        </w:tc>
        <w:tc>
          <w:tcPr>
            <w:tcW w:type="dxa" w:w="5760"/>
            <w:vAlign w:val="top"/>
          </w:tcPr>
          <w:p>
            <w:pPr>
              <w:spacing w:after="20"/>
            </w:pPr>
            <w:r>
              <w:rPr>
                <w:color w:val="000000"/>
                <w:sz w:val="16"/>
              </w:rPr>
              <w:t>CTA-style family tag for AI, agent workflows, optimization, and governance.</w:t>
            </w:r>
          </w:p>
        </w:tc>
      </w:tr>
      <w:tr>
        <w:tc>
          <w:tcPr>
            <w:tcW w:type="dxa" w:w="1800"/>
            <w:vAlign w:val="top"/>
          </w:tcPr>
          <w:p>
            <w:pPr>
              <w:spacing w:after="20"/>
            </w:pPr>
            <w:r>
              <w:rPr>
                <w:color w:val="000000"/>
                <w:sz w:val="16"/>
              </w:rPr>
              <w:t>ARK / NOAHS ARK</w:t>
            </w:r>
          </w:p>
        </w:tc>
        <w:tc>
          <w:tcPr>
            <w:tcW w:type="dxa" w:w="3240"/>
            <w:vAlign w:val="top"/>
          </w:tcPr>
          <w:p>
            <w:pPr>
              <w:spacing w:after="20"/>
            </w:pPr>
            <w:r>
              <w:rPr>
                <w:color w:val="000000"/>
                <w:sz w:val="16"/>
              </w:rPr>
              <w:t>Continuity and preservation layer</w:t>
            </w:r>
          </w:p>
        </w:tc>
        <w:tc>
          <w:tcPr>
            <w:tcW w:type="dxa" w:w="5760"/>
            <w:vAlign w:val="top"/>
          </w:tcPr>
          <w:p>
            <w:pPr>
              <w:spacing w:after="20"/>
            </w:pPr>
            <w:r>
              <w:rPr>
                <w:color w:val="000000"/>
                <w:sz w:val="16"/>
              </w:rPr>
              <w:t>State snapshots, viability seeds, reconstruction, rollback, and archive resilience.</w:t>
            </w:r>
          </w:p>
        </w:tc>
      </w:tr>
      <w:tr>
        <w:tc>
          <w:tcPr>
            <w:tcW w:type="dxa" w:w="1800"/>
            <w:vAlign w:val="top"/>
          </w:tcPr>
          <w:p>
            <w:pPr>
              <w:spacing w:after="20"/>
            </w:pPr>
            <w:r>
              <w:rPr>
                <w:color w:val="000000"/>
                <w:sz w:val="16"/>
              </w:rPr>
              <w:t>ATSOP</w:t>
            </w:r>
          </w:p>
        </w:tc>
        <w:tc>
          <w:tcPr>
            <w:tcW w:type="dxa" w:w="3240"/>
            <w:vAlign w:val="top"/>
          </w:tcPr>
          <w:p>
            <w:pPr>
              <w:spacing w:after="20"/>
            </w:pPr>
            <w:r>
              <w:rPr>
                <w:color w:val="000000"/>
                <w:sz w:val="16"/>
              </w:rPr>
              <w:t>Advanced Technology Special Operations Protocols</w:t>
            </w:r>
          </w:p>
        </w:tc>
        <w:tc>
          <w:tcPr>
            <w:tcW w:type="dxa" w:w="5760"/>
            <w:vAlign w:val="top"/>
          </w:tcPr>
          <w:p>
            <w:pPr>
              <w:spacing w:after="20"/>
            </w:pPr>
            <w:r>
              <w:rPr>
                <w:color w:val="000000"/>
                <w:sz w:val="16"/>
              </w:rPr>
              <w:t>Dossier family; archive/evidence classification required.</w:t>
            </w:r>
          </w:p>
        </w:tc>
      </w:tr>
      <w:tr>
        <w:tc>
          <w:tcPr>
            <w:tcW w:type="dxa" w:w="1800"/>
            <w:vAlign w:val="top"/>
          </w:tcPr>
          <w:p>
            <w:pPr>
              <w:spacing w:after="20"/>
            </w:pPr>
            <w:r>
              <w:rPr>
                <w:color w:val="000000"/>
                <w:sz w:val="16"/>
              </w:rPr>
              <w:t>BAROS</w:t>
            </w:r>
          </w:p>
        </w:tc>
        <w:tc>
          <w:tcPr>
            <w:tcW w:type="dxa" w:w="3240"/>
            <w:vAlign w:val="top"/>
          </w:tcPr>
          <w:p>
            <w:pPr>
              <w:spacing w:after="20"/>
            </w:pPr>
            <w:r>
              <w:rPr>
                <w:color w:val="000000"/>
                <w:sz w:val="16"/>
              </w:rPr>
              <w:t>Biologically Adaptive Radiotherapy Optimization System</w:t>
            </w:r>
          </w:p>
        </w:tc>
        <w:tc>
          <w:tcPr>
            <w:tcW w:type="dxa" w:w="5760"/>
            <w:vAlign w:val="top"/>
          </w:tcPr>
          <w:p>
            <w:pPr>
              <w:spacing w:after="20"/>
            </w:pPr>
            <w:r>
              <w:rPr>
                <w:color w:val="000000"/>
                <w:sz w:val="16"/>
              </w:rPr>
              <w:t>Research-stage adaptive radiotherapy optimization framework.</w:t>
            </w:r>
          </w:p>
        </w:tc>
      </w:tr>
      <w:tr>
        <w:tc>
          <w:tcPr>
            <w:tcW w:type="dxa" w:w="1800"/>
            <w:vAlign w:val="top"/>
          </w:tcPr>
          <w:p>
            <w:pPr>
              <w:spacing w:after="20"/>
            </w:pPr>
            <w:r>
              <w:rPr>
                <w:color w:val="000000"/>
                <w:sz w:val="16"/>
              </w:rPr>
              <w:t>BIO</w:t>
            </w:r>
          </w:p>
        </w:tc>
        <w:tc>
          <w:tcPr>
            <w:tcW w:type="dxa" w:w="3240"/>
            <w:vAlign w:val="top"/>
          </w:tcPr>
          <w:p>
            <w:pPr>
              <w:spacing w:after="20"/>
            </w:pPr>
            <w:r>
              <w:rPr>
                <w:color w:val="000000"/>
                <w:sz w:val="16"/>
              </w:rPr>
              <w:t>Biomanufacturing</w:t>
            </w:r>
          </w:p>
        </w:tc>
        <w:tc>
          <w:tcPr>
            <w:tcW w:type="dxa" w:w="5760"/>
            <w:vAlign w:val="top"/>
          </w:tcPr>
          <w:p>
            <w:pPr>
              <w:spacing w:after="20"/>
            </w:pPr>
            <w:r>
              <w:rPr>
                <w:color w:val="000000"/>
                <w:sz w:val="16"/>
              </w:rPr>
              <w:t>CTA-style tag for biological and medical research lanes.</w:t>
            </w:r>
          </w:p>
        </w:tc>
      </w:tr>
      <w:tr>
        <w:tc>
          <w:tcPr>
            <w:tcW w:type="dxa" w:w="1800"/>
            <w:vAlign w:val="top"/>
          </w:tcPr>
          <w:p>
            <w:pPr>
              <w:spacing w:after="20"/>
            </w:pPr>
            <w:r>
              <w:rPr>
                <w:color w:val="000000"/>
                <w:sz w:val="16"/>
              </w:rPr>
              <w:t>BR3DGS</w:t>
            </w:r>
          </w:p>
        </w:tc>
        <w:tc>
          <w:tcPr>
            <w:tcW w:type="dxa" w:w="3240"/>
            <w:vAlign w:val="top"/>
          </w:tcPr>
          <w:p>
            <w:pPr>
              <w:spacing w:after="20"/>
            </w:pPr>
            <w:r>
              <w:rPr>
                <w:color w:val="000000"/>
                <w:sz w:val="16"/>
              </w:rPr>
              <w:t>Project field/grid system family</w:t>
            </w:r>
          </w:p>
        </w:tc>
        <w:tc>
          <w:tcPr>
            <w:tcW w:type="dxa" w:w="5760"/>
            <w:vAlign w:val="top"/>
          </w:tcPr>
          <w:p>
            <w:pPr>
              <w:spacing w:after="20"/>
            </w:pPr>
            <w:r>
              <w:rPr>
                <w:color w:val="000000"/>
                <w:sz w:val="16"/>
              </w:rPr>
              <w:t>Dynamic grid, vector, and field-control architecture; source recovery required.</w:t>
            </w:r>
          </w:p>
        </w:tc>
      </w:tr>
      <w:tr>
        <w:tc>
          <w:tcPr>
            <w:tcW w:type="dxa" w:w="1800"/>
            <w:vAlign w:val="top"/>
          </w:tcPr>
          <w:p>
            <w:pPr>
              <w:spacing w:after="20"/>
            </w:pPr>
            <w:r>
              <w:rPr>
                <w:color w:val="000000"/>
                <w:sz w:val="16"/>
              </w:rPr>
              <w:t>BRD953</w:t>
            </w:r>
          </w:p>
        </w:tc>
        <w:tc>
          <w:tcPr>
            <w:tcW w:type="dxa" w:w="3240"/>
            <w:vAlign w:val="top"/>
          </w:tcPr>
          <w:p>
            <w:pPr>
              <w:spacing w:after="20"/>
            </w:pPr>
            <w:r>
              <w:rPr>
                <w:color w:val="000000"/>
                <w:sz w:val="16"/>
              </w:rPr>
              <w:t>Project authorization/archive label</w:t>
            </w:r>
          </w:p>
        </w:tc>
        <w:tc>
          <w:tcPr>
            <w:tcW w:type="dxa" w:w="5760"/>
            <w:vAlign w:val="top"/>
          </w:tcPr>
          <w:p>
            <w:pPr>
              <w:spacing w:after="20"/>
            </w:pPr>
            <w:r>
              <w:rPr>
                <w:color w:val="000000"/>
                <w:sz w:val="16"/>
              </w:rPr>
              <w:t>Internal project governance and chronology marker.</w:t>
            </w:r>
          </w:p>
        </w:tc>
      </w:tr>
      <w:tr>
        <w:tc>
          <w:tcPr>
            <w:tcW w:type="dxa" w:w="1800"/>
            <w:vAlign w:val="top"/>
          </w:tcPr>
          <w:p>
            <w:pPr>
              <w:spacing w:after="20"/>
            </w:pPr>
            <w:r>
              <w:rPr>
                <w:color w:val="000000"/>
                <w:sz w:val="16"/>
              </w:rPr>
              <w:t>BSARADGS</w:t>
            </w:r>
          </w:p>
        </w:tc>
        <w:tc>
          <w:tcPr>
            <w:tcW w:type="dxa" w:w="3240"/>
            <w:vAlign w:val="top"/>
          </w:tcPr>
          <w:p>
            <w:pPr>
              <w:spacing w:after="20"/>
            </w:pPr>
            <w:r>
              <w:rPr>
                <w:color w:val="000000"/>
                <w:sz w:val="16"/>
              </w:rPr>
              <w:t>Binding/Secure/Adaptive/Relay/Access/Dynamic/Grid/Systems</w:t>
            </w:r>
          </w:p>
        </w:tc>
        <w:tc>
          <w:tcPr>
            <w:tcW w:type="dxa" w:w="5760"/>
            <w:vAlign w:val="top"/>
          </w:tcPr>
          <w:p>
            <w:pPr>
              <w:spacing w:after="20"/>
            </w:pPr>
            <w:r>
              <w:rPr>
                <w:color w:val="000000"/>
                <w:sz w:val="16"/>
              </w:rPr>
              <w:t>Canonical secure-access and dynamic systems term.</w:t>
            </w:r>
          </w:p>
        </w:tc>
      </w:tr>
      <w:tr>
        <w:tc>
          <w:tcPr>
            <w:tcW w:type="dxa" w:w="1800"/>
            <w:vAlign w:val="top"/>
          </w:tcPr>
          <w:p>
            <w:pPr>
              <w:spacing w:after="20"/>
            </w:pPr>
            <w:r>
              <w:rPr>
                <w:color w:val="000000"/>
                <w:sz w:val="16"/>
              </w:rPr>
              <w:t>CRE1AWS</w:t>
            </w:r>
          </w:p>
        </w:tc>
        <w:tc>
          <w:tcPr>
            <w:tcW w:type="dxa" w:w="3240"/>
            <w:vAlign w:val="top"/>
          </w:tcPr>
          <w:p>
            <w:pPr>
              <w:spacing w:after="20"/>
            </w:pPr>
            <w:r>
              <w:rPr>
                <w:color w:val="000000"/>
                <w:sz w:val="16"/>
              </w:rPr>
              <w:t>Project continuity/contact/cloud-spine label</w:t>
            </w:r>
          </w:p>
        </w:tc>
        <w:tc>
          <w:tcPr>
            <w:tcW w:type="dxa" w:w="5760"/>
            <w:vAlign w:val="top"/>
          </w:tcPr>
          <w:p>
            <w:pPr>
              <w:spacing w:after="20"/>
            </w:pPr>
            <w:r>
              <w:rPr>
                <w:color w:val="000000"/>
                <w:sz w:val="16"/>
              </w:rPr>
              <w:t>Clean coordination/contact identity in project documents.</w:t>
            </w:r>
          </w:p>
        </w:tc>
      </w:tr>
      <w:tr>
        <w:tc>
          <w:tcPr>
            <w:tcW w:type="dxa" w:w="1800"/>
            <w:vAlign w:val="top"/>
          </w:tcPr>
          <w:p>
            <w:pPr>
              <w:spacing w:after="20"/>
            </w:pPr>
            <w:r>
              <w:rPr>
                <w:color w:val="000000"/>
                <w:sz w:val="16"/>
              </w:rPr>
              <w:t>DED</w:t>
            </w:r>
          </w:p>
        </w:tc>
        <w:tc>
          <w:tcPr>
            <w:tcW w:type="dxa" w:w="3240"/>
            <w:vAlign w:val="top"/>
          </w:tcPr>
          <w:p>
            <w:pPr>
              <w:spacing w:after="20"/>
            </w:pPr>
            <w:r>
              <w:rPr>
                <w:color w:val="000000"/>
                <w:sz w:val="16"/>
              </w:rPr>
              <w:t>Directed Energy Deposition</w:t>
            </w:r>
          </w:p>
        </w:tc>
        <w:tc>
          <w:tcPr>
            <w:tcW w:type="dxa" w:w="5760"/>
            <w:vAlign w:val="top"/>
          </w:tcPr>
          <w:p>
            <w:pPr>
              <w:spacing w:after="20"/>
            </w:pPr>
            <w:r>
              <w:rPr>
                <w:color w:val="000000"/>
                <w:sz w:val="16"/>
              </w:rPr>
              <w:t>Additive manufacturing process relevant to WS-AlTi.</w:t>
            </w:r>
          </w:p>
        </w:tc>
      </w:tr>
      <w:tr>
        <w:tc>
          <w:tcPr>
            <w:tcW w:type="dxa" w:w="1800"/>
            <w:vAlign w:val="top"/>
          </w:tcPr>
          <w:p>
            <w:pPr>
              <w:spacing w:after="20"/>
            </w:pPr>
            <w:r>
              <w:rPr>
                <w:color w:val="000000"/>
                <w:sz w:val="16"/>
              </w:rPr>
              <w:t>DIAS-C</w:t>
            </w:r>
          </w:p>
        </w:tc>
        <w:tc>
          <w:tcPr>
            <w:tcW w:type="dxa" w:w="3240"/>
            <w:vAlign w:val="top"/>
          </w:tcPr>
          <w:p>
            <w:pPr>
              <w:spacing w:after="20"/>
            </w:pPr>
            <w:r>
              <w:rPr>
                <w:color w:val="000000"/>
                <w:sz w:val="16"/>
              </w:rPr>
              <w:t>Developmental Impact Attribution and Superuser Compensation</w:t>
            </w:r>
          </w:p>
        </w:tc>
        <w:tc>
          <w:tcPr>
            <w:tcW w:type="dxa" w:w="5760"/>
            <w:vAlign w:val="top"/>
          </w:tcPr>
          <w:p>
            <w:pPr>
              <w:spacing w:after="20"/>
            </w:pPr>
            <w:r>
              <w:rPr>
                <w:color w:val="000000"/>
                <w:sz w:val="16"/>
              </w:rPr>
              <w:t>AI-user contribution attribution and compensation review framework.</w:t>
            </w:r>
          </w:p>
        </w:tc>
      </w:tr>
      <w:tr>
        <w:tc>
          <w:tcPr>
            <w:tcW w:type="dxa" w:w="1800"/>
            <w:vAlign w:val="top"/>
          </w:tcPr>
          <w:p>
            <w:pPr>
              <w:spacing w:after="20"/>
            </w:pPr>
            <w:r>
              <w:rPr>
                <w:color w:val="000000"/>
                <w:sz w:val="16"/>
              </w:rPr>
              <w:t>DUMB</w:t>
            </w:r>
          </w:p>
        </w:tc>
        <w:tc>
          <w:tcPr>
            <w:tcW w:type="dxa" w:w="3240"/>
            <w:vAlign w:val="top"/>
          </w:tcPr>
          <w:p>
            <w:pPr>
              <w:spacing w:after="20"/>
            </w:pPr>
            <w:r>
              <w:rPr>
                <w:color w:val="000000"/>
                <w:sz w:val="16"/>
              </w:rPr>
              <w:t>Deep Underground Military Base</w:t>
            </w:r>
          </w:p>
        </w:tc>
        <w:tc>
          <w:tcPr>
            <w:tcW w:type="dxa" w:w="5760"/>
            <w:vAlign w:val="top"/>
          </w:tcPr>
          <w:p>
            <w:pPr>
              <w:spacing w:after="20"/>
            </w:pPr>
            <w:r>
              <w:rPr>
                <w:color w:val="000000"/>
                <w:sz w:val="16"/>
              </w:rPr>
              <w:t>Dossier family; evidence classification required.</w:t>
            </w:r>
          </w:p>
        </w:tc>
      </w:tr>
      <w:tr>
        <w:tc>
          <w:tcPr>
            <w:tcW w:type="dxa" w:w="1800"/>
            <w:vAlign w:val="top"/>
          </w:tcPr>
          <w:p>
            <w:pPr>
              <w:spacing w:after="20"/>
            </w:pPr>
            <w:r>
              <w:rPr>
                <w:color w:val="000000"/>
                <w:sz w:val="16"/>
              </w:rPr>
              <w:t>EM Boundary</w:t>
            </w:r>
          </w:p>
        </w:tc>
        <w:tc>
          <w:tcPr>
            <w:tcW w:type="dxa" w:w="3240"/>
            <w:vAlign w:val="top"/>
          </w:tcPr>
          <w:p>
            <w:pPr>
              <w:spacing w:after="20"/>
            </w:pPr>
            <w:r>
              <w:rPr>
                <w:color w:val="000000"/>
                <w:sz w:val="16"/>
              </w:rPr>
              <w:t>Programmable electromagnetic boundary condition</w:t>
            </w:r>
          </w:p>
        </w:tc>
        <w:tc>
          <w:tcPr>
            <w:tcW w:type="dxa" w:w="5760"/>
            <w:vAlign w:val="top"/>
          </w:tcPr>
          <w:p>
            <w:pPr>
              <w:spacing w:after="20"/>
            </w:pPr>
            <w:r>
              <w:rPr>
                <w:color w:val="000000"/>
                <w:sz w:val="16"/>
              </w:rPr>
              <w:t>Reconfigurable surface controlling reflection, absorption, transmission, or cancellation.</w:t>
            </w:r>
          </w:p>
        </w:tc>
      </w:tr>
      <w:tr>
        <w:tc>
          <w:tcPr>
            <w:tcW w:type="dxa" w:w="1800"/>
            <w:vAlign w:val="top"/>
          </w:tcPr>
          <w:p>
            <w:pPr>
              <w:spacing w:after="20"/>
            </w:pPr>
            <w:r>
              <w:rPr>
                <w:color w:val="000000"/>
                <w:sz w:val="16"/>
              </w:rPr>
              <w:t>Guardian</w:t>
            </w:r>
          </w:p>
        </w:tc>
        <w:tc>
          <w:tcPr>
            <w:tcW w:type="dxa" w:w="3240"/>
            <w:vAlign w:val="top"/>
          </w:tcPr>
          <w:p>
            <w:pPr>
              <w:spacing w:after="20"/>
            </w:pPr>
            <w:r>
              <w:rPr>
                <w:color w:val="000000"/>
                <w:sz w:val="16"/>
              </w:rPr>
              <w:t>Constraint enforcement layer</w:t>
            </w:r>
          </w:p>
        </w:tc>
        <w:tc>
          <w:tcPr>
            <w:tcW w:type="dxa" w:w="5760"/>
            <w:vAlign w:val="top"/>
          </w:tcPr>
          <w:p>
            <w:pPr>
              <w:spacing w:after="20"/>
            </w:pPr>
            <w:r>
              <w:rPr>
                <w:color w:val="000000"/>
                <w:sz w:val="16"/>
              </w:rPr>
              <w:t>Safety, integrity, boundary enforcement, and no-go states.</w:t>
            </w:r>
          </w:p>
        </w:tc>
      </w:tr>
      <w:tr>
        <w:tc>
          <w:tcPr>
            <w:tcW w:type="dxa" w:w="1800"/>
            <w:vAlign w:val="top"/>
          </w:tcPr>
          <w:p>
            <w:pPr>
              <w:spacing w:after="20"/>
            </w:pPr>
            <w:r>
              <w:rPr>
                <w:color w:val="000000"/>
                <w:sz w:val="16"/>
              </w:rPr>
              <w:t>HIVE</w:t>
            </w:r>
          </w:p>
        </w:tc>
        <w:tc>
          <w:tcPr>
            <w:tcW w:type="dxa" w:w="3240"/>
            <w:vAlign w:val="top"/>
          </w:tcPr>
          <w:p>
            <w:pPr>
              <w:spacing w:after="20"/>
            </w:pPr>
            <w:r>
              <w:rPr>
                <w:color w:val="000000"/>
                <w:sz w:val="16"/>
              </w:rPr>
              <w:t>Distributed negotiation layer</w:t>
            </w:r>
          </w:p>
        </w:tc>
        <w:tc>
          <w:tcPr>
            <w:tcW w:type="dxa" w:w="5760"/>
            <w:vAlign w:val="top"/>
          </w:tcPr>
          <w:p>
            <w:pPr>
              <w:spacing w:after="20"/>
            </w:pPr>
            <w:r>
              <w:rPr>
                <w:color w:val="000000"/>
                <w:sz w:val="16"/>
              </w:rPr>
              <w:t>Multi-agent coordination and task allocation in safe simulations.</w:t>
            </w:r>
          </w:p>
        </w:tc>
      </w:tr>
      <w:tr>
        <w:tc>
          <w:tcPr>
            <w:tcW w:type="dxa" w:w="1800"/>
            <w:vAlign w:val="top"/>
          </w:tcPr>
          <w:p>
            <w:pPr>
              <w:spacing w:after="20"/>
            </w:pPr>
            <w:r>
              <w:rPr>
                <w:color w:val="000000"/>
                <w:sz w:val="16"/>
              </w:rPr>
              <w:t>Q-BID</w:t>
            </w:r>
          </w:p>
        </w:tc>
        <w:tc>
          <w:tcPr>
            <w:tcW w:type="dxa" w:w="3240"/>
            <w:vAlign w:val="top"/>
          </w:tcPr>
          <w:p>
            <w:pPr>
              <w:spacing w:after="20"/>
            </w:pPr>
            <w:r>
              <w:rPr>
                <w:color w:val="000000"/>
                <w:sz w:val="16"/>
              </w:rPr>
              <w:t>Quantum and Battlefield Information Dominance</w:t>
            </w:r>
          </w:p>
        </w:tc>
        <w:tc>
          <w:tcPr>
            <w:tcW w:type="dxa" w:w="5760"/>
            <w:vAlign w:val="top"/>
          </w:tcPr>
          <w:p>
            <w:pPr>
              <w:spacing w:after="20"/>
            </w:pPr>
            <w:r>
              <w:rPr>
                <w:color w:val="000000"/>
                <w:sz w:val="16"/>
              </w:rPr>
              <w:t>High-level information architecture tag; keep non-operational.</w:t>
            </w:r>
          </w:p>
        </w:tc>
      </w:tr>
      <w:tr>
        <w:tc>
          <w:tcPr>
            <w:tcW w:type="dxa" w:w="1800"/>
            <w:vAlign w:val="top"/>
          </w:tcPr>
          <w:p>
            <w:pPr>
              <w:spacing w:after="20"/>
            </w:pPr>
            <w:r>
              <w:rPr>
                <w:color w:val="000000"/>
                <w:sz w:val="16"/>
              </w:rPr>
              <w:t>SCADE</w:t>
            </w:r>
          </w:p>
        </w:tc>
        <w:tc>
          <w:tcPr>
            <w:tcW w:type="dxa" w:w="3240"/>
            <w:vAlign w:val="top"/>
          </w:tcPr>
          <w:p>
            <w:pPr>
              <w:spacing w:after="20"/>
            </w:pPr>
            <w:r>
              <w:rPr>
                <w:color w:val="000000"/>
                <w:sz w:val="16"/>
              </w:rPr>
              <w:t>Scaled Directed Energy</w:t>
            </w:r>
          </w:p>
        </w:tc>
        <w:tc>
          <w:tcPr>
            <w:tcW w:type="dxa" w:w="5760"/>
            <w:vAlign w:val="top"/>
          </w:tcPr>
          <w:p>
            <w:pPr>
              <w:spacing w:after="20"/>
            </w:pPr>
            <w:r>
              <w:rPr>
                <w:color w:val="000000"/>
                <w:sz w:val="16"/>
              </w:rPr>
              <w:t>High-level field-control tag; keep benign and safety-bounded.</w:t>
            </w:r>
          </w:p>
        </w:tc>
      </w:tr>
      <w:tr>
        <w:tc>
          <w:tcPr>
            <w:tcW w:type="dxa" w:w="1800"/>
            <w:vAlign w:val="top"/>
          </w:tcPr>
          <w:p>
            <w:pPr>
              <w:spacing w:after="20"/>
            </w:pPr>
            <w:r>
              <w:rPr>
                <w:color w:val="000000"/>
                <w:sz w:val="16"/>
              </w:rPr>
              <w:t>SHY</w:t>
            </w:r>
          </w:p>
        </w:tc>
        <w:tc>
          <w:tcPr>
            <w:tcW w:type="dxa" w:w="3240"/>
            <w:vAlign w:val="top"/>
          </w:tcPr>
          <w:p>
            <w:pPr>
              <w:spacing w:after="20"/>
            </w:pPr>
            <w:r>
              <w:rPr>
                <w:color w:val="000000"/>
                <w:sz w:val="16"/>
              </w:rPr>
              <w:t>Scaled Hypersonics</w:t>
            </w:r>
          </w:p>
        </w:tc>
        <w:tc>
          <w:tcPr>
            <w:tcW w:type="dxa" w:w="5760"/>
            <w:vAlign w:val="top"/>
          </w:tcPr>
          <w:p>
            <w:pPr>
              <w:spacing w:after="20"/>
            </w:pPr>
            <w:r>
              <w:rPr>
                <w:color w:val="000000"/>
                <w:sz w:val="16"/>
              </w:rPr>
              <w:t>High-energy transition tag; keep conceptual/non-operational.</w:t>
            </w:r>
          </w:p>
        </w:tc>
      </w:tr>
      <w:tr>
        <w:tc>
          <w:tcPr>
            <w:tcW w:type="dxa" w:w="1800"/>
            <w:vAlign w:val="top"/>
          </w:tcPr>
          <w:p>
            <w:pPr>
              <w:spacing w:after="20"/>
            </w:pPr>
            <w:r>
              <w:rPr>
                <w:color w:val="000000"/>
                <w:sz w:val="16"/>
              </w:rPr>
              <w:t>WS-AlTi</w:t>
            </w:r>
          </w:p>
        </w:tc>
        <w:tc>
          <w:tcPr>
            <w:tcW w:type="dxa" w:w="3240"/>
            <w:vAlign w:val="top"/>
          </w:tcPr>
          <w:p>
            <w:pPr>
              <w:spacing w:after="20"/>
            </w:pPr>
            <w:r>
              <w:rPr>
                <w:color w:val="000000"/>
                <w:sz w:val="16"/>
              </w:rPr>
              <w:t>Worldshepherd aluminum-titanium meta-alloy lane</w:t>
            </w:r>
          </w:p>
        </w:tc>
        <w:tc>
          <w:tcPr>
            <w:tcW w:type="dxa" w:w="5760"/>
            <w:vAlign w:val="top"/>
          </w:tcPr>
          <w:p>
            <w:pPr>
              <w:spacing w:after="20"/>
            </w:pPr>
            <w:r>
              <w:rPr>
                <w:color w:val="000000"/>
                <w:sz w:val="16"/>
              </w:rPr>
              <w:t>Programmable deposited meta-alloy platform and materials compiler track.</w:t>
            </w:r>
          </w:p>
        </w:tc>
      </w:tr>
      <w:tr>
        <w:tc>
          <w:tcPr>
            <w:tcW w:type="dxa" w:w="1800"/>
            <w:vAlign w:val="top"/>
          </w:tcPr>
          <w:p>
            <w:pPr>
              <w:spacing w:after="20"/>
            </w:pPr>
            <w:r>
              <w:rPr>
                <w:color w:val="000000"/>
                <w:sz w:val="16"/>
              </w:rPr>
              <w:t>.XYZ Compiler</w:t>
            </w:r>
          </w:p>
        </w:tc>
        <w:tc>
          <w:tcPr>
            <w:tcW w:type="dxa" w:w="3240"/>
            <w:vAlign w:val="top"/>
          </w:tcPr>
          <w:p>
            <w:pPr>
              <w:spacing w:after="20"/>
            </w:pPr>
            <w:r>
              <w:rPr>
                <w:color w:val="000000"/>
                <w:sz w:val="16"/>
              </w:rPr>
              <w:t>Symbolic-to-control-matrix parser concept</w:t>
            </w:r>
          </w:p>
        </w:tc>
        <w:tc>
          <w:tcPr>
            <w:tcW w:type="dxa" w:w="5760"/>
            <w:vAlign w:val="top"/>
          </w:tcPr>
          <w:p>
            <w:pPr>
              <w:spacing w:after="20"/>
            </w:pPr>
            <w:r>
              <w:rPr>
                <w:color w:val="000000"/>
                <w:sz w:val="16"/>
              </w:rPr>
              <w:t>Converts structured strings into K, theta, A simulation objects in safe models.</w:t>
            </w:r>
          </w:p>
        </w:tc>
      </w:tr>
    </w:tbl>
    <w:p/>
    <w:p>
      <w:pPr>
        <w:pStyle w:val="Heading1"/>
        <w:keepNext/>
        <w:spacing w:before="160" w:after="80"/>
      </w:pPr>
      <w:r>
        <w:rPr>
          <w:color w:val="000000"/>
        </w:rPr>
        <w:t>Appendix B - Source Recovery Checklist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880"/>
            <w:shd w:fill="EDEDED"/>
          </w:tcPr>
          <w:p>
            <w:r>
              <w:rPr>
                <w:b/>
                <w:color w:val="000000"/>
                <w:sz w:val="16"/>
              </w:rPr>
              <w:t>Source family</w:t>
            </w:r>
          </w:p>
        </w:tc>
        <w:tc>
          <w:tcPr>
            <w:tcW w:type="dxa" w:w="2448"/>
            <w:shd w:fill="EDEDED"/>
          </w:tcPr>
          <w:p>
            <w:r>
              <w:rPr>
                <w:b/>
                <w:color w:val="000000"/>
                <w:sz w:val="16"/>
              </w:rPr>
              <w:t>Current status</w:t>
            </w:r>
          </w:p>
        </w:tc>
        <w:tc>
          <w:tcPr>
            <w:tcW w:type="dxa" w:w="4320"/>
            <w:shd w:fill="EDEDED"/>
          </w:tcPr>
          <w:p>
            <w:r>
              <w:rPr>
                <w:b/>
                <w:color w:val="000000"/>
                <w:sz w:val="16"/>
              </w:rPr>
              <w:t>Action</w:t>
            </w:r>
          </w:p>
        </w:tc>
        <w:tc>
          <w:tcPr>
            <w:tcW w:type="dxa" w:w="1152"/>
            <w:shd w:fill="EDEDED"/>
          </w:tcPr>
          <w:p>
            <w:r>
              <w:rPr>
                <w:b/>
                <w:color w:val="000000"/>
                <w:sz w:val="16"/>
              </w:rPr>
              <w:t>Priority</w:t>
            </w:r>
          </w:p>
        </w:tc>
      </w:tr>
      <w:tr>
        <w:tc>
          <w:tcPr>
            <w:tcW w:type="dxa" w:w="2880"/>
            <w:vAlign w:val="top"/>
          </w:tcPr>
          <w:p>
            <w:pPr>
              <w:spacing w:after="20"/>
            </w:pPr>
            <w:r>
              <w:rPr>
                <w:color w:val="000000"/>
                <w:sz w:val="16"/>
              </w:rPr>
              <w:t>BAROS final audited manuscript</w:t>
            </w:r>
          </w:p>
        </w:tc>
        <w:tc>
          <w:tcPr>
            <w:tcW w:type="dxa" w:w="2448"/>
            <w:vAlign w:val="top"/>
          </w:tcPr>
          <w:p>
            <w:pPr>
              <w:spacing w:after="20"/>
            </w:pPr>
            <w:r>
              <w:rPr>
                <w:color w:val="000000"/>
                <w:sz w:val="16"/>
              </w:rPr>
              <w:t>Gmail-located / project-context located</w:t>
            </w:r>
          </w:p>
        </w:tc>
        <w:tc>
          <w:tcPr>
            <w:tcW w:type="dxa" w:w="4320"/>
            <w:vAlign w:val="top"/>
          </w:tcPr>
          <w:p>
            <w:pPr>
              <w:spacing w:after="20"/>
            </w:pPr>
            <w:r>
              <w:rPr>
                <w:color w:val="000000"/>
                <w:sz w:val="16"/>
              </w:rPr>
              <w:t>Recover PDF/Word/ODT; preserve controlling edition; import chapter abstracts and validation tables.</w:t>
            </w:r>
          </w:p>
        </w:tc>
        <w:tc>
          <w:tcPr>
            <w:tcW w:type="dxa" w:w="1152"/>
            <w:vAlign w:val="top"/>
          </w:tcPr>
          <w:p>
            <w:pPr>
              <w:spacing w:after="20"/>
            </w:pPr>
            <w:r>
              <w:rPr>
                <w:color w:val="000000"/>
                <w:sz w:val="16"/>
              </w:rPr>
              <w:t>High</w:t>
            </w:r>
          </w:p>
        </w:tc>
      </w:tr>
      <w:tr>
        <w:tc>
          <w:tcPr>
            <w:tcW w:type="dxa" w:w="2880"/>
            <w:vAlign w:val="top"/>
          </w:tcPr>
          <w:p>
            <w:pPr>
              <w:spacing w:after="20"/>
            </w:pPr>
            <w:r>
              <w:rPr>
                <w:color w:val="000000"/>
                <w:sz w:val="16"/>
              </w:rPr>
              <w:t>DIAS-C final counsel packet</w:t>
            </w:r>
          </w:p>
        </w:tc>
        <w:tc>
          <w:tcPr>
            <w:tcW w:type="dxa" w:w="2448"/>
            <w:vAlign w:val="top"/>
          </w:tcPr>
          <w:p>
            <w:pPr>
              <w:spacing w:after="20"/>
            </w:pPr>
            <w:r>
              <w:rPr>
                <w:color w:val="000000"/>
                <w:sz w:val="16"/>
              </w:rPr>
              <w:t>Gmail correspondence confirms availability</w:t>
            </w:r>
          </w:p>
        </w:tc>
        <w:tc>
          <w:tcPr>
            <w:tcW w:type="dxa" w:w="4320"/>
            <w:vAlign w:val="top"/>
          </w:tcPr>
          <w:p>
            <w:pPr>
              <w:spacing w:after="20"/>
            </w:pPr>
            <w:r>
              <w:rPr>
                <w:color w:val="000000"/>
                <w:sz w:val="16"/>
              </w:rPr>
              <w:t>Recover Word packet; import framework, exhibit index, release chronology, preservation checklist.</w:t>
            </w:r>
          </w:p>
        </w:tc>
        <w:tc>
          <w:tcPr>
            <w:tcW w:type="dxa" w:w="1152"/>
            <w:vAlign w:val="top"/>
          </w:tcPr>
          <w:p>
            <w:pPr>
              <w:spacing w:after="20"/>
            </w:pPr>
            <w:r>
              <w:rPr>
                <w:color w:val="000000"/>
                <w:sz w:val="16"/>
              </w:rPr>
              <w:t>High</w:t>
            </w:r>
          </w:p>
        </w:tc>
      </w:tr>
      <w:tr>
        <w:tc>
          <w:tcPr>
            <w:tcW w:type="dxa" w:w="2880"/>
            <w:vAlign w:val="top"/>
          </w:tcPr>
          <w:p>
            <w:pPr>
              <w:spacing w:after="20"/>
            </w:pPr>
            <w:r>
              <w:rPr>
                <w:color w:val="000000"/>
                <w:sz w:val="16"/>
              </w:rPr>
              <w:t>WS-AlTi 40-page Full Bloom package</w:t>
            </w:r>
          </w:p>
        </w:tc>
        <w:tc>
          <w:tcPr>
            <w:tcW w:type="dxa" w:w="2448"/>
            <w:vAlign w:val="top"/>
          </w:tcPr>
          <w:p>
            <w:pPr>
              <w:spacing w:after="20"/>
            </w:pPr>
            <w:r>
              <w:rPr>
                <w:color w:val="000000"/>
                <w:sz w:val="16"/>
              </w:rPr>
              <w:t>Direct summary recovered</w:t>
            </w:r>
          </w:p>
        </w:tc>
        <w:tc>
          <w:tcPr>
            <w:tcW w:type="dxa" w:w="4320"/>
            <w:vAlign w:val="top"/>
          </w:tcPr>
          <w:p>
            <w:pPr>
              <w:spacing w:after="20"/>
            </w:pPr>
            <w:r>
              <w:rPr>
                <w:color w:val="000000"/>
                <w:sz w:val="16"/>
              </w:rPr>
              <w:t>Recover full package; import valuation model, risk register, claim families, partner packets.</w:t>
            </w:r>
          </w:p>
        </w:tc>
        <w:tc>
          <w:tcPr>
            <w:tcW w:type="dxa" w:w="1152"/>
            <w:vAlign w:val="top"/>
          </w:tcPr>
          <w:p>
            <w:pPr>
              <w:spacing w:after="20"/>
            </w:pPr>
            <w:r>
              <w:rPr>
                <w:color w:val="000000"/>
                <w:sz w:val="16"/>
              </w:rPr>
              <w:t>High</w:t>
            </w:r>
          </w:p>
        </w:tc>
      </w:tr>
      <w:tr>
        <w:tc>
          <w:tcPr>
            <w:tcW w:type="dxa" w:w="2880"/>
            <w:vAlign w:val="top"/>
          </w:tcPr>
          <w:p>
            <w:pPr>
              <w:spacing w:after="20"/>
            </w:pPr>
            <w:r>
              <w:rPr>
                <w:color w:val="000000"/>
                <w:sz w:val="16"/>
              </w:rPr>
              <w:t>Programmable EM Boundary source</w:t>
            </w:r>
          </w:p>
        </w:tc>
        <w:tc>
          <w:tcPr>
            <w:tcW w:type="dxa" w:w="2448"/>
            <w:vAlign w:val="top"/>
          </w:tcPr>
          <w:p>
            <w:pPr>
              <w:spacing w:after="20"/>
            </w:pPr>
            <w:r>
              <w:rPr>
                <w:color w:val="000000"/>
                <w:sz w:val="16"/>
              </w:rPr>
              <w:t>Direct text recovered</w:t>
            </w:r>
          </w:p>
        </w:tc>
        <w:tc>
          <w:tcPr>
            <w:tcW w:type="dxa" w:w="4320"/>
            <w:vAlign w:val="top"/>
          </w:tcPr>
          <w:p>
            <w:pPr>
              <w:spacing w:after="20"/>
            </w:pPr>
            <w:r>
              <w:rPr>
                <w:color w:val="000000"/>
                <w:sz w:val="16"/>
              </w:rPr>
              <w:t>Import full direct text and build benign simulation appendix.</w:t>
            </w:r>
          </w:p>
        </w:tc>
        <w:tc>
          <w:tcPr>
            <w:tcW w:type="dxa" w:w="1152"/>
            <w:vAlign w:val="top"/>
          </w:tcPr>
          <w:p>
            <w:pPr>
              <w:spacing w:after="20"/>
            </w:pPr>
            <w:r>
              <w:rPr>
                <w:color w:val="000000"/>
                <w:sz w:val="16"/>
              </w:rPr>
              <w:t>High</w:t>
            </w:r>
          </w:p>
        </w:tc>
      </w:tr>
      <w:tr>
        <w:tc>
          <w:tcPr>
            <w:tcW w:type="dxa" w:w="2880"/>
            <w:vAlign w:val="top"/>
          </w:tcPr>
          <w:p>
            <w:pPr>
              <w:spacing w:after="20"/>
            </w:pPr>
            <w:r>
              <w:rPr>
                <w:color w:val="000000"/>
                <w:sz w:val="16"/>
              </w:rPr>
              <w:t>General Atomics/GDS triad source</w:t>
            </w:r>
          </w:p>
        </w:tc>
        <w:tc>
          <w:tcPr>
            <w:tcW w:type="dxa" w:w="2448"/>
            <w:vAlign w:val="top"/>
          </w:tcPr>
          <w:p>
            <w:pPr>
              <w:spacing w:after="20"/>
            </w:pPr>
            <w:r>
              <w:rPr>
                <w:color w:val="000000"/>
                <w:sz w:val="16"/>
              </w:rPr>
              <w:t>File Library recovered</w:t>
            </w:r>
          </w:p>
        </w:tc>
        <w:tc>
          <w:tcPr>
            <w:tcW w:type="dxa" w:w="4320"/>
            <w:vAlign w:val="top"/>
          </w:tcPr>
          <w:p>
            <w:pPr>
              <w:spacing w:after="20"/>
            </w:pPr>
            <w:r>
              <w:rPr>
                <w:color w:val="000000"/>
                <w:sz w:val="16"/>
              </w:rPr>
              <w:t>Import direct text and build triad diagram.</w:t>
            </w:r>
          </w:p>
        </w:tc>
        <w:tc>
          <w:tcPr>
            <w:tcW w:type="dxa" w:w="1152"/>
            <w:vAlign w:val="top"/>
          </w:tcPr>
          <w:p>
            <w:pPr>
              <w:spacing w:after="20"/>
            </w:pPr>
            <w:r>
              <w:rPr>
                <w:color w:val="000000"/>
                <w:sz w:val="16"/>
              </w:rPr>
              <w:t>Medium</w:t>
            </w:r>
          </w:p>
        </w:tc>
      </w:tr>
      <w:tr>
        <w:tc>
          <w:tcPr>
            <w:tcW w:type="dxa" w:w="2880"/>
            <w:vAlign w:val="top"/>
          </w:tcPr>
          <w:p>
            <w:pPr>
              <w:spacing w:after="20"/>
            </w:pPr>
            <w:r>
              <w:rPr>
                <w:color w:val="000000"/>
                <w:sz w:val="16"/>
              </w:rPr>
              <w:t>BSARADGS secure-access pages</w:t>
            </w:r>
          </w:p>
        </w:tc>
        <w:tc>
          <w:tcPr>
            <w:tcW w:type="dxa" w:w="2448"/>
            <w:vAlign w:val="top"/>
          </w:tcPr>
          <w:p>
            <w:pPr>
              <w:spacing w:after="20"/>
            </w:pPr>
            <w:r>
              <w:rPr>
                <w:color w:val="000000"/>
                <w:sz w:val="16"/>
              </w:rPr>
              <w:t>Project-context located</w:t>
            </w:r>
          </w:p>
        </w:tc>
        <w:tc>
          <w:tcPr>
            <w:tcW w:type="dxa" w:w="4320"/>
            <w:vAlign w:val="top"/>
          </w:tcPr>
          <w:p>
            <w:pPr>
              <w:spacing w:after="20"/>
            </w:pPr>
            <w:r>
              <w:rPr>
                <w:color w:val="000000"/>
                <w:sz w:val="16"/>
              </w:rPr>
              <w:t>Recover source pages and normalize canonical spelling.</w:t>
            </w:r>
          </w:p>
        </w:tc>
        <w:tc>
          <w:tcPr>
            <w:tcW w:type="dxa" w:w="1152"/>
            <w:vAlign w:val="top"/>
          </w:tcPr>
          <w:p>
            <w:pPr>
              <w:spacing w:after="20"/>
            </w:pPr>
            <w:r>
              <w:rPr>
                <w:color w:val="000000"/>
                <w:sz w:val="16"/>
              </w:rPr>
              <w:t>High</w:t>
            </w:r>
          </w:p>
        </w:tc>
      </w:tr>
      <w:tr>
        <w:tc>
          <w:tcPr>
            <w:tcW w:type="dxa" w:w="2880"/>
            <w:vAlign w:val="top"/>
          </w:tcPr>
          <w:p>
            <w:pPr>
              <w:spacing w:after="20"/>
            </w:pPr>
            <w:r>
              <w:rPr>
                <w:color w:val="000000"/>
                <w:sz w:val="16"/>
              </w:rPr>
              <w:t>Bose-Davis / Flamehold / Deep Earth / AI Interface manuscripts</w:t>
            </w:r>
          </w:p>
        </w:tc>
        <w:tc>
          <w:tcPr>
            <w:tcW w:type="dxa" w:w="2448"/>
            <w:vAlign w:val="top"/>
          </w:tcPr>
          <w:p>
            <w:pPr>
              <w:spacing w:after="20"/>
            </w:pPr>
            <w:r>
              <w:rPr>
                <w:color w:val="000000"/>
                <w:sz w:val="16"/>
              </w:rPr>
              <w:t>Personal-context located</w:t>
            </w:r>
          </w:p>
        </w:tc>
        <w:tc>
          <w:tcPr>
            <w:tcW w:type="dxa" w:w="4320"/>
            <w:vAlign w:val="top"/>
          </w:tcPr>
          <w:p>
            <w:pPr>
              <w:spacing w:after="20"/>
            </w:pPr>
            <w:r>
              <w:rPr>
                <w:color w:val="000000"/>
                <w:sz w:val="16"/>
              </w:rPr>
              <w:t>Recover source files; classify theory claims by testability.</w:t>
            </w:r>
          </w:p>
        </w:tc>
        <w:tc>
          <w:tcPr>
            <w:tcW w:type="dxa" w:w="1152"/>
            <w:vAlign w:val="top"/>
          </w:tcPr>
          <w:p>
            <w:pPr>
              <w:spacing w:after="20"/>
            </w:pPr>
            <w:r>
              <w:rPr>
                <w:color w:val="000000"/>
                <w:sz w:val="16"/>
              </w:rPr>
              <w:t>Medium</w:t>
            </w:r>
          </w:p>
        </w:tc>
      </w:tr>
      <w:tr>
        <w:tc>
          <w:tcPr>
            <w:tcW w:type="dxa" w:w="2880"/>
            <w:vAlign w:val="top"/>
          </w:tcPr>
          <w:p>
            <w:pPr>
              <w:spacing w:after="20"/>
            </w:pPr>
            <w:r>
              <w:rPr>
                <w:color w:val="000000"/>
                <w:sz w:val="16"/>
              </w:rPr>
              <w:t>ATSOP/UAP/Euphrates/DUMB/Flamehold dossiers</w:t>
            </w:r>
          </w:p>
        </w:tc>
        <w:tc>
          <w:tcPr>
            <w:tcW w:type="dxa" w:w="2448"/>
            <w:vAlign w:val="top"/>
          </w:tcPr>
          <w:p>
            <w:pPr>
              <w:spacing w:after="20"/>
            </w:pPr>
            <w:r>
              <w:rPr>
                <w:color w:val="000000"/>
                <w:sz w:val="16"/>
              </w:rPr>
              <w:t>Project-context located</w:t>
            </w:r>
          </w:p>
        </w:tc>
        <w:tc>
          <w:tcPr>
            <w:tcW w:type="dxa" w:w="4320"/>
            <w:vAlign w:val="top"/>
          </w:tcPr>
          <w:p>
            <w:pPr>
              <w:spacing w:after="20"/>
            </w:pPr>
            <w:r>
              <w:rPr>
                <w:color w:val="000000"/>
                <w:sz w:val="16"/>
              </w:rPr>
              <w:t>Recover files; evidence-classify every claim.</w:t>
            </w:r>
          </w:p>
        </w:tc>
        <w:tc>
          <w:tcPr>
            <w:tcW w:type="dxa" w:w="1152"/>
            <w:vAlign w:val="top"/>
          </w:tcPr>
          <w:p>
            <w:pPr>
              <w:spacing w:after="20"/>
            </w:pPr>
            <w:r>
              <w:rPr>
                <w:color w:val="000000"/>
                <w:sz w:val="16"/>
              </w:rPr>
              <w:t>Medium</w:t>
            </w:r>
          </w:p>
        </w:tc>
      </w:tr>
      <w:tr>
        <w:tc>
          <w:tcPr>
            <w:tcW w:type="dxa" w:w="2880"/>
            <w:vAlign w:val="top"/>
          </w:tcPr>
          <w:p>
            <w:pPr>
              <w:spacing w:after="20"/>
            </w:pPr>
            <w:r>
              <w:rPr>
                <w:color w:val="000000"/>
                <w:sz w:val="16"/>
              </w:rPr>
              <w:t>Secure Linux/SSH/Padawan notes</w:t>
            </w:r>
          </w:p>
        </w:tc>
        <w:tc>
          <w:tcPr>
            <w:tcW w:type="dxa" w:w="2448"/>
            <w:vAlign w:val="top"/>
          </w:tcPr>
          <w:p>
            <w:pPr>
              <w:spacing w:after="20"/>
            </w:pPr>
            <w:r>
              <w:rPr>
                <w:color w:val="000000"/>
                <w:sz w:val="16"/>
              </w:rPr>
              <w:t>Personal-context located</w:t>
            </w:r>
          </w:p>
        </w:tc>
        <w:tc>
          <w:tcPr>
            <w:tcW w:type="dxa" w:w="4320"/>
            <w:vAlign w:val="top"/>
          </w:tcPr>
          <w:p>
            <w:pPr>
              <w:spacing w:after="20"/>
            </w:pPr>
            <w:r>
              <w:rPr>
                <w:color w:val="000000"/>
                <w:sz w:val="16"/>
              </w:rPr>
              <w:t>Recover sanitized notes; strip secrets; create defensive appendix.</w:t>
            </w:r>
          </w:p>
        </w:tc>
        <w:tc>
          <w:tcPr>
            <w:tcW w:type="dxa" w:w="1152"/>
            <w:vAlign w:val="top"/>
          </w:tcPr>
          <w:p>
            <w:pPr>
              <w:spacing w:after="20"/>
            </w:pPr>
            <w:r>
              <w:rPr>
                <w:color w:val="000000"/>
                <w:sz w:val="16"/>
              </w:rPr>
              <w:t>Medium</w:t>
            </w:r>
          </w:p>
        </w:tc>
      </w:tr>
      <w:tr>
        <w:tc>
          <w:tcPr>
            <w:tcW w:type="dxa" w:w="2880"/>
            <w:vAlign w:val="top"/>
          </w:tcPr>
          <w:p>
            <w:pPr>
              <w:spacing w:after="20"/>
            </w:pPr>
            <w:r>
              <w:rPr>
                <w:color w:val="000000"/>
                <w:sz w:val="16"/>
              </w:rPr>
              <w:t>Project Shepherd DOS Edition kit</w:t>
            </w:r>
          </w:p>
        </w:tc>
        <w:tc>
          <w:tcPr>
            <w:tcW w:type="dxa" w:w="2448"/>
            <w:vAlign w:val="top"/>
          </w:tcPr>
          <w:p>
            <w:pPr>
              <w:spacing w:after="20"/>
            </w:pPr>
            <w:r>
              <w:rPr>
                <w:color w:val="000000"/>
                <w:sz w:val="16"/>
              </w:rPr>
              <w:t>Personal-context located</w:t>
            </w:r>
          </w:p>
        </w:tc>
        <w:tc>
          <w:tcPr>
            <w:tcW w:type="dxa" w:w="4320"/>
            <w:vAlign w:val="top"/>
          </w:tcPr>
          <w:p>
            <w:pPr>
              <w:spacing w:after="20"/>
            </w:pPr>
            <w:r>
              <w:rPr>
                <w:color w:val="000000"/>
                <w:sz w:val="16"/>
              </w:rPr>
              <w:t>Recover kit files; preserve read-only originals; add manifest.</w:t>
            </w:r>
          </w:p>
        </w:tc>
        <w:tc>
          <w:tcPr>
            <w:tcW w:type="dxa" w:w="1152"/>
            <w:vAlign w:val="top"/>
          </w:tcPr>
          <w:p>
            <w:pPr>
              <w:spacing w:after="20"/>
            </w:pPr>
            <w:r>
              <w:rPr>
                <w:color w:val="000000"/>
                <w:sz w:val="16"/>
              </w:rPr>
              <w:t>Low-Medium</w:t>
            </w:r>
          </w:p>
        </w:tc>
      </w:tr>
    </w:tbl>
    <w:p/>
    <w:p>
      <w:pPr>
        <w:pStyle w:val="Heading1"/>
        <w:keepNext/>
        <w:spacing w:before="160" w:after="80"/>
      </w:pPr>
      <w:r>
        <w:rPr>
          <w:color w:val="000000"/>
        </w:rPr>
        <w:t>Appendix C - Master Validation Matrix</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EDEDED"/>
          </w:tcPr>
          <w:p>
            <w:r>
              <w:rPr>
                <w:b/>
                <w:color w:val="000000"/>
                <w:sz w:val="17"/>
              </w:rPr>
              <w:t>Class</w:t>
            </w:r>
          </w:p>
        </w:tc>
        <w:tc>
          <w:tcPr>
            <w:tcW w:type="dxa" w:w="4608"/>
            <w:shd w:fill="EDEDED"/>
          </w:tcPr>
          <w:p>
            <w:r>
              <w:rPr>
                <w:b/>
                <w:color w:val="000000"/>
                <w:sz w:val="17"/>
              </w:rPr>
              <w:t>Definition</w:t>
            </w:r>
          </w:p>
        </w:tc>
        <w:tc>
          <w:tcPr>
            <w:tcW w:type="dxa" w:w="4032"/>
            <w:shd w:fill="EDEDED"/>
          </w:tcPr>
          <w:p>
            <w:r>
              <w:rPr>
                <w:b/>
                <w:color w:val="000000"/>
                <w:sz w:val="17"/>
              </w:rPr>
              <w:t>Language rule</w:t>
            </w:r>
          </w:p>
        </w:tc>
      </w:tr>
      <w:tr>
        <w:tc>
          <w:tcPr>
            <w:tcW w:type="dxa" w:w="2016"/>
            <w:vAlign w:val="top"/>
          </w:tcPr>
          <w:p>
            <w:pPr>
              <w:spacing w:after="20"/>
            </w:pPr>
            <w:r>
              <w:rPr>
                <w:color w:val="000000"/>
                <w:sz w:val="17"/>
              </w:rPr>
              <w:t>Demonstrated</w:t>
            </w:r>
          </w:p>
        </w:tc>
        <w:tc>
          <w:tcPr>
            <w:tcW w:type="dxa" w:w="4608"/>
            <w:vAlign w:val="top"/>
          </w:tcPr>
          <w:p>
            <w:pPr>
              <w:spacing w:after="20"/>
            </w:pPr>
            <w:r>
              <w:rPr>
                <w:color w:val="000000"/>
                <w:sz w:val="17"/>
              </w:rPr>
              <w:t>Evidence exists from files, tests, attachments, or reproducible workflow.</w:t>
            </w:r>
          </w:p>
        </w:tc>
        <w:tc>
          <w:tcPr>
            <w:tcW w:type="dxa" w:w="4032"/>
            <w:vAlign w:val="top"/>
          </w:tcPr>
          <w:p>
            <w:pPr>
              <w:spacing w:after="20"/>
            </w:pPr>
            <w:r>
              <w:rPr>
                <w:color w:val="000000"/>
                <w:sz w:val="17"/>
              </w:rPr>
              <w:t>State with source details and date.</w:t>
            </w:r>
          </w:p>
        </w:tc>
      </w:tr>
      <w:tr>
        <w:tc>
          <w:tcPr>
            <w:tcW w:type="dxa" w:w="2016"/>
            <w:vAlign w:val="top"/>
          </w:tcPr>
          <w:p>
            <w:pPr>
              <w:spacing w:after="20"/>
            </w:pPr>
            <w:r>
              <w:rPr>
                <w:color w:val="000000"/>
                <w:sz w:val="17"/>
              </w:rPr>
              <w:t>Modeled</w:t>
            </w:r>
          </w:p>
        </w:tc>
        <w:tc>
          <w:tcPr>
            <w:tcW w:type="dxa" w:w="4608"/>
            <w:vAlign w:val="top"/>
          </w:tcPr>
          <w:p>
            <w:pPr>
              <w:spacing w:after="20"/>
            </w:pPr>
            <w:r>
              <w:rPr>
                <w:color w:val="000000"/>
                <w:sz w:val="17"/>
              </w:rPr>
              <w:t>Simulation, math, or planning model exists, but real-world outcome not proven.</w:t>
            </w:r>
          </w:p>
        </w:tc>
        <w:tc>
          <w:tcPr>
            <w:tcW w:type="dxa" w:w="4032"/>
            <w:vAlign w:val="top"/>
          </w:tcPr>
          <w:p>
            <w:pPr>
              <w:spacing w:after="20"/>
            </w:pPr>
            <w:r>
              <w:rPr>
                <w:color w:val="000000"/>
                <w:sz w:val="17"/>
              </w:rPr>
              <w:t>State assumptions and limitations.</w:t>
            </w:r>
          </w:p>
        </w:tc>
      </w:tr>
      <w:tr>
        <w:tc>
          <w:tcPr>
            <w:tcW w:type="dxa" w:w="2016"/>
            <w:vAlign w:val="top"/>
          </w:tcPr>
          <w:p>
            <w:pPr>
              <w:spacing w:after="20"/>
            </w:pPr>
            <w:r>
              <w:rPr>
                <w:color w:val="000000"/>
                <w:sz w:val="17"/>
              </w:rPr>
              <w:t>Proposed</w:t>
            </w:r>
          </w:p>
        </w:tc>
        <w:tc>
          <w:tcPr>
            <w:tcW w:type="dxa" w:w="4608"/>
            <w:vAlign w:val="top"/>
          </w:tcPr>
          <w:p>
            <w:pPr>
              <w:spacing w:after="20"/>
            </w:pPr>
            <w:r>
              <w:rPr>
                <w:color w:val="000000"/>
                <w:sz w:val="17"/>
              </w:rPr>
              <w:t>Design or framework is described but not implemented or validated.</w:t>
            </w:r>
          </w:p>
        </w:tc>
        <w:tc>
          <w:tcPr>
            <w:tcW w:type="dxa" w:w="4032"/>
            <w:vAlign w:val="top"/>
          </w:tcPr>
          <w:p>
            <w:pPr>
              <w:spacing w:after="20"/>
            </w:pPr>
            <w:r>
              <w:rPr>
                <w:color w:val="000000"/>
                <w:sz w:val="17"/>
              </w:rPr>
              <w:t>Use as roadmap or concept.</w:t>
            </w:r>
          </w:p>
        </w:tc>
      </w:tr>
      <w:tr>
        <w:tc>
          <w:tcPr>
            <w:tcW w:type="dxa" w:w="2016"/>
            <w:vAlign w:val="top"/>
          </w:tcPr>
          <w:p>
            <w:pPr>
              <w:spacing w:after="20"/>
            </w:pPr>
            <w:r>
              <w:rPr>
                <w:color w:val="000000"/>
                <w:sz w:val="17"/>
              </w:rPr>
              <w:t>Speculative</w:t>
            </w:r>
          </w:p>
        </w:tc>
        <w:tc>
          <w:tcPr>
            <w:tcW w:type="dxa" w:w="4608"/>
            <w:vAlign w:val="top"/>
          </w:tcPr>
          <w:p>
            <w:pPr>
              <w:spacing w:after="20"/>
            </w:pPr>
            <w:r>
              <w:rPr>
                <w:color w:val="000000"/>
                <w:sz w:val="17"/>
              </w:rPr>
              <w:t>Theoretical, symbolic, or high-uncertainty claim.</w:t>
            </w:r>
          </w:p>
        </w:tc>
        <w:tc>
          <w:tcPr>
            <w:tcW w:type="dxa" w:w="4032"/>
            <w:vAlign w:val="top"/>
          </w:tcPr>
          <w:p>
            <w:pPr>
              <w:spacing w:after="20"/>
            </w:pPr>
            <w:r>
              <w:rPr>
                <w:color w:val="000000"/>
                <w:sz w:val="17"/>
              </w:rPr>
              <w:t>Keep in theory/archive volume with caveat.</w:t>
            </w:r>
          </w:p>
        </w:tc>
      </w:tr>
      <w:tr>
        <w:tc>
          <w:tcPr>
            <w:tcW w:type="dxa" w:w="2016"/>
            <w:vAlign w:val="top"/>
          </w:tcPr>
          <w:p>
            <w:pPr>
              <w:spacing w:after="20"/>
            </w:pPr>
            <w:r>
              <w:rPr>
                <w:color w:val="000000"/>
                <w:sz w:val="17"/>
              </w:rPr>
              <w:t>Unverified dossier</w:t>
            </w:r>
          </w:p>
        </w:tc>
        <w:tc>
          <w:tcPr>
            <w:tcW w:type="dxa" w:w="4608"/>
            <w:vAlign w:val="top"/>
          </w:tcPr>
          <w:p>
            <w:pPr>
              <w:spacing w:after="20"/>
            </w:pPr>
            <w:r>
              <w:rPr>
                <w:color w:val="000000"/>
                <w:sz w:val="17"/>
              </w:rPr>
              <w:t>Narrative or extraordinary claim without independent verification.</w:t>
            </w:r>
          </w:p>
        </w:tc>
        <w:tc>
          <w:tcPr>
            <w:tcW w:type="dxa" w:w="4032"/>
            <w:vAlign w:val="top"/>
          </w:tcPr>
          <w:p>
            <w:pPr>
              <w:spacing w:after="20"/>
            </w:pPr>
            <w:r>
              <w:rPr>
                <w:color w:val="000000"/>
                <w:sz w:val="17"/>
              </w:rPr>
              <w:t>Evidence-classify and do not merge into technical claims.</w:t>
            </w:r>
          </w:p>
        </w:tc>
      </w:tr>
    </w:tbl>
    <w:p/>
    <w:p>
      <w:pPr>
        <w:pStyle w:val="Heading1"/>
        <w:keepNext/>
        <w:spacing w:before="160" w:after="80"/>
      </w:pPr>
      <w:r>
        <w:rPr>
          <w:color w:val="000000"/>
        </w:rPr>
        <w:t>Appendix D - Recommended Volume Split</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EDEDED"/>
          </w:tcPr>
          <w:p>
            <w:r>
              <w:rPr>
                <w:b/>
                <w:color w:val="000000"/>
                <w:sz w:val="17"/>
              </w:rPr>
              <w:t>Volume</w:t>
            </w:r>
          </w:p>
        </w:tc>
        <w:tc>
          <w:tcPr>
            <w:tcW w:type="dxa" w:w="3024"/>
            <w:shd w:fill="EDEDED"/>
          </w:tcPr>
          <w:p>
            <w:r>
              <w:rPr>
                <w:b/>
                <w:color w:val="000000"/>
                <w:sz w:val="17"/>
              </w:rPr>
              <w:t>Title</w:t>
            </w:r>
          </w:p>
        </w:tc>
        <w:tc>
          <w:tcPr>
            <w:tcW w:type="dxa" w:w="6192"/>
            <w:shd w:fill="EDEDED"/>
          </w:tcPr>
          <w:p>
            <w:r>
              <w:rPr>
                <w:b/>
                <w:color w:val="000000"/>
                <w:sz w:val="17"/>
              </w:rPr>
              <w:t>Scope</w:t>
            </w:r>
          </w:p>
        </w:tc>
      </w:tr>
      <w:tr>
        <w:tc>
          <w:tcPr>
            <w:tcW w:type="dxa" w:w="1440"/>
            <w:vAlign w:val="top"/>
          </w:tcPr>
          <w:p>
            <w:pPr>
              <w:spacing w:after="20"/>
            </w:pPr>
            <w:r>
              <w:rPr>
                <w:color w:val="000000"/>
                <w:sz w:val="17"/>
              </w:rPr>
              <w:t>Volume I</w:t>
            </w:r>
          </w:p>
        </w:tc>
        <w:tc>
          <w:tcPr>
            <w:tcW w:type="dxa" w:w="3024"/>
            <w:vAlign w:val="top"/>
          </w:tcPr>
          <w:p>
            <w:pPr>
              <w:spacing w:after="20"/>
            </w:pPr>
            <w:r>
              <w:rPr>
                <w:color w:val="000000"/>
                <w:sz w:val="17"/>
              </w:rPr>
              <w:t>Core Architecture and Governance</w:t>
            </w:r>
          </w:p>
        </w:tc>
        <w:tc>
          <w:tcPr>
            <w:tcW w:type="dxa" w:w="6192"/>
            <w:vAlign w:val="top"/>
          </w:tcPr>
          <w:p>
            <w:pPr>
              <w:spacing w:after="20"/>
            </w:pPr>
            <w:r>
              <w:rPr>
                <w:color w:val="000000"/>
                <w:sz w:val="17"/>
              </w:rPr>
              <w:t>Worldshepherd thesis, namespace, BSARADGS, secure access, command ontology, source discipline.</w:t>
            </w:r>
          </w:p>
        </w:tc>
      </w:tr>
      <w:tr>
        <w:tc>
          <w:tcPr>
            <w:tcW w:type="dxa" w:w="1440"/>
            <w:vAlign w:val="top"/>
          </w:tcPr>
          <w:p>
            <w:pPr>
              <w:spacing w:after="20"/>
            </w:pPr>
            <w:r>
              <w:rPr>
                <w:color w:val="000000"/>
                <w:sz w:val="17"/>
              </w:rPr>
              <w:t>Volume II</w:t>
            </w:r>
          </w:p>
        </w:tc>
        <w:tc>
          <w:tcPr>
            <w:tcW w:type="dxa" w:w="3024"/>
            <w:vAlign w:val="top"/>
          </w:tcPr>
          <w:p>
            <w:pPr>
              <w:spacing w:after="20"/>
            </w:pPr>
            <w:r>
              <w:rPr>
                <w:color w:val="000000"/>
                <w:sz w:val="17"/>
              </w:rPr>
              <w:t>Medicine and Biological Systems</w:t>
            </w:r>
          </w:p>
        </w:tc>
        <w:tc>
          <w:tcPr>
            <w:tcW w:type="dxa" w:w="6192"/>
            <w:vAlign w:val="top"/>
          </w:tcPr>
          <w:p>
            <w:pPr>
              <w:spacing w:after="20"/>
            </w:pPr>
            <w:r>
              <w:rPr>
                <w:color w:val="000000"/>
                <w:sz w:val="17"/>
              </w:rPr>
              <w:t>BAROS, BAROS validation, synthetic repair-coupling research.</w:t>
            </w:r>
          </w:p>
        </w:tc>
      </w:tr>
      <w:tr>
        <w:tc>
          <w:tcPr>
            <w:tcW w:type="dxa" w:w="1440"/>
            <w:vAlign w:val="top"/>
          </w:tcPr>
          <w:p>
            <w:pPr>
              <w:spacing w:after="20"/>
            </w:pPr>
            <w:r>
              <w:rPr>
                <w:color w:val="000000"/>
                <w:sz w:val="17"/>
              </w:rPr>
              <w:t>Volume III</w:t>
            </w:r>
          </w:p>
        </w:tc>
        <w:tc>
          <w:tcPr>
            <w:tcW w:type="dxa" w:w="3024"/>
            <w:vAlign w:val="top"/>
          </w:tcPr>
          <w:p>
            <w:pPr>
              <w:spacing w:after="20"/>
            </w:pPr>
            <w:r>
              <w:rPr>
                <w:color w:val="000000"/>
                <w:sz w:val="17"/>
              </w:rPr>
              <w:t>Materials and Field Control</w:t>
            </w:r>
          </w:p>
        </w:tc>
        <w:tc>
          <w:tcPr>
            <w:tcW w:type="dxa" w:w="6192"/>
            <w:vAlign w:val="top"/>
          </w:tcPr>
          <w:p>
            <w:pPr>
              <w:spacing w:after="20"/>
            </w:pPr>
            <w:r>
              <w:rPr>
                <w:color w:val="000000"/>
                <w:sz w:val="17"/>
              </w:rPr>
              <w:t>WS-AlTi, materials compiler, programmable EM boundary, BR3DGS/.XYZ compiler.</w:t>
            </w:r>
          </w:p>
        </w:tc>
      </w:tr>
      <w:tr>
        <w:tc>
          <w:tcPr>
            <w:tcW w:type="dxa" w:w="1440"/>
            <w:vAlign w:val="top"/>
          </w:tcPr>
          <w:p>
            <w:pPr>
              <w:spacing w:after="20"/>
            </w:pPr>
            <w:r>
              <w:rPr>
                <w:color w:val="000000"/>
                <w:sz w:val="17"/>
              </w:rPr>
              <w:t>Volume IV</w:t>
            </w:r>
          </w:p>
        </w:tc>
        <w:tc>
          <w:tcPr>
            <w:tcW w:type="dxa" w:w="3024"/>
            <w:vAlign w:val="top"/>
          </w:tcPr>
          <w:p>
            <w:pPr>
              <w:spacing w:after="20"/>
            </w:pPr>
            <w:r>
              <w:rPr>
                <w:color w:val="000000"/>
                <w:sz w:val="17"/>
              </w:rPr>
              <w:t>Autonomy, Aerospace, Robotics, and Infrastructure</w:t>
            </w:r>
          </w:p>
        </w:tc>
        <w:tc>
          <w:tcPr>
            <w:tcW w:type="dxa" w:w="6192"/>
            <w:vAlign w:val="top"/>
          </w:tcPr>
          <w:p>
            <w:pPr>
              <w:spacing w:after="20"/>
            </w:pPr>
            <w:r>
              <w:rPr>
                <w:color w:val="000000"/>
                <w:sz w:val="17"/>
              </w:rPr>
              <w:t>HIVE/WASP/AVIS/ARK, company orientation lanes, GDS triad, orbital/deep-sea stack, CTA families.</w:t>
            </w:r>
          </w:p>
        </w:tc>
      </w:tr>
      <w:tr>
        <w:tc>
          <w:tcPr>
            <w:tcW w:type="dxa" w:w="1440"/>
            <w:vAlign w:val="top"/>
          </w:tcPr>
          <w:p>
            <w:pPr>
              <w:spacing w:after="20"/>
            </w:pPr>
            <w:r>
              <w:rPr>
                <w:color w:val="000000"/>
                <w:sz w:val="17"/>
              </w:rPr>
              <w:t>Volume V</w:t>
            </w:r>
          </w:p>
        </w:tc>
        <w:tc>
          <w:tcPr>
            <w:tcW w:type="dxa" w:w="3024"/>
            <w:vAlign w:val="top"/>
          </w:tcPr>
          <w:p>
            <w:pPr>
              <w:spacing w:after="20"/>
            </w:pPr>
            <w:r>
              <w:rPr>
                <w:color w:val="000000"/>
                <w:sz w:val="17"/>
              </w:rPr>
              <w:t>Archive and Disclosure Dossiers</w:t>
            </w:r>
          </w:p>
        </w:tc>
        <w:tc>
          <w:tcPr>
            <w:tcW w:type="dxa" w:w="6192"/>
            <w:vAlign w:val="top"/>
          </w:tcPr>
          <w:p>
            <w:pPr>
              <w:spacing w:after="20"/>
            </w:pPr>
            <w:r>
              <w:rPr>
                <w:color w:val="000000"/>
                <w:sz w:val="17"/>
              </w:rPr>
              <w:t>ATSOP, UAP, Euphrates, DUMB, Flamehold, Seals, chronology, identity layers.</w:t>
            </w:r>
          </w:p>
        </w:tc>
      </w:tr>
      <w:tr>
        <w:tc>
          <w:tcPr>
            <w:tcW w:type="dxa" w:w="1440"/>
            <w:vAlign w:val="top"/>
          </w:tcPr>
          <w:p>
            <w:pPr>
              <w:spacing w:after="20"/>
            </w:pPr>
            <w:r>
              <w:rPr>
                <w:color w:val="000000"/>
                <w:sz w:val="17"/>
              </w:rPr>
              <w:t>Volume VI</w:t>
            </w:r>
          </w:p>
        </w:tc>
        <w:tc>
          <w:tcPr>
            <w:tcW w:type="dxa" w:w="3024"/>
            <w:vAlign w:val="top"/>
          </w:tcPr>
          <w:p>
            <w:pPr>
              <w:spacing w:after="20"/>
            </w:pPr>
            <w:r>
              <w:rPr>
                <w:color w:val="000000"/>
                <w:sz w:val="17"/>
              </w:rPr>
              <w:t>Commercialization, Counsel, IP, and Evidence</w:t>
            </w:r>
          </w:p>
        </w:tc>
        <w:tc>
          <w:tcPr>
            <w:tcW w:type="dxa" w:w="6192"/>
            <w:vAlign w:val="top"/>
          </w:tcPr>
          <w:p>
            <w:pPr>
              <w:spacing w:after="20"/>
            </w:pPr>
            <w:r>
              <w:rPr>
                <w:color w:val="000000"/>
                <w:sz w:val="17"/>
              </w:rPr>
              <w:t>DIAS-C, data room, partner outreach, claim families, source recovery, roadmap.</w:t>
            </w:r>
          </w:p>
        </w:tc>
      </w:tr>
    </w:tbl>
    <w:p/>
    <w:p>
      <w:pPr>
        <w:pStyle w:val="Heading1"/>
        <w:keepNext/>
        <w:spacing w:before="160" w:after="80"/>
      </w:pPr>
      <w:r>
        <w:rPr>
          <w:color w:val="000000"/>
        </w:rPr>
        <w:t>Appendix E - Editorial Rules for Version 1.0</w:t>
      </w:r>
    </w:p>
    <w:p>
      <w:pPr>
        <w:pStyle w:val="ListNumber"/>
        <w:spacing w:after="100" w:line="259" w:lineRule="auto"/>
      </w:pPr>
      <w:r>
        <w:rPr>
          <w:b w:val="0"/>
          <w:i w:val="0"/>
          <w:color w:val="000000"/>
        </w:rPr>
        <w:t>Every chapter must retain a source posture box.</w:t>
      </w:r>
    </w:p>
    <w:p>
      <w:pPr>
        <w:pStyle w:val="ListNumber"/>
        <w:spacing w:after="100" w:line="259" w:lineRule="auto"/>
      </w:pPr>
      <w:r>
        <w:rPr>
          <w:b w:val="0"/>
          <w:i w:val="0"/>
          <w:color w:val="000000"/>
        </w:rPr>
        <w:t>Every source-recovered artifact must receive a hash, filename, date, and controlling-version label.</w:t>
      </w:r>
    </w:p>
    <w:p>
      <w:pPr>
        <w:pStyle w:val="ListNumber"/>
        <w:spacing w:after="100" w:line="259" w:lineRule="auto"/>
      </w:pPr>
      <w:r>
        <w:rPr>
          <w:b w:val="0"/>
          <w:i w:val="0"/>
          <w:color w:val="000000"/>
        </w:rPr>
        <w:t>Medical material must remain research-stage unless supported by clinical evidence and regulatory review.</w:t>
      </w:r>
    </w:p>
    <w:p>
      <w:pPr>
        <w:pStyle w:val="ListNumber"/>
        <w:spacing w:after="100" w:line="259" w:lineRule="auto"/>
      </w:pPr>
      <w:r>
        <w:rPr>
          <w:b w:val="0"/>
          <w:i w:val="0"/>
          <w:color w:val="000000"/>
        </w:rPr>
        <w:t>Legal-policy material must be reviewed by counsel before adversarial use.</w:t>
      </w:r>
    </w:p>
    <w:p>
      <w:pPr>
        <w:pStyle w:val="ListNumber"/>
        <w:spacing w:after="100" w:line="259" w:lineRule="auto"/>
      </w:pPr>
      <w:r>
        <w:rPr>
          <w:b w:val="0"/>
          <w:i w:val="0"/>
          <w:color w:val="000000"/>
        </w:rPr>
        <w:t>Named companies must be described as orientation targets unless a real relationship exists.</w:t>
      </w:r>
    </w:p>
    <w:p>
      <w:pPr>
        <w:pStyle w:val="ListNumber"/>
        <w:spacing w:after="100" w:line="259" w:lineRule="auto"/>
      </w:pPr>
      <w:r>
        <w:rPr>
          <w:b w:val="0"/>
          <w:i w:val="0"/>
          <w:color w:val="000000"/>
        </w:rPr>
        <w:t>Dual-use technical material must remain benign, non-operational, and safety-bounded in public editions.</w:t>
      </w:r>
    </w:p>
    <w:p>
      <w:pPr>
        <w:pStyle w:val="ListNumber"/>
        <w:spacing w:after="100" w:line="259" w:lineRule="auto"/>
      </w:pPr>
      <w:r>
        <w:rPr>
          <w:b w:val="0"/>
          <w:i w:val="0"/>
          <w:color w:val="000000"/>
        </w:rPr>
        <w:t>Dossier and extraordinary-claim material must remain separate from validated technical claims.</w:t>
      </w:r>
    </w:p>
    <w:p>
      <w:pPr>
        <w:pStyle w:val="ListNumber"/>
        <w:spacing w:after="100" w:line="259" w:lineRule="auto"/>
      </w:pPr>
      <w:r>
        <w:rPr>
          <w:b w:val="0"/>
          <w:i w:val="0"/>
          <w:color w:val="000000"/>
        </w:rPr>
        <w:t>External packets must be narrow, audience-specific, and non-confidential unless NDA/counsel review applies.</w:t>
      </w:r>
    </w:p>
    <w:p>
      <w:pPr>
        <w:pStyle w:val="ListNumber"/>
        <w:spacing w:after="100" w:line="259" w:lineRule="auto"/>
      </w:pPr>
      <w:r>
        <w:rPr>
          <w:b w:val="0"/>
          <w:i w:val="0"/>
          <w:color w:val="000000"/>
        </w:rPr>
        <w:t>The master book should not be treated as a first-contact document.</w:t>
      </w:r>
    </w:p>
    <w:p>
      <w:pPr>
        <w:pStyle w:val="ListNumber"/>
        <w:spacing w:after="100" w:line="259" w:lineRule="auto"/>
      </w:pPr>
      <w:r>
        <w:rPr>
          <w:b w:val="0"/>
          <w:i w:val="0"/>
          <w:color w:val="000000"/>
        </w:rPr>
        <w:t>Version 1.0 should be source-complete, not merely larger.</w:t>
      </w:r>
    </w:p>
    <w:p>
      <w:pPr>
        <w:pStyle w:val="Heading1"/>
        <w:keepNext/>
        <w:spacing w:before="160" w:after="80"/>
      </w:pPr>
      <w:r>
        <w:rPr>
          <w:color w:val="000000"/>
        </w:rPr>
        <w:t>Closing Statement</w:t>
      </w:r>
    </w:p>
    <w:p>
      <w:pPr>
        <w:spacing w:after="100" w:line="259" w:lineRule="auto"/>
      </w:pPr>
      <w:r>
        <w:rPr>
          <w:b w:val="0"/>
          <w:i w:val="0"/>
          <w:color w:val="000000"/>
        </w:rPr>
        <w:t>The Full Bloom Edition establishes the master structure: one book, many lanes, strict source posture, and a path to source-complete release. The next strongest move is recovery and import of controlling source files. The portfolio already has breadth. Version 1.0 should prove depth.</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Worldshepherd Master Book - Full Bloom v0.2 - Page </w:t>
    </w:r>
    <w:r>
      <w:rPr>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sz w:val="1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Worldshepherd Master Book - Full Bloom Edition v0.2</dc:title>
  <dc:subject>Worldshepherd master manuscript consolidation</dc:subject>
  <dc:creator>Brandon Ray Davis</dc:creator>
  <cp:keywords>Worldshepherd, BAROS, DIAS-C, WS-AlTi, BSARADGS, BRD953, CRE1AWS</cp:keywords>
  <dc:description>generated by python-docx</dc:description>
  <cp:lastModifiedBy/>
  <cp:revision>1</cp:revision>
  <dcterms:created xsi:type="dcterms:W3CDTF">2013-12-23T23:15:00Z</dcterms:created>
  <dcterms:modified xsi:type="dcterms:W3CDTF">2013-12-23T23:15:00Z</dcterms:modified>
  <cp:category/>
</cp:coreProperties>
</file>