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salti-m1mszprime"/>
    <w:p>
      <w:pPr>
        <w:pStyle w:val="Heading1"/>
      </w:pPr>
      <w:r>
        <w:t xml:space="preserve">WS–AlTi M1‑MSZ‑Prime</w:t>
      </w:r>
    </w:p>
    <w:bookmarkEnd w:id="20"/>
    <w:bookmarkStart w:id="22" w:name="Xc07ea41d6bed2abf5f3c60abb8cd1f74581c5cd"/>
    <w:p>
      <w:pPr>
        <w:pStyle w:val="Heading1"/>
      </w:pPr>
      <w:r>
        <w:t xml:space="preserve">White Paper and Preliminary Valuation Brief</w:t>
      </w:r>
    </w:p>
    <w:bookmarkStart w:id="21" w:name="X9dbc6bb401a481f96cfac55b14a43bfcc333adf"/>
    <w:p>
      <w:pPr>
        <w:pStyle w:val="Heading2"/>
      </w:pPr>
      <w:r>
        <w:t xml:space="preserve">Programmable Aluminum–Titanium Meta-Alloy Platform for Functionally Graded Additive Manufacturing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Technical-commercial white paper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Pre-validation / patent-disclosure stage</w:t>
      </w:r>
      <w:r>
        <w:br/>
      </w:r>
      <w:r>
        <w:rPr>
          <w:b/>
          <w:bCs/>
        </w:rPr>
        <w:t xml:space="preserve">Technology Class:</w:t>
      </w:r>
      <w:r>
        <w:t xml:space="preserve"> </w:t>
      </w:r>
      <w:r>
        <w:t xml:space="preserve">Advanced aluminum alloy, metal-matrix composite, functionally graded additive manufacturing, mechanical meta-material architecture</w:t>
      </w:r>
      <w:r>
        <w:br/>
      </w:r>
      <w:r>
        <w:rPr>
          <w:b/>
          <w:bCs/>
        </w:rPr>
        <w:t xml:space="preserve">Primary Composition:</w:t>
      </w:r>
      <w:r>
        <w:t xml:space="preserve"> </w:t>
      </w:r>
      <w:r>
        <w:t xml:space="preserve">Al–5.25Ti–2.25Mg–0.18Sc–0.45Zr, nominal wt%</w:t>
      </w:r>
      <w:r>
        <w:br/>
      </w:r>
      <w:r>
        <w:rPr>
          <w:b/>
          <w:bCs/>
        </w:rPr>
        <w:t xml:space="preserve">Platform Name:</w:t>
      </w:r>
      <w:r>
        <w:t xml:space="preserve"> </w:t>
      </w:r>
      <w:r>
        <w:t xml:space="preserve">WS–AlTi M1‑MSZ‑Prime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ge-1-executive-summary"/>
    <w:p>
      <w:pPr>
        <w:pStyle w:val="Heading1"/>
      </w:pPr>
      <w:r>
        <w:t xml:space="preserve">Page 1 — Executive Summary</w:t>
      </w:r>
    </w:p>
    <w:p>
      <w:pPr>
        <w:pStyle w:val="FirstParagraph"/>
      </w:pPr>
      <w:r>
        <w:t xml:space="preserve">WS–AlTi M1‑MSZ‑Prime is a proposed programmable aluminum–titanium meta-alloy platform designed for high-performance additive manufacturing. The platform combines an aluminum-rich matrix, controlled titanium-aluminide reinforcement, magnesium matrix strengthening, scandium–zirconium stabilization, and spatially programmable composition fields.</w:t>
      </w:r>
    </w:p>
    <w:p>
      <w:pPr>
        <w:pStyle w:val="BodyText"/>
      </w:pPr>
      <w:r>
        <w:t xml:space="preserve">The preferred flagship nominal composition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platform is not merely a static alloy recipe. Its commercial value comes from the ability to program local material states inside a monolithic additively manufactured article. A single part may include:</w:t>
      </w:r>
    </w:p>
    <w:p>
      <w:pPr>
        <w:pStyle w:val="Compact"/>
        <w:numPr>
          <w:ilvl w:val="0"/>
          <w:numId w:val="1001"/>
        </w:numPr>
      </w:pPr>
      <w:r>
        <w:t xml:space="preserve">low-Ti tough skins for crack arrest;</w:t>
      </w:r>
    </w:p>
    <w:p>
      <w:pPr>
        <w:pStyle w:val="Compact"/>
        <w:numPr>
          <w:ilvl w:val="0"/>
          <w:numId w:val="1001"/>
        </w:numPr>
      </w:pPr>
      <w:r>
        <w:t xml:space="preserve">Prime-composition structural cores;</w:t>
      </w:r>
    </w:p>
    <w:p>
      <w:pPr>
        <w:pStyle w:val="Compact"/>
        <w:numPr>
          <w:ilvl w:val="0"/>
          <w:numId w:val="1001"/>
        </w:numPr>
      </w:pPr>
      <w:r>
        <w:t xml:space="preserve">higher-Ti reinforced load nodes;</w:t>
      </w:r>
    </w:p>
    <w:p>
      <w:pPr>
        <w:pStyle w:val="Compact"/>
        <w:numPr>
          <w:ilvl w:val="0"/>
          <w:numId w:val="1001"/>
        </w:numPr>
      </w:pPr>
      <w:r>
        <w:t xml:space="preserve">lower-Ti thermal-routing corridors;</w:t>
      </w:r>
    </w:p>
    <w:p>
      <w:pPr>
        <w:pStyle w:val="Compact"/>
        <w:numPr>
          <w:ilvl w:val="0"/>
          <w:numId w:val="1001"/>
        </w:numPr>
      </w:pPr>
      <w:r>
        <w:t xml:space="preserve">graded mechanical-impedance transitions;</w:t>
      </w:r>
    </w:p>
    <w:p>
      <w:pPr>
        <w:pStyle w:val="Compact"/>
        <w:numPr>
          <w:ilvl w:val="0"/>
          <w:numId w:val="1001"/>
        </w:numPr>
      </w:pPr>
      <w:r>
        <w:t xml:space="preserve">vibration-managed lattice regions;</w:t>
      </w:r>
    </w:p>
    <w:p>
      <w:pPr>
        <w:pStyle w:val="Compact"/>
        <w:numPr>
          <w:ilvl w:val="0"/>
          <w:numId w:val="1001"/>
        </w:numPr>
      </w:pPr>
      <w:r>
        <w:t xml:space="preserve">and sensor-ready or multifunctional structural substrates.</w:t>
      </w:r>
    </w:p>
    <w:p>
      <w:pPr>
        <w:pStyle w:val="FirstParagraph"/>
      </w:pPr>
      <w:r>
        <w:t xml:space="preserve">The platform is designed to compete not only as a high-strength aluminum alloy, but as a programmable material system positioned between advanced AM alloys, functionally graded materials, and structural metamaterials.</w:t>
      </w:r>
    </w:p>
    <w:p>
      <w:pPr>
        <w:pStyle w:val="BodyText"/>
      </w:pPr>
      <w:r>
        <w:t xml:space="preserve">The near-term valuation depends heavily on filing quality, prior-art position, validation data, and partner interest. At the current pre-validation stage, the technology should be treated as an early-stage intellectual-property asset. If coupon data, patent filings, and partner validation mature successfully, the upside could move into the multi-million to tens-of-millions range as a licensing platform or venture-backed materials company.</w:t>
      </w:r>
    </w:p>
    <w:p>
      <w:r>
        <w:pict>
          <v:rect style="width:0;height:1.5pt" o:hralign="center" o:hrstd="t" o:hr="t"/>
        </w:pict>
      </w:r>
    </w:p>
    <w:bookmarkEnd w:id="23"/>
    <w:bookmarkStart w:id="24" w:name="page-2-core-technology-thesis"/>
    <w:p>
      <w:pPr>
        <w:pStyle w:val="Heading1"/>
      </w:pPr>
      <w:r>
        <w:t xml:space="preserve">Page 2 — Core Technology Thesis</w:t>
      </w:r>
    </w:p>
    <w:p>
      <w:pPr>
        <w:pStyle w:val="FirstParagraph"/>
      </w:pPr>
      <w:r>
        <w:t xml:space="preserve">The central thesis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Traditional aluminum alloys usually impose one composition across an entire component. That is inefficient where different regions of the same part require different behavior.</w:t>
      </w:r>
    </w:p>
    <w:p>
      <w:pPr>
        <w:pStyle w:val="BodyText"/>
      </w:pPr>
      <w:r>
        <w:t xml:space="preserve">A fastener node may need stiffness and bearing strength.</w:t>
      </w:r>
      <w:r>
        <w:br/>
      </w:r>
      <w:r>
        <w:t xml:space="preserve">A surface skin may need ductility and crack arrest.</w:t>
      </w:r>
      <w:r>
        <w:br/>
      </w:r>
      <w:r>
        <w:t xml:space="preserve">A hot zone may need thermal routing.</w:t>
      </w:r>
      <w:r>
        <w:br/>
      </w:r>
      <w:r>
        <w:t xml:space="preserve">A sensor mount may need vibration isolation.</w:t>
      </w:r>
      <w:r>
        <w:br/>
      </w:r>
      <w:r>
        <w:t xml:space="preserve">A lattice transition may need energy absorption.</w:t>
      </w:r>
    </w:p>
    <w:p>
      <w:pPr>
        <w:pStyle w:val="BodyText"/>
      </w:pPr>
      <w:r>
        <w:t xml:space="preserve">WS–AlTi M1‑MSZ‑Prime addresses this by combining alloy chemistry with additive manufacturing control. Titanium is used as a local reinforcement-forming element. Magnesium strengthens the aluminum matrix. Scandium and zirconium provide matrix stabilization and precipitation-strengthening potential. Directed energy deposition enables local feedstock control.</w:t>
      </w:r>
    </w:p>
    <w:p>
      <w:pPr>
        <w:pStyle w:val="BodyText"/>
      </w:pPr>
      <w:r>
        <w:t xml:space="preserve">The result is a programmable meta-alloy platform that may support:</w:t>
      </w:r>
    </w:p>
    <w:p>
      <w:pPr>
        <w:pStyle w:val="Compact"/>
        <w:numPr>
          <w:ilvl w:val="0"/>
          <w:numId w:val="1002"/>
        </w:numPr>
      </w:pPr>
      <w:r>
        <w:t xml:space="preserve">strength where load enters;</w:t>
      </w:r>
    </w:p>
    <w:p>
      <w:pPr>
        <w:pStyle w:val="Compact"/>
        <w:numPr>
          <w:ilvl w:val="0"/>
          <w:numId w:val="1002"/>
        </w:numPr>
      </w:pPr>
      <w:r>
        <w:t xml:space="preserve">ductility where cracks begin;</w:t>
      </w:r>
    </w:p>
    <w:p>
      <w:pPr>
        <w:pStyle w:val="Compact"/>
        <w:numPr>
          <w:ilvl w:val="0"/>
          <w:numId w:val="1002"/>
        </w:numPr>
      </w:pPr>
      <w:r>
        <w:t xml:space="preserve">thermal transport where heat must exit;</w:t>
      </w:r>
    </w:p>
    <w:p>
      <w:pPr>
        <w:pStyle w:val="Compact"/>
        <w:numPr>
          <w:ilvl w:val="0"/>
          <w:numId w:val="1002"/>
        </w:numPr>
      </w:pPr>
      <w:r>
        <w:t xml:space="preserve">impedance mismatch where vibration should be attenuated;</w:t>
      </w:r>
    </w:p>
    <w:p>
      <w:pPr>
        <w:pStyle w:val="Compact"/>
        <w:numPr>
          <w:ilvl w:val="0"/>
          <w:numId w:val="1002"/>
        </w:numPr>
      </w:pPr>
      <w:r>
        <w:t xml:space="preserve">and graded transitions where stress concentration must be reduced.</w:t>
      </w:r>
    </w:p>
    <w:p>
      <w:r>
        <w:pict>
          <v:rect style="width:0;height:1.5pt" o:hralign="center" o:hrstd="t" o:hr="t"/>
        </w:pict>
      </w:r>
    </w:p>
    <w:bookmarkEnd w:id="24"/>
    <w:bookmarkStart w:id="30" w:name="page-3-technology-architecture"/>
    <w:p>
      <w:pPr>
        <w:pStyle w:val="Heading1"/>
      </w:pPr>
      <w:r>
        <w:t xml:space="preserve">Page 3 — Technology Architecture</w:t>
      </w:r>
    </w:p>
    <w:p>
      <w:pPr>
        <w:pStyle w:val="FirstParagraph"/>
      </w:pPr>
      <w:r>
        <w:t xml:space="preserve">The platform contains five integrated pillars.</w:t>
      </w:r>
    </w:p>
    <w:bookmarkStart w:id="25" w:name="pillar-1-prime-composition-family"/>
    <w:p>
      <w:pPr>
        <w:pStyle w:val="Heading2"/>
      </w:pPr>
      <w:r>
        <w:t xml:space="preserve">Pillar 1 — Prime Composition Family</w:t>
      </w:r>
    </w:p>
    <w:p>
      <w:pPr>
        <w:pStyle w:val="FirstParagraph"/>
      </w:pPr>
      <w:r>
        <w:t xml:space="preserve">The preferred composition is centered 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- 5.25</w:t>
      </w:r>
      <w:r>
        <w:t xml:space="preserve"> </w:t>
      </w:r>
      <w:r>
        <w:t xml:space="preserve">- 2.25</w:t>
      </w:r>
      <w:r>
        <w:t xml:space="preserve"> </w:t>
      </w:r>
      <w:r>
        <w:t xml:space="preserve">- 0.18</w:t>
      </w:r>
      <w:r>
        <w:t xml:space="preserve"> </w:t>
      </w:r>
      <w:r>
        <w:t xml:space="preserve">- 0.45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Broader disclosed composition windows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Broad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Preferred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3.0–8.0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4.5–6.5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 wt%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1.0–3.5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1.8–2.8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 wt%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0.05–0.35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0.12–0.25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 wt%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0.10–0.80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0.30–0.60 wt%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 wt%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</w:tr>
    </w:tbl>
    <w:bookmarkEnd w:id="25"/>
    <w:bookmarkStart w:id="26" w:name="Xb20c38fda94885c1e23e1a7826cc11e5ab0e076"/>
    <w:p>
      <w:pPr>
        <w:pStyle w:val="Heading2"/>
      </w:pPr>
      <w:r>
        <w:t xml:space="preserve">Pillar 2 — Titanium-Aluminide Reinforcement</w:t>
      </w:r>
    </w:p>
    <w:p>
      <w:pPr>
        <w:pStyle w:val="FirstParagraph"/>
      </w:pPr>
      <w:r>
        <w:t xml:space="preserve">Titanium is used to generate controlled titanium-aluminide reinforcement phases, including Al₃Ti / TiAl₃-related phases.</w:t>
      </w:r>
    </w:p>
    <w:p>
      <w:pPr>
        <w:pStyle w:val="BodyText"/>
      </w:pPr>
      <w:r>
        <w:t xml:space="preserve">Desired morphology:</w:t>
      </w:r>
    </w:p>
    <w:p>
      <w:pPr>
        <w:pStyle w:val="Compact"/>
        <w:numPr>
          <w:ilvl w:val="0"/>
          <w:numId w:val="1003"/>
        </w:numPr>
      </w:pPr>
      <w:r>
        <w:t xml:space="preserve">discontinuous;</w:t>
      </w:r>
    </w:p>
    <w:p>
      <w:pPr>
        <w:pStyle w:val="Compact"/>
        <w:numPr>
          <w:ilvl w:val="0"/>
          <w:numId w:val="1003"/>
        </w:numPr>
      </w:pPr>
      <w:r>
        <w:t xml:space="preserve">dispersed;</w:t>
      </w:r>
    </w:p>
    <w:p>
      <w:pPr>
        <w:pStyle w:val="Compact"/>
        <w:numPr>
          <w:ilvl w:val="0"/>
          <w:numId w:val="1003"/>
        </w:numPr>
      </w:pPr>
      <w:r>
        <w:t xml:space="preserve">non-networked;</w:t>
      </w:r>
    </w:p>
    <w:p>
      <w:pPr>
        <w:pStyle w:val="Compact"/>
        <w:numPr>
          <w:ilvl w:val="0"/>
          <w:numId w:val="1003"/>
        </w:numPr>
      </w:pPr>
      <w:r>
        <w:t xml:space="preserve">load-bearing;</w:t>
      </w:r>
    </w:p>
    <w:p>
      <w:pPr>
        <w:pStyle w:val="Compact"/>
        <w:numPr>
          <w:ilvl w:val="0"/>
          <w:numId w:val="1003"/>
        </w:numPr>
      </w:pPr>
      <w:r>
        <w:t xml:space="preserve">crack-deflecting;</w:t>
      </w:r>
    </w:p>
    <w:p>
      <w:pPr>
        <w:pStyle w:val="Compact"/>
        <w:numPr>
          <w:ilvl w:val="0"/>
          <w:numId w:val="1003"/>
        </w:numPr>
      </w:pPr>
      <w:r>
        <w:t xml:space="preserve">and locally programmable.</w:t>
      </w:r>
    </w:p>
    <w:p>
      <w:pPr>
        <w:pStyle w:val="FirstParagraph"/>
      </w:pPr>
      <w:r>
        <w:t xml:space="preserve">Undesired morphology:</w:t>
      </w:r>
    </w:p>
    <w:p>
      <w:pPr>
        <w:pStyle w:val="Compact"/>
        <w:numPr>
          <w:ilvl w:val="0"/>
          <w:numId w:val="1004"/>
        </w:numPr>
      </w:pPr>
      <w:r>
        <w:t xml:space="preserve">coarse intermetallic patches;</w:t>
      </w:r>
    </w:p>
    <w:p>
      <w:pPr>
        <w:pStyle w:val="Compact"/>
        <w:numPr>
          <w:ilvl w:val="0"/>
          <w:numId w:val="1004"/>
        </w:numPr>
      </w:pPr>
      <w:r>
        <w:t xml:space="preserve">retained Ti-rich cores;</w:t>
      </w:r>
    </w:p>
    <w:p>
      <w:pPr>
        <w:pStyle w:val="Compact"/>
        <w:numPr>
          <w:ilvl w:val="0"/>
          <w:numId w:val="1004"/>
        </w:numPr>
      </w:pPr>
      <w:r>
        <w:t xml:space="preserve">continuous brittle networks;</w:t>
      </w:r>
    </w:p>
    <w:p>
      <w:pPr>
        <w:pStyle w:val="Compact"/>
        <w:numPr>
          <w:ilvl w:val="0"/>
          <w:numId w:val="1004"/>
        </w:numPr>
      </w:pPr>
      <w:r>
        <w:t xml:space="preserve">clustered crack paths;</w:t>
      </w:r>
    </w:p>
    <w:p>
      <w:pPr>
        <w:pStyle w:val="Compact"/>
        <w:numPr>
          <w:ilvl w:val="0"/>
          <w:numId w:val="1004"/>
        </w:numPr>
      </w:pPr>
      <w:r>
        <w:t xml:space="preserve">or uncontrolled reinforcement segregation.</w:t>
      </w:r>
    </w:p>
    <w:bookmarkEnd w:id="26"/>
    <w:bookmarkStart w:id="27" w:name="pillar-3-mgsczr-matrix-strengthening"/>
    <w:p>
      <w:pPr>
        <w:pStyle w:val="Heading2"/>
      </w:pPr>
      <w:r>
        <w:t xml:space="preserve">Pillar 3 — Mg/Sc/Zr Matrix Strengthening</w:t>
      </w:r>
    </w:p>
    <w:p>
      <w:pPr>
        <w:pStyle w:val="FirstParagraph"/>
      </w:pPr>
      <w:r>
        <w:t xml:space="preserve">Magnesium strengthens the aluminum-rich matrix. Scandium and zirconium are included to support precipitate strengthening, grain stabilization, and thermal stability.</w:t>
      </w:r>
    </w:p>
    <w:bookmarkEnd w:id="27"/>
    <w:bookmarkStart w:id="28" w:name="pillar-4-monolithic-spatial-zoning"/>
    <w:p>
      <w:pPr>
        <w:pStyle w:val="Heading2"/>
      </w:pPr>
      <w:r>
        <w:t xml:space="preserve">Pillar 4 — Monolithic Spatial Zoning</w:t>
      </w:r>
    </w:p>
    <w:p>
      <w:pPr>
        <w:pStyle w:val="FirstParagraph"/>
      </w:pPr>
      <w:r>
        <w:t xml:space="preserve">The article can be printed as a single continuous metallic body with local composition variation.</w:t>
      </w:r>
    </w:p>
    <w:bookmarkEnd w:id="28"/>
    <w:bookmarkStart w:id="29" w:name="Xa251156c71350a1c3c3b6805b325eae4c95685d"/>
    <w:p>
      <w:pPr>
        <w:pStyle w:val="Heading2"/>
      </w:pPr>
      <w:r>
        <w:t xml:space="preserve">Pillar 5 — Property-Map-to-Feed-Map Control</w:t>
      </w:r>
    </w:p>
    <w:p>
      <w:pPr>
        <w:pStyle w:val="FirstParagraph"/>
      </w:pPr>
      <w:r>
        <w:t xml:space="preserve">A controller or materials compiler converts target local properties into composition, feedstock-ratio, process-parameter, and microstructure maps.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ee89dd52c123e04c70e02a4c37bdaae0f53b0a"/>
    <w:p>
      <w:pPr>
        <w:pStyle w:val="Heading1"/>
      </w:pPr>
      <w:r>
        <w:t xml:space="preserve">Page 4 — Why This Is Not Just Another Aluminum Alloy</w:t>
      </w:r>
    </w:p>
    <w:p>
      <w:pPr>
        <w:pStyle w:val="FirstParagraph"/>
      </w:pPr>
      <w:r>
        <w:t xml:space="preserve">The commercial thesis depends on positioning the platform correctly.</w:t>
      </w:r>
    </w:p>
    <w:p>
      <w:pPr>
        <w:pStyle w:val="BodyText"/>
      </w:pPr>
      <w:r>
        <w:t xml:space="preserve">This should not be marketed as merely:</w:t>
      </w:r>
    </w:p>
    <w:p>
      <w:pPr>
        <w:pStyle w:val="BlockText"/>
      </w:pPr>
      <w:r>
        <w:t xml:space="preserve">“A new aluminum alloy.”</w:t>
      </w:r>
    </w:p>
    <w:p>
      <w:pPr>
        <w:pStyle w:val="FirstParagraph"/>
      </w:pPr>
      <w:r>
        <w:t xml:space="preserve">That framing is too narrow.</w:t>
      </w:r>
    </w:p>
    <w:p>
      <w:pPr>
        <w:pStyle w:val="BodyText"/>
      </w:pPr>
      <w:r>
        <w:t xml:space="preserve">The stronger framing is:</w:t>
      </w:r>
    </w:p>
    <w:p>
      <w:pPr>
        <w:pStyle w:val="BlockText"/>
      </w:pPr>
      <w:r>
        <w:t xml:space="preserve">“A programmable deposited aluminum meta-alloy platform for local material-state control inside monolithic additively manufactured structures.”</w:t>
      </w:r>
    </w:p>
    <w:p>
      <w:pPr>
        <w:pStyle w:val="FirstParagraph"/>
      </w:pPr>
      <w:r>
        <w:t xml:space="preserve">That distinction matters because the strongest potential differentiation is not only the composition. It is the combined system:</w:t>
      </w:r>
    </w:p>
    <w:p>
      <w:pPr>
        <w:pStyle w:val="Compact"/>
        <w:numPr>
          <w:ilvl w:val="0"/>
          <w:numId w:val="1005"/>
        </w:numPr>
      </w:pPr>
      <w:r>
        <w:t xml:space="preserve">defined Al–Ti–Mg–Sc–Zr chemistry;</w:t>
      </w:r>
    </w:p>
    <w:p>
      <w:pPr>
        <w:pStyle w:val="Compact"/>
        <w:numPr>
          <w:ilvl w:val="0"/>
          <w:numId w:val="1005"/>
        </w:numPr>
      </w:pPr>
      <w:r>
        <w:t xml:space="preserve">controlled Ti-aluminide reinforcement morphology;</w:t>
      </w:r>
    </w:p>
    <w:p>
      <w:pPr>
        <w:pStyle w:val="Compact"/>
        <w:numPr>
          <w:ilvl w:val="0"/>
          <w:numId w:val="1005"/>
        </w:numPr>
      </w:pPr>
      <w:r>
        <w:t xml:space="preserve">Mg-strengthened and Sc/Zr-stabilized matrix;</w:t>
      </w:r>
    </w:p>
    <w:p>
      <w:pPr>
        <w:pStyle w:val="Compact"/>
        <w:numPr>
          <w:ilvl w:val="0"/>
          <w:numId w:val="1005"/>
        </w:numPr>
      </w:pPr>
      <w:r>
        <w:t xml:space="preserve">dual-feed directed energy deposition;</w:t>
      </w:r>
    </w:p>
    <w:p>
      <w:pPr>
        <w:pStyle w:val="Compact"/>
        <w:numPr>
          <w:ilvl w:val="0"/>
          <w:numId w:val="1005"/>
        </w:numPr>
      </w:pPr>
      <w:r>
        <w:t xml:space="preserve">locally varied titanium content;</w:t>
      </w:r>
    </w:p>
    <w:p>
      <w:pPr>
        <w:pStyle w:val="Compact"/>
        <w:numPr>
          <w:ilvl w:val="0"/>
          <w:numId w:val="1005"/>
        </w:numPr>
      </w:pPr>
      <w:r>
        <w:t xml:space="preserve">monolithic hard-node / tough-skin / thermal-corridor architectures;</w:t>
      </w:r>
    </w:p>
    <w:p>
      <w:pPr>
        <w:pStyle w:val="Compact"/>
        <w:numPr>
          <w:ilvl w:val="0"/>
          <w:numId w:val="1005"/>
        </w:numPr>
      </w:pPr>
      <w:r>
        <w:t xml:space="preserve">mechanical impedance programming;</w:t>
      </w:r>
    </w:p>
    <w:p>
      <w:pPr>
        <w:pStyle w:val="Compact"/>
        <w:numPr>
          <w:ilvl w:val="0"/>
          <w:numId w:val="1005"/>
        </w:numPr>
      </w:pPr>
      <w:r>
        <w:t xml:space="preserve">and property-map-driven manufacturing control.</w:t>
      </w:r>
    </w:p>
    <w:p>
      <w:pPr>
        <w:pStyle w:val="FirstParagraph"/>
      </w:pPr>
      <w:r>
        <w:t xml:space="preserve">A static alloy competes against other static alloys.</w:t>
      </w:r>
      <w:r>
        <w:br/>
      </w:r>
      <w:r>
        <w:t xml:space="preserve">A programmable meta-alloy competes against the limitations of static alloy design.</w:t>
      </w:r>
    </w:p>
    <w:p>
      <w:pPr>
        <w:pStyle w:val="BodyText"/>
      </w:pPr>
      <w:r>
        <w:t xml:space="preserve">That is the commercial wedge.</w:t>
      </w:r>
    </w:p>
    <w:p>
      <w:r>
        <w:pict>
          <v:rect style="width:0;height:1.5pt" o:hralign="center" o:hrstd="t" o:hr="t"/>
        </w:pict>
      </w:r>
    </w:p>
    <w:bookmarkEnd w:id="31"/>
    <w:bookmarkStart w:id="35" w:name="page-5-mechanical-meta-capabilities"/>
    <w:p>
      <w:pPr>
        <w:pStyle w:val="Heading1"/>
      </w:pPr>
      <w:r>
        <w:t xml:space="preserve">Page 5 — Mechanical Meta-Capabilities</w:t>
      </w:r>
    </w:p>
    <w:p>
      <w:pPr>
        <w:pStyle w:val="FirstParagraph"/>
      </w:pPr>
      <w:r>
        <w:t xml:space="preserve">The platform is designed to support mechanical analogs of programmable coupling behavior.</w:t>
      </w:r>
    </w:p>
    <w:bookmarkStart w:id="32" w:name="positive-mechanical-coupling"/>
    <w:p>
      <w:pPr>
        <w:pStyle w:val="Heading2"/>
      </w:pPr>
      <w:r>
        <w:t xml:space="preserve">Positive Mechanical Coupling</w:t>
      </w:r>
    </w:p>
    <w:p>
      <w:pPr>
        <w:pStyle w:val="FirstParagraph"/>
      </w:pPr>
      <w:r>
        <w:t xml:space="preserve">Positive mechanical coupling regions are designed to transmit load efficiently.</w:t>
      </w:r>
    </w:p>
    <w:p>
      <w:pPr>
        <w:pStyle w:val="BodyText"/>
      </w:pPr>
      <w:r>
        <w:t xml:space="preserve">Example features:</w:t>
      </w:r>
    </w:p>
    <w:p>
      <w:pPr>
        <w:pStyle w:val="Compact"/>
        <w:numPr>
          <w:ilvl w:val="0"/>
          <w:numId w:val="1006"/>
        </w:numPr>
      </w:pPr>
      <w:r>
        <w:t xml:space="preserve">higher Ti content;</w:t>
      </w:r>
    </w:p>
    <w:p>
      <w:pPr>
        <w:pStyle w:val="Compact"/>
        <w:numPr>
          <w:ilvl w:val="0"/>
          <w:numId w:val="1006"/>
        </w:numPr>
      </w:pPr>
      <w:r>
        <w:t xml:space="preserve">increased Ti-aluminide reinforcement;</w:t>
      </w:r>
    </w:p>
    <w:p>
      <w:pPr>
        <w:pStyle w:val="Compact"/>
        <w:numPr>
          <w:ilvl w:val="0"/>
          <w:numId w:val="1006"/>
        </w:numPr>
      </w:pPr>
      <w:r>
        <w:t xml:space="preserve">denser lattice regions;</w:t>
      </w:r>
    </w:p>
    <w:p>
      <w:pPr>
        <w:pStyle w:val="Compact"/>
        <w:numPr>
          <w:ilvl w:val="0"/>
          <w:numId w:val="1006"/>
        </w:numPr>
      </w:pPr>
      <w:r>
        <w:t xml:space="preserve">aligned load-bearing ribs;</w:t>
      </w:r>
    </w:p>
    <w:p>
      <w:pPr>
        <w:pStyle w:val="Compact"/>
        <w:numPr>
          <w:ilvl w:val="0"/>
          <w:numId w:val="1006"/>
        </w:numPr>
      </w:pPr>
      <w:r>
        <w:t xml:space="preserve">reinforced fastener halos;</w:t>
      </w:r>
    </w:p>
    <w:p>
      <w:pPr>
        <w:pStyle w:val="Compact"/>
        <w:numPr>
          <w:ilvl w:val="0"/>
          <w:numId w:val="1006"/>
        </w:numPr>
      </w:pPr>
      <w:r>
        <w:t xml:space="preserve">stiff load corridors.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07"/>
        </w:numPr>
      </w:pPr>
      <w:r>
        <w:t xml:space="preserve">bolt lands;</w:t>
      </w:r>
    </w:p>
    <w:p>
      <w:pPr>
        <w:pStyle w:val="Compact"/>
        <w:numPr>
          <w:ilvl w:val="0"/>
          <w:numId w:val="1007"/>
        </w:numPr>
      </w:pPr>
      <w:r>
        <w:t xml:space="preserve">mounting lugs;</w:t>
      </w:r>
    </w:p>
    <w:p>
      <w:pPr>
        <w:pStyle w:val="Compact"/>
        <w:numPr>
          <w:ilvl w:val="0"/>
          <w:numId w:val="1007"/>
        </w:numPr>
      </w:pPr>
      <w:r>
        <w:t xml:space="preserve">rib intersections;</w:t>
      </w:r>
    </w:p>
    <w:p>
      <w:pPr>
        <w:pStyle w:val="Compact"/>
        <w:numPr>
          <w:ilvl w:val="0"/>
          <w:numId w:val="1007"/>
        </w:numPr>
      </w:pPr>
      <w:r>
        <w:t xml:space="preserve">robotic joint roots;</w:t>
      </w:r>
    </w:p>
    <w:p>
      <w:pPr>
        <w:pStyle w:val="Compact"/>
        <w:numPr>
          <w:ilvl w:val="0"/>
          <w:numId w:val="1007"/>
        </w:numPr>
      </w:pPr>
      <w:r>
        <w:t xml:space="preserve">aerospace structural nodes.</w:t>
      </w:r>
    </w:p>
    <w:bookmarkEnd w:id="32"/>
    <w:bookmarkStart w:id="33" w:name="negative-mechanical-coupling"/>
    <w:p>
      <w:pPr>
        <w:pStyle w:val="Heading2"/>
      </w:pPr>
      <w:r>
        <w:t xml:space="preserve">Negative Mechanical Coupling</w:t>
      </w:r>
    </w:p>
    <w:p>
      <w:pPr>
        <w:pStyle w:val="FirstParagraph"/>
      </w:pPr>
      <w:r>
        <w:t xml:space="preserve">Negative mechanical coupling regions are designed to interrupt, attenuate, or redirect mechanical energy.</w:t>
      </w:r>
    </w:p>
    <w:p>
      <w:pPr>
        <w:pStyle w:val="BodyText"/>
      </w:pPr>
      <w:r>
        <w:t xml:space="preserve">Example features:</w:t>
      </w:r>
    </w:p>
    <w:p>
      <w:pPr>
        <w:pStyle w:val="Compact"/>
        <w:numPr>
          <w:ilvl w:val="0"/>
          <w:numId w:val="1008"/>
        </w:numPr>
      </w:pPr>
      <w:r>
        <w:t xml:space="preserve">lower Ti content;</w:t>
      </w:r>
    </w:p>
    <w:p>
      <w:pPr>
        <w:pStyle w:val="Compact"/>
        <w:numPr>
          <w:ilvl w:val="0"/>
          <w:numId w:val="1008"/>
        </w:numPr>
      </w:pPr>
      <w:r>
        <w:t xml:space="preserve">more ductile matrix-rich zones;</w:t>
      </w:r>
    </w:p>
    <w:p>
      <w:pPr>
        <w:pStyle w:val="Compact"/>
        <w:numPr>
          <w:ilvl w:val="0"/>
          <w:numId w:val="1008"/>
        </w:numPr>
      </w:pPr>
      <w:r>
        <w:t xml:space="preserve">softened transition layers;</w:t>
      </w:r>
    </w:p>
    <w:p>
      <w:pPr>
        <w:pStyle w:val="Compact"/>
        <w:numPr>
          <w:ilvl w:val="0"/>
          <w:numId w:val="1008"/>
        </w:numPr>
      </w:pPr>
      <w:r>
        <w:t xml:space="preserve">impedance mismatch bands;</w:t>
      </w:r>
    </w:p>
    <w:p>
      <w:pPr>
        <w:pStyle w:val="Compact"/>
        <w:numPr>
          <w:ilvl w:val="0"/>
          <w:numId w:val="1008"/>
        </w:numPr>
      </w:pPr>
      <w:r>
        <w:t xml:space="preserve">lower-density lattice regions;</w:t>
      </w:r>
    </w:p>
    <w:p>
      <w:pPr>
        <w:pStyle w:val="Compact"/>
        <w:numPr>
          <w:ilvl w:val="0"/>
          <w:numId w:val="1008"/>
        </w:numPr>
      </w:pPr>
      <w:r>
        <w:t xml:space="preserve">crack-arrest skins.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09"/>
        </w:numPr>
      </w:pPr>
      <w:r>
        <w:t xml:space="preserve">impact skins;</w:t>
      </w:r>
    </w:p>
    <w:p>
      <w:pPr>
        <w:pStyle w:val="Compact"/>
        <w:numPr>
          <w:ilvl w:val="0"/>
          <w:numId w:val="1009"/>
        </w:numPr>
      </w:pPr>
      <w:r>
        <w:t xml:space="preserve">vibration isolation zones;</w:t>
      </w:r>
    </w:p>
    <w:p>
      <w:pPr>
        <w:pStyle w:val="Compact"/>
        <w:numPr>
          <w:ilvl w:val="0"/>
          <w:numId w:val="1009"/>
        </w:numPr>
      </w:pPr>
      <w:r>
        <w:t xml:space="preserve">crack-arrest boundaries;</w:t>
      </w:r>
    </w:p>
    <w:p>
      <w:pPr>
        <w:pStyle w:val="Compact"/>
        <w:numPr>
          <w:ilvl w:val="0"/>
          <w:numId w:val="1009"/>
        </w:numPr>
      </w:pPr>
      <w:r>
        <w:t xml:space="preserve">sensitive instrument mounts.</w:t>
      </w:r>
    </w:p>
    <w:bookmarkEnd w:id="33"/>
    <w:bookmarkStart w:id="34" w:name="mixed-frustrated-coupling"/>
    <w:p>
      <w:pPr>
        <w:pStyle w:val="Heading2"/>
      </w:pPr>
      <w:r>
        <w:t xml:space="preserve">Mixed / Frustrated Coupling</w:t>
      </w:r>
    </w:p>
    <w:p>
      <w:pPr>
        <w:pStyle w:val="FirstParagraph"/>
      </w:pPr>
      <w:r>
        <w:t xml:space="preserve">Mixed coupling regions combine reinforcement-rich and reinforcement-reduced zones to scatter mechanical energy.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10"/>
        </w:numPr>
      </w:pPr>
      <w:r>
        <w:t xml:space="preserve">vibration-managed lattices;</w:t>
      </w:r>
    </w:p>
    <w:p>
      <w:pPr>
        <w:pStyle w:val="Compact"/>
        <w:numPr>
          <w:ilvl w:val="0"/>
          <w:numId w:val="1010"/>
        </w:numPr>
      </w:pPr>
      <w:r>
        <w:t xml:space="preserve">shock-dissipating panels;</w:t>
      </w:r>
    </w:p>
    <w:p>
      <w:pPr>
        <w:pStyle w:val="Compact"/>
        <w:numPr>
          <w:ilvl w:val="0"/>
          <w:numId w:val="1010"/>
        </w:numPr>
      </w:pPr>
      <w:r>
        <w:t xml:space="preserve">stress-wave scattering layers;</w:t>
      </w:r>
    </w:p>
    <w:p>
      <w:pPr>
        <w:pStyle w:val="Compact"/>
        <w:numPr>
          <w:ilvl w:val="0"/>
          <w:numId w:val="1010"/>
        </w:numPr>
      </w:pPr>
      <w:r>
        <w:t xml:space="preserve">resonance-shifting structural frames.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ge-6-programmability-model"/>
    <w:p>
      <w:pPr>
        <w:pStyle w:val="Heading1"/>
      </w:pPr>
      <w:r>
        <w:t xml:space="preserve">Page 6 — Programmability Model</w:t>
      </w:r>
    </w:p>
    <w:p>
      <w:pPr>
        <w:pStyle w:val="FirstParagraph"/>
      </w:pPr>
      <w:r>
        <w:t xml:space="preserve">The platform may be described using four programmable fields.</w:t>
      </w:r>
    </w:p>
    <w:bookmarkStart w:id="36" w:name="composition-field"/>
    <w:p>
      <w:pPr>
        <w:pStyle w:val="Heading2"/>
      </w:pPr>
      <w:r>
        <w:t xml:space="preserve">Composition Field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C(</w:t>
      </w:r>
      <w:r>
        <w:t xml:space="preserve">) = {c_{Ti}, c_{Mg}, c_{Sc}, c_{Zr}}_{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defines the local chemistry.</w:t>
      </w:r>
    </w:p>
    <w:bookmarkEnd w:id="36"/>
    <w:bookmarkStart w:id="37" w:name="phase-field"/>
    <w:p>
      <w:pPr>
        <w:pStyle w:val="Heading2"/>
      </w:pPr>
      <w:r>
        <w:t xml:space="preserve">Phase Field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</w:t>
      </w:r>
      <w:r>
        <w:t xml:space="preserve">) = {V_{TiAl_x},</w:t>
      </w:r>
      <w:r>
        <w:t xml:space="preserve"> </w:t>
      </w:r>
      <w:r>
        <w:rPr>
          <w:i/>
          <w:iCs/>
        </w:rPr>
        <w:t xml:space="preserve">m, d_g, p</w:t>
      </w:r>
      <w:r>
        <w:t xml:space="preserve">{Sc/Zr}}_{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defines local reinforcement fraction, morphology, grain state, and precipitate condition.</w:t>
      </w:r>
    </w:p>
    <w:bookmarkEnd w:id="37"/>
    <w:bookmarkStart w:id="38" w:name="geometry-field"/>
    <w:p>
      <w:pPr>
        <w:pStyle w:val="Heading2"/>
      </w:pPr>
      <w:r>
        <w:t xml:space="preserve">Geometry Field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G(</w:t>
      </w:r>
      <w:r>
        <w:t xml:space="preserve">) = {</w:t>
      </w:r>
      <w:r>
        <w:t xml:space="preserve">^*, a, t,</w:t>
      </w:r>
      <w:r>
        <w:t xml:space="preserve"> </w:t>
      </w:r>
      <w:r>
        <w:t xml:space="preserve">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defines local relative density, cell size, wall or strut thickness, and orientation.</w:t>
      </w:r>
    </w:p>
    <w:bookmarkEnd w:id="38"/>
    <w:bookmarkStart w:id="39" w:name="process-field"/>
    <w:p>
      <w:pPr>
        <w:pStyle w:val="Heading2"/>
      </w:pPr>
      <w:r>
        <w:t xml:space="preserve">Process Field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H(</w:t>
      </w:r>
      <w:r>
        <w:t xml:space="preserve">) = {E_L, v, F, R_c, A}_{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defines local energy input, scan speed, feed rate, cooling behavior, and aging state.</w:t>
      </w:r>
    </w:p>
    <w:p>
      <w:pPr>
        <w:pStyle w:val="BodyText"/>
      </w:pPr>
      <w:r>
        <w:t xml:space="preserve">Together these create a local response field: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</w:t>
      </w:r>
      <w:r>
        <w:t xml:space="preserve">) = {E,</w:t>
      </w:r>
      <w:r>
        <w:t xml:space="preserve"> </w:t>
      </w:r>
      <w:r>
        <w:t xml:space="preserve">_y,</w:t>
      </w:r>
      <w:r>
        <w:t xml:space="preserve"> </w:t>
      </w:r>
      <w:r>
        <w:t xml:space="preserve">_u, R_f, k,</w:t>
      </w:r>
      <w:r>
        <w:t xml:space="preserve"> </w:t>
      </w:r>
      <w:r>
        <w:rPr>
          <w:i/>
          <w:iCs/>
        </w:rPr>
        <w:t xml:space="preserve">T, Z_m,</w:t>
      </w:r>
      <w:r>
        <w:rPr>
          <w:i/>
          <w:iCs/>
        </w:rPr>
        <w:t xml:space="preserve"> </w:t>
      </w:r>
      <w:r>
        <w:rPr>
          <w:i/>
          <w:iCs/>
        </w:rPr>
        <w:t xml:space="preserve">}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value proposition is the ability to engineer (R(</w:t>
      </w:r>
      <w:r>
        <w:t xml:space="preserve">)) across the part.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ge-7-manufacturing-concept"/>
    <w:p>
      <w:pPr>
        <w:pStyle w:val="Heading1"/>
      </w:pPr>
      <w:r>
        <w:t xml:space="preserve">Page 7 — Manufacturing Concept</w:t>
      </w:r>
    </w:p>
    <w:p>
      <w:pPr>
        <w:pStyle w:val="FirstParagraph"/>
      </w:pPr>
      <w:r>
        <w:t xml:space="preserve">The preferred first manufacturing route is dual-feed laser directed energy deposition.</w:t>
      </w:r>
    </w:p>
    <w:bookmarkStart w:id="41" w:name="feedstock-a-master-powder"/>
    <w:p>
      <w:pPr>
        <w:pStyle w:val="Heading2"/>
      </w:pPr>
      <w:r>
        <w:t xml:space="preserve">Feedstock A — Master Powder</w:t>
      </w:r>
    </w:p>
    <w:p>
      <w:pPr>
        <w:pStyle w:val="FirstParagraph"/>
      </w:pPr>
      <w:r>
        <w:t xml:space="preserve">Al–Mg–Sc–Zr master powder.</w:t>
      </w:r>
    </w:p>
    <w:p>
      <w:pPr>
        <w:pStyle w:val="BodyText"/>
      </w:pPr>
      <w:r>
        <w:t xml:space="preserve">For the Prime composition, one illustrative master powder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- 2.375</w:t>
      </w:r>
      <w:r>
        <w:t xml:space="preserve"> </w:t>
      </w:r>
      <w:r>
        <w:t xml:space="preserve">- 0.190</w:t>
      </w:r>
      <w:r>
        <w:t xml:space="preserve"> </w:t>
      </w:r>
      <w:r>
        <w:t xml:space="preserve">- 0.475</w:t>
      </w:r>
      <w:r>
        <w:t xml:space="preserve"> </w:t>
      </w:r>
      <w:r>
        <w:t xml:space="preserve">]</w:t>
      </w:r>
    </w:p>
    <w:bookmarkEnd w:id="41"/>
    <w:bookmarkStart w:id="42" w:name="feedstock-b-titanium-powder"/>
    <w:p>
      <w:pPr>
        <w:pStyle w:val="Heading2"/>
      </w:pPr>
      <w:r>
        <w:t xml:space="preserve">Feedstock B — Titanium Powder</w:t>
      </w:r>
    </w:p>
    <w:p>
      <w:pPr>
        <w:pStyle w:val="FirstParagraph"/>
      </w:pPr>
      <w:r>
        <w:t xml:space="preserve">Commercially pure titanium or titanium-containing powder.</w:t>
      </w:r>
    </w:p>
    <w:bookmarkEnd w:id="42"/>
    <w:bookmarkStart w:id="43" w:name="nominal-prime-feed-ratio"/>
    <w:p>
      <w:pPr>
        <w:pStyle w:val="Heading2"/>
      </w:pPr>
      <w:r>
        <w:t xml:space="preserve">Nominal Prime Feed Ratio</w:t>
      </w:r>
    </w:p>
    <w:p>
      <w:pPr>
        <w:pStyle w:val="FirstParagraph"/>
      </w:pPr>
      <w:r>
        <w:t xml:space="preserve">Approximately:</w:t>
      </w:r>
    </w:p>
    <w:p>
      <w:pPr>
        <w:pStyle w:val="Compact"/>
        <w:numPr>
          <w:ilvl w:val="0"/>
          <w:numId w:val="1011"/>
        </w:numPr>
      </w:pPr>
      <w:r>
        <w:t xml:space="preserve">94.75 wt% master powder;</w:t>
      </w:r>
    </w:p>
    <w:p>
      <w:pPr>
        <w:pStyle w:val="Compact"/>
        <w:numPr>
          <w:ilvl w:val="0"/>
          <w:numId w:val="1011"/>
        </w:numPr>
      </w:pPr>
      <w:r>
        <w:t xml:space="preserve">5.25 wt% Ti powder.</w:t>
      </w:r>
    </w:p>
    <w:bookmarkEnd w:id="43"/>
    <w:bookmarkStart w:id="44" w:name="local-feed-variation"/>
    <w:p>
      <w:pPr>
        <w:pStyle w:val="Heading2"/>
      </w:pPr>
      <w:r>
        <w:t xml:space="preserve">Local Feed Variation</w:t>
      </w:r>
    </w:p>
    <w:p>
      <w:pPr>
        <w:pStyle w:val="FirstParagraph"/>
      </w:pPr>
      <w:r>
        <w:t xml:space="preserve">The titanium feed may be increased or decreased during printing to create:</w:t>
      </w:r>
    </w:p>
    <w:p>
      <w:pPr>
        <w:pStyle w:val="Compact"/>
        <w:numPr>
          <w:ilvl w:val="0"/>
          <w:numId w:val="1012"/>
        </w:numPr>
      </w:pPr>
      <w:r>
        <w:t xml:space="preserve">low-Ti surface skins;</w:t>
      </w:r>
    </w:p>
    <w:p>
      <w:pPr>
        <w:pStyle w:val="Compact"/>
        <w:numPr>
          <w:ilvl w:val="0"/>
          <w:numId w:val="1012"/>
        </w:numPr>
      </w:pPr>
      <w:r>
        <w:t xml:space="preserve">Prime composition core regions;</w:t>
      </w:r>
    </w:p>
    <w:p>
      <w:pPr>
        <w:pStyle w:val="Compact"/>
        <w:numPr>
          <w:ilvl w:val="0"/>
          <w:numId w:val="1012"/>
        </w:numPr>
      </w:pPr>
      <w:r>
        <w:t xml:space="preserve">high-Ti reinforced nodes;</w:t>
      </w:r>
    </w:p>
    <w:p>
      <w:pPr>
        <w:pStyle w:val="Compact"/>
        <w:numPr>
          <w:ilvl w:val="0"/>
          <w:numId w:val="1012"/>
        </w:numPr>
      </w:pPr>
      <w:r>
        <w:t xml:space="preserve">low-Ti thermal pathways;</w:t>
      </w:r>
    </w:p>
    <w:p>
      <w:pPr>
        <w:pStyle w:val="Compact"/>
        <w:numPr>
          <w:ilvl w:val="0"/>
          <w:numId w:val="1012"/>
        </w:numPr>
      </w:pPr>
      <w:r>
        <w:t xml:space="preserve">and graded transition zones.</w:t>
      </w:r>
    </w:p>
    <w:bookmarkEnd w:id="44"/>
    <w:bookmarkStart w:id="45" w:name="control-layer"/>
    <w:p>
      <w:pPr>
        <w:pStyle w:val="Heading2"/>
      </w:pPr>
      <w:r>
        <w:t xml:space="preserve">Control Layer</w:t>
      </w:r>
    </w:p>
    <w:p>
      <w:pPr>
        <w:pStyle w:val="FirstParagraph"/>
      </w:pPr>
      <w:r>
        <w:t xml:space="preserve">A manufacturing controller receives a target property map and outputs:</w:t>
      </w:r>
    </w:p>
    <w:p>
      <w:pPr>
        <w:pStyle w:val="Compact"/>
        <w:numPr>
          <w:ilvl w:val="0"/>
          <w:numId w:val="1013"/>
        </w:numPr>
      </w:pPr>
      <w:r>
        <w:t xml:space="preserve">local composition targets;</w:t>
      </w:r>
    </w:p>
    <w:p>
      <w:pPr>
        <w:pStyle w:val="Compact"/>
        <w:numPr>
          <w:ilvl w:val="0"/>
          <w:numId w:val="1013"/>
        </w:numPr>
      </w:pPr>
      <w:r>
        <w:t xml:space="preserve">feedstock-ratio commands;</w:t>
      </w:r>
    </w:p>
    <w:p>
      <w:pPr>
        <w:pStyle w:val="Compact"/>
        <w:numPr>
          <w:ilvl w:val="0"/>
          <w:numId w:val="1013"/>
        </w:numPr>
      </w:pPr>
      <w:r>
        <w:t xml:space="preserve">deposition-parameter commands;</w:t>
      </w:r>
    </w:p>
    <w:p>
      <w:pPr>
        <w:pStyle w:val="Compact"/>
        <w:numPr>
          <w:ilvl w:val="0"/>
          <w:numId w:val="1013"/>
        </w:numPr>
      </w:pPr>
      <w:r>
        <w:t xml:space="preserve">predicted microstructure targets;</w:t>
      </w:r>
    </w:p>
    <w:p>
      <w:pPr>
        <w:pStyle w:val="Compact"/>
        <w:numPr>
          <w:ilvl w:val="0"/>
          <w:numId w:val="1013"/>
        </w:numPr>
      </w:pPr>
      <w:r>
        <w:t xml:space="preserve">sensor-feedback corrections.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page-8-product-forms"/>
    <w:p>
      <w:pPr>
        <w:pStyle w:val="Heading1"/>
      </w:pPr>
      <w:r>
        <w:t xml:space="preserve">Page 8 — Product Forms</w:t>
      </w:r>
    </w:p>
    <w:p>
      <w:pPr>
        <w:pStyle w:val="FirstParagraph"/>
      </w:pPr>
      <w:r>
        <w:t xml:space="preserve">The platform can be commercialized in several forms.</w:t>
      </w:r>
    </w:p>
    <w:bookmarkStart w:id="47" w:name="alloy-powder-feedstock-system"/>
    <w:p>
      <w:pPr>
        <w:pStyle w:val="Heading2"/>
      </w:pPr>
      <w:r>
        <w:t xml:space="preserve">1. Alloy Powder / Feedstock System</w:t>
      </w:r>
    </w:p>
    <w:p>
      <w:pPr>
        <w:pStyle w:val="FirstParagraph"/>
      </w:pPr>
      <w:r>
        <w:t xml:space="preserve">A powder package including:</w:t>
      </w:r>
    </w:p>
    <w:p>
      <w:pPr>
        <w:pStyle w:val="Compact"/>
        <w:numPr>
          <w:ilvl w:val="0"/>
          <w:numId w:val="1014"/>
        </w:numPr>
      </w:pPr>
      <w:r>
        <w:t xml:space="preserve">Al–Mg–Sc–Zr master powder;</w:t>
      </w:r>
    </w:p>
    <w:p>
      <w:pPr>
        <w:pStyle w:val="Compact"/>
        <w:numPr>
          <w:ilvl w:val="0"/>
          <w:numId w:val="1014"/>
        </w:numPr>
      </w:pPr>
      <w:r>
        <w:t xml:space="preserve">Ti feedstock;</w:t>
      </w:r>
    </w:p>
    <w:p>
      <w:pPr>
        <w:pStyle w:val="Compact"/>
        <w:numPr>
          <w:ilvl w:val="0"/>
          <w:numId w:val="1014"/>
        </w:numPr>
      </w:pPr>
      <w:r>
        <w:t xml:space="preserve">feed-ratio recipes;</w:t>
      </w:r>
    </w:p>
    <w:p>
      <w:pPr>
        <w:pStyle w:val="Compact"/>
        <w:numPr>
          <w:ilvl w:val="0"/>
          <w:numId w:val="1014"/>
        </w:numPr>
      </w:pPr>
      <w:r>
        <w:t xml:space="preserve">heat-treatment guidance;</w:t>
      </w:r>
    </w:p>
    <w:p>
      <w:pPr>
        <w:pStyle w:val="Compact"/>
        <w:numPr>
          <w:ilvl w:val="0"/>
          <w:numId w:val="1014"/>
        </w:numPr>
      </w:pPr>
      <w:r>
        <w:t xml:space="preserve">process windows.</w:t>
      </w:r>
    </w:p>
    <w:bookmarkEnd w:id="47"/>
    <w:bookmarkStart w:id="48" w:name="licensed-printing-recipe"/>
    <w:p>
      <w:pPr>
        <w:pStyle w:val="Heading2"/>
      </w:pPr>
      <w:r>
        <w:t xml:space="preserve">2. Licensed Printing Recipe</w:t>
      </w:r>
    </w:p>
    <w:p>
      <w:pPr>
        <w:pStyle w:val="FirstParagraph"/>
      </w:pPr>
      <w:r>
        <w:t xml:space="preserve">A build-parameter package for qualified DED systems.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5"/>
        </w:numPr>
      </w:pPr>
      <w:r>
        <w:t xml:space="preserve">feedstock ratios;</w:t>
      </w:r>
    </w:p>
    <w:p>
      <w:pPr>
        <w:pStyle w:val="Compact"/>
        <w:numPr>
          <w:ilvl w:val="0"/>
          <w:numId w:val="1015"/>
        </w:numPr>
      </w:pPr>
      <w:r>
        <w:t xml:space="preserve">local Ti modulation rules;</w:t>
      </w:r>
    </w:p>
    <w:p>
      <w:pPr>
        <w:pStyle w:val="Compact"/>
        <w:numPr>
          <w:ilvl w:val="0"/>
          <w:numId w:val="1015"/>
        </w:numPr>
      </w:pPr>
      <w:r>
        <w:t xml:space="preserve">recommended laser parameters;</w:t>
      </w:r>
    </w:p>
    <w:p>
      <w:pPr>
        <w:pStyle w:val="Compact"/>
        <w:numPr>
          <w:ilvl w:val="0"/>
          <w:numId w:val="1015"/>
        </w:numPr>
      </w:pPr>
      <w:r>
        <w:t xml:space="preserve">post-build heat treatments;</w:t>
      </w:r>
    </w:p>
    <w:p>
      <w:pPr>
        <w:pStyle w:val="Compact"/>
        <w:numPr>
          <w:ilvl w:val="0"/>
          <w:numId w:val="1015"/>
        </w:numPr>
      </w:pPr>
      <w:r>
        <w:t xml:space="preserve">inspection protocol.</w:t>
      </w:r>
    </w:p>
    <w:bookmarkEnd w:id="48"/>
    <w:bookmarkStart w:id="49" w:name="digital-materials-compiler"/>
    <w:p>
      <w:pPr>
        <w:pStyle w:val="Heading2"/>
      </w:pPr>
      <w:r>
        <w:t xml:space="preserve">3. Digital Materials Compiler</w:t>
      </w:r>
    </w:p>
    <w:p>
      <w:pPr>
        <w:pStyle w:val="FirstParagraph"/>
      </w:pPr>
      <w:r>
        <w:t xml:space="preserve">Software/control package converting part requirements into material-state maps.</w:t>
      </w:r>
    </w:p>
    <w:bookmarkEnd w:id="49"/>
    <w:bookmarkStart w:id="50" w:name="qualified-structural-components"/>
    <w:p>
      <w:pPr>
        <w:pStyle w:val="Heading2"/>
      </w:pPr>
      <w:r>
        <w:t xml:space="preserve">4. Qualified Structural Components</w:t>
      </w:r>
    </w:p>
    <w:p>
      <w:pPr>
        <w:pStyle w:val="FirstParagraph"/>
      </w:pPr>
      <w:r>
        <w:t xml:space="preserve">Direct production of:</w:t>
      </w:r>
    </w:p>
    <w:p>
      <w:pPr>
        <w:pStyle w:val="Compact"/>
        <w:numPr>
          <w:ilvl w:val="0"/>
          <w:numId w:val="1016"/>
        </w:numPr>
      </w:pPr>
      <w:r>
        <w:t xml:space="preserve">aerospace brackets;</w:t>
      </w:r>
    </w:p>
    <w:p>
      <w:pPr>
        <w:pStyle w:val="Compact"/>
        <w:numPr>
          <w:ilvl w:val="0"/>
          <w:numId w:val="1016"/>
        </w:numPr>
      </w:pPr>
      <w:r>
        <w:t xml:space="preserve">robotic joints;</w:t>
      </w:r>
    </w:p>
    <w:p>
      <w:pPr>
        <w:pStyle w:val="Compact"/>
        <w:numPr>
          <w:ilvl w:val="0"/>
          <w:numId w:val="1016"/>
        </w:numPr>
      </w:pPr>
      <w:r>
        <w:t xml:space="preserve">thermal housings;</w:t>
      </w:r>
    </w:p>
    <w:p>
      <w:pPr>
        <w:pStyle w:val="Compact"/>
        <w:numPr>
          <w:ilvl w:val="0"/>
          <w:numId w:val="1016"/>
        </w:numPr>
      </w:pPr>
      <w:r>
        <w:t xml:space="preserve">vibration-managed panels;</w:t>
      </w:r>
    </w:p>
    <w:p>
      <w:pPr>
        <w:pStyle w:val="Compact"/>
        <w:numPr>
          <w:ilvl w:val="0"/>
          <w:numId w:val="1016"/>
        </w:numPr>
      </w:pPr>
      <w:r>
        <w:t xml:space="preserve">high-load structural nodes.</w:t>
      </w:r>
    </w:p>
    <w:bookmarkEnd w:id="50"/>
    <w:bookmarkStart w:id="51" w:name="platform-licensing"/>
    <w:p>
      <w:pPr>
        <w:pStyle w:val="Heading2"/>
      </w:pPr>
      <w:r>
        <w:t xml:space="preserve">5. Platform Licensing</w:t>
      </w:r>
    </w:p>
    <w:p>
      <w:pPr>
        <w:pStyle w:val="FirstParagraph"/>
      </w:pPr>
      <w:r>
        <w:t xml:space="preserve">Licensing to:</w:t>
      </w:r>
    </w:p>
    <w:p>
      <w:pPr>
        <w:pStyle w:val="Compact"/>
        <w:numPr>
          <w:ilvl w:val="0"/>
          <w:numId w:val="1017"/>
        </w:numPr>
      </w:pPr>
      <w:r>
        <w:t xml:space="preserve">aerospace suppliers;</w:t>
      </w:r>
    </w:p>
    <w:p>
      <w:pPr>
        <w:pStyle w:val="Compact"/>
        <w:numPr>
          <w:ilvl w:val="0"/>
          <w:numId w:val="1017"/>
        </w:numPr>
      </w:pPr>
      <w:r>
        <w:t xml:space="preserve">AM machine manufacturers;</w:t>
      </w:r>
    </w:p>
    <w:p>
      <w:pPr>
        <w:pStyle w:val="Compact"/>
        <w:numPr>
          <w:ilvl w:val="0"/>
          <w:numId w:val="1017"/>
        </w:numPr>
      </w:pPr>
      <w:r>
        <w:t xml:space="preserve">defense contractors;</w:t>
      </w:r>
    </w:p>
    <w:p>
      <w:pPr>
        <w:pStyle w:val="Compact"/>
        <w:numPr>
          <w:ilvl w:val="0"/>
          <w:numId w:val="1017"/>
        </w:numPr>
      </w:pPr>
      <w:r>
        <w:t xml:space="preserve">robotics companies;</w:t>
      </w:r>
    </w:p>
    <w:p>
      <w:pPr>
        <w:pStyle w:val="Compact"/>
        <w:numPr>
          <w:ilvl w:val="0"/>
          <w:numId w:val="1017"/>
        </w:numPr>
      </w:pPr>
      <w:r>
        <w:t xml:space="preserve">advanced materials producers;</w:t>
      </w:r>
    </w:p>
    <w:p>
      <w:pPr>
        <w:pStyle w:val="Compact"/>
        <w:numPr>
          <w:ilvl w:val="0"/>
          <w:numId w:val="1017"/>
        </w:numPr>
      </w:pPr>
      <w:r>
        <w:t xml:space="preserve">thermal-management manufacturers.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age-9-priority-use-cases"/>
    <w:p>
      <w:pPr>
        <w:pStyle w:val="Heading1"/>
      </w:pPr>
      <w:r>
        <w:t xml:space="preserve">Page 9 — Priority Use Cases</w:t>
      </w:r>
    </w:p>
    <w:bookmarkStart w:id="53" w:name="aerospace-space"/>
    <w:p>
      <w:pPr>
        <w:pStyle w:val="Heading2"/>
      </w:pPr>
      <w:r>
        <w:t xml:space="preserve">Aerospace / Space</w:t>
      </w:r>
    </w:p>
    <w:p>
      <w:pPr>
        <w:pStyle w:val="FirstParagraph"/>
      </w:pPr>
      <w:r>
        <w:t xml:space="preserve">Best-fit components:</w:t>
      </w:r>
    </w:p>
    <w:p>
      <w:pPr>
        <w:pStyle w:val="Compact"/>
        <w:numPr>
          <w:ilvl w:val="0"/>
          <w:numId w:val="1018"/>
        </w:numPr>
      </w:pPr>
      <w:r>
        <w:t xml:space="preserve">satellite brackets;</w:t>
      </w:r>
    </w:p>
    <w:p>
      <w:pPr>
        <w:pStyle w:val="Compact"/>
        <w:numPr>
          <w:ilvl w:val="0"/>
          <w:numId w:val="1018"/>
        </w:numPr>
      </w:pPr>
      <w:r>
        <w:t xml:space="preserve">antenna support nodes;</w:t>
      </w:r>
    </w:p>
    <w:p>
      <w:pPr>
        <w:pStyle w:val="Compact"/>
        <w:numPr>
          <w:ilvl w:val="0"/>
          <w:numId w:val="1018"/>
        </w:numPr>
      </w:pPr>
      <w:r>
        <w:t xml:space="preserve">avionics frames;</w:t>
      </w:r>
    </w:p>
    <w:p>
      <w:pPr>
        <w:pStyle w:val="Compact"/>
        <w:numPr>
          <w:ilvl w:val="0"/>
          <w:numId w:val="1018"/>
        </w:numPr>
      </w:pPr>
      <w:r>
        <w:t xml:space="preserve">thermal-structural panels;</w:t>
      </w:r>
    </w:p>
    <w:p>
      <w:pPr>
        <w:pStyle w:val="Compact"/>
        <w:numPr>
          <w:ilvl w:val="0"/>
          <w:numId w:val="1018"/>
        </w:numPr>
      </w:pPr>
      <w:r>
        <w:t xml:space="preserve">vibration-sensitive payload mounts;</w:t>
      </w:r>
    </w:p>
    <w:p>
      <w:pPr>
        <w:pStyle w:val="Compact"/>
        <w:numPr>
          <w:ilvl w:val="0"/>
          <w:numId w:val="1018"/>
        </w:numPr>
      </w:pPr>
      <w:r>
        <w:t xml:space="preserve">lightweight reinforced ribs.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19"/>
        </w:numPr>
      </w:pPr>
      <w:r>
        <w:t xml:space="preserve">every gram matters;</w:t>
      </w:r>
    </w:p>
    <w:p>
      <w:pPr>
        <w:pStyle w:val="Compact"/>
        <w:numPr>
          <w:ilvl w:val="0"/>
          <w:numId w:val="1019"/>
        </w:numPr>
      </w:pPr>
      <w:r>
        <w:t xml:space="preserve">local load paths are predictable;</w:t>
      </w:r>
    </w:p>
    <w:p>
      <w:pPr>
        <w:pStyle w:val="Compact"/>
        <w:numPr>
          <w:ilvl w:val="0"/>
          <w:numId w:val="1019"/>
        </w:numPr>
      </w:pPr>
      <w:r>
        <w:t xml:space="preserve">thermal and vibration behavior are critical;</w:t>
      </w:r>
    </w:p>
    <w:p>
      <w:pPr>
        <w:pStyle w:val="Compact"/>
        <w:numPr>
          <w:ilvl w:val="0"/>
          <w:numId w:val="1019"/>
        </w:numPr>
      </w:pPr>
      <w:r>
        <w:t xml:space="preserve">monolithic structures reduce assembly count.</w:t>
      </w:r>
    </w:p>
    <w:bookmarkEnd w:id="53"/>
    <w:bookmarkStart w:id="54" w:name="robotics-uas"/>
    <w:p>
      <w:pPr>
        <w:pStyle w:val="Heading2"/>
      </w:pPr>
      <w:r>
        <w:t xml:space="preserve">Robotics / UAS</w:t>
      </w:r>
    </w:p>
    <w:p>
      <w:pPr>
        <w:pStyle w:val="FirstParagraph"/>
      </w:pPr>
      <w:r>
        <w:t xml:space="preserve">Best-fit components:</w:t>
      </w:r>
    </w:p>
    <w:p>
      <w:pPr>
        <w:pStyle w:val="Compact"/>
        <w:numPr>
          <w:ilvl w:val="0"/>
          <w:numId w:val="1020"/>
        </w:numPr>
      </w:pPr>
      <w:r>
        <w:t xml:space="preserve">drone arms;</w:t>
      </w:r>
    </w:p>
    <w:p>
      <w:pPr>
        <w:pStyle w:val="Compact"/>
        <w:numPr>
          <w:ilvl w:val="0"/>
          <w:numId w:val="1020"/>
        </w:numPr>
      </w:pPr>
      <w:r>
        <w:t xml:space="preserve">motor mounts;</w:t>
      </w:r>
    </w:p>
    <w:p>
      <w:pPr>
        <w:pStyle w:val="Compact"/>
        <w:numPr>
          <w:ilvl w:val="0"/>
          <w:numId w:val="1020"/>
        </w:numPr>
      </w:pPr>
      <w:r>
        <w:t xml:space="preserve">robotic joint housings;</w:t>
      </w:r>
    </w:p>
    <w:p>
      <w:pPr>
        <w:pStyle w:val="Compact"/>
        <w:numPr>
          <w:ilvl w:val="0"/>
          <w:numId w:val="1020"/>
        </w:numPr>
      </w:pPr>
      <w:r>
        <w:t xml:space="preserve">sensor mast frames;</w:t>
      </w:r>
    </w:p>
    <w:p>
      <w:pPr>
        <w:pStyle w:val="Compact"/>
        <w:numPr>
          <w:ilvl w:val="0"/>
          <w:numId w:val="1020"/>
        </w:numPr>
      </w:pPr>
      <w:r>
        <w:t xml:space="preserve">impact-resistant exoskeletal ribs.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21"/>
        </w:numPr>
      </w:pPr>
      <w:r>
        <w:t xml:space="preserve">strength-to-weight is central;</w:t>
      </w:r>
    </w:p>
    <w:p>
      <w:pPr>
        <w:pStyle w:val="Compact"/>
        <w:numPr>
          <w:ilvl w:val="0"/>
          <w:numId w:val="1021"/>
        </w:numPr>
      </w:pPr>
      <w:r>
        <w:t xml:space="preserve">vibration control improves sensor fidelity;</w:t>
      </w:r>
    </w:p>
    <w:p>
      <w:pPr>
        <w:pStyle w:val="Compact"/>
        <w:numPr>
          <w:ilvl w:val="0"/>
          <w:numId w:val="1021"/>
        </w:numPr>
      </w:pPr>
      <w:r>
        <w:t xml:space="preserve">local reinforcement reduces overbuilding.</w:t>
      </w:r>
    </w:p>
    <w:bookmarkEnd w:id="54"/>
    <w:bookmarkStart w:id="55" w:name="thermal-mechanical-housings"/>
    <w:p>
      <w:pPr>
        <w:pStyle w:val="Heading2"/>
      </w:pPr>
      <w:r>
        <w:t xml:space="preserve">Thermal-Mechanical Housings</w:t>
      </w:r>
    </w:p>
    <w:p>
      <w:pPr>
        <w:pStyle w:val="FirstParagraph"/>
      </w:pPr>
      <w:r>
        <w:t xml:space="preserve">Best-fit components:</w:t>
      </w:r>
    </w:p>
    <w:p>
      <w:pPr>
        <w:pStyle w:val="Compact"/>
        <w:numPr>
          <w:ilvl w:val="0"/>
          <w:numId w:val="1022"/>
        </w:numPr>
      </w:pPr>
      <w:r>
        <w:t xml:space="preserve">inverter frames;</w:t>
      </w:r>
    </w:p>
    <w:p>
      <w:pPr>
        <w:pStyle w:val="Compact"/>
        <w:numPr>
          <w:ilvl w:val="0"/>
          <w:numId w:val="1022"/>
        </w:numPr>
      </w:pPr>
      <w:r>
        <w:t xml:space="preserve">motor housings;</w:t>
      </w:r>
    </w:p>
    <w:p>
      <w:pPr>
        <w:pStyle w:val="Compact"/>
        <w:numPr>
          <w:ilvl w:val="0"/>
          <w:numId w:val="1022"/>
        </w:numPr>
      </w:pPr>
      <w:r>
        <w:t xml:space="preserve">electronics heat-spreading structures;</w:t>
      </w:r>
    </w:p>
    <w:p>
      <w:pPr>
        <w:pStyle w:val="Compact"/>
        <w:numPr>
          <w:ilvl w:val="0"/>
          <w:numId w:val="1022"/>
        </w:numPr>
      </w:pPr>
      <w:r>
        <w:t xml:space="preserve">power-conversion housings;</w:t>
      </w:r>
    </w:p>
    <w:p>
      <w:pPr>
        <w:pStyle w:val="Compact"/>
        <w:numPr>
          <w:ilvl w:val="0"/>
          <w:numId w:val="1022"/>
        </w:numPr>
      </w:pPr>
      <w:r>
        <w:t xml:space="preserve">compact heat-management panels.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23"/>
        </w:numPr>
      </w:pPr>
      <w:r>
        <w:t xml:space="preserve">heat and load often coexist;</w:t>
      </w:r>
    </w:p>
    <w:p>
      <w:pPr>
        <w:pStyle w:val="Compact"/>
        <w:numPr>
          <w:ilvl w:val="0"/>
          <w:numId w:val="1023"/>
        </w:numPr>
      </w:pPr>
      <w:r>
        <w:t xml:space="preserve">thermal pathways can be embedded structurally;</w:t>
      </w:r>
    </w:p>
    <w:p>
      <w:pPr>
        <w:pStyle w:val="Compact"/>
        <w:numPr>
          <w:ilvl w:val="0"/>
          <w:numId w:val="1023"/>
        </w:numPr>
      </w:pPr>
      <w:r>
        <w:t xml:space="preserve">lower-Ti corridors can preserve heat transport.</w:t>
      </w:r>
    </w:p>
    <w:bookmarkEnd w:id="55"/>
    <w:bookmarkStart w:id="56" w:name="advanced-mobility-motorsport"/>
    <w:p>
      <w:pPr>
        <w:pStyle w:val="Heading2"/>
      </w:pPr>
      <w:r>
        <w:t xml:space="preserve">Advanced Mobility / Motorsport</w:t>
      </w:r>
    </w:p>
    <w:p>
      <w:pPr>
        <w:pStyle w:val="FirstParagraph"/>
      </w:pPr>
      <w:r>
        <w:t xml:space="preserve">Best-fit components:</w:t>
      </w:r>
    </w:p>
    <w:p>
      <w:pPr>
        <w:pStyle w:val="Compact"/>
        <w:numPr>
          <w:ilvl w:val="0"/>
          <w:numId w:val="1024"/>
        </w:numPr>
      </w:pPr>
      <w:r>
        <w:t xml:space="preserve">lightweight brackets;</w:t>
      </w:r>
    </w:p>
    <w:p>
      <w:pPr>
        <w:pStyle w:val="Compact"/>
        <w:numPr>
          <w:ilvl w:val="0"/>
          <w:numId w:val="1024"/>
        </w:numPr>
      </w:pPr>
      <w:r>
        <w:t xml:space="preserve">local crash-energy structures;</w:t>
      </w:r>
    </w:p>
    <w:p>
      <w:pPr>
        <w:pStyle w:val="Compact"/>
        <w:numPr>
          <w:ilvl w:val="0"/>
          <w:numId w:val="1024"/>
        </w:numPr>
      </w:pPr>
      <w:r>
        <w:t xml:space="preserve">EV frame supports;</w:t>
      </w:r>
    </w:p>
    <w:p>
      <w:pPr>
        <w:pStyle w:val="Compact"/>
        <w:numPr>
          <w:ilvl w:val="0"/>
          <w:numId w:val="1024"/>
        </w:numPr>
      </w:pPr>
      <w:r>
        <w:t xml:space="preserve">thermal battery or inverter support frames;</w:t>
      </w:r>
    </w:p>
    <w:p>
      <w:pPr>
        <w:pStyle w:val="Compact"/>
        <w:numPr>
          <w:ilvl w:val="0"/>
          <w:numId w:val="1024"/>
        </w:numPr>
      </w:pPr>
      <w:r>
        <w:t xml:space="preserve">high-stiffness suspension-adjacent mounts.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age-10-competitive-landscape"/>
    <w:p>
      <w:pPr>
        <w:pStyle w:val="Heading1"/>
      </w:pPr>
      <w:r>
        <w:t xml:space="preserve">Page 10 — Competitive Landscape</w:t>
      </w:r>
    </w:p>
    <w:p>
      <w:pPr>
        <w:pStyle w:val="FirstParagraph"/>
      </w:pPr>
      <w:r>
        <w:t xml:space="preserve">The platform should be positioned relative to several classes of known materials and companies.</w:t>
      </w:r>
    </w:p>
    <w:bookmarkStart w:id="58" w:name="X58ee87a64538b8b07040abfaf499b839d84f547"/>
    <w:p>
      <w:pPr>
        <w:pStyle w:val="Heading2"/>
      </w:pPr>
      <w:r>
        <w:t xml:space="preserve">Static High-Performance AM Aluminum Alloys</w:t>
      </w:r>
    </w:p>
    <w:p>
      <w:pPr>
        <w:pStyle w:val="FirstParagraph"/>
      </w:pPr>
      <w:r>
        <w:t xml:space="preserve">These compete on strength, ductility, printability, fatigue, and high-temperature performance.</w:t>
      </w:r>
    </w:p>
    <w:p>
      <w:pPr>
        <w:pStyle w:val="BodyText"/>
      </w:pPr>
      <w:r>
        <w:t xml:space="preserve">WS–AlTi Prime’s angle is not guaranteed superiority on every material metric. Its stronger positioning is local programmability.</w:t>
      </w:r>
    </w:p>
    <w:bookmarkEnd w:id="58"/>
    <w:bookmarkStart w:id="59" w:name="reactive-alti-composites"/>
    <w:p>
      <w:pPr>
        <w:pStyle w:val="Heading2"/>
      </w:pPr>
      <w:r>
        <w:t xml:space="preserve">Reactive Al–Ti Composites</w:t>
      </w:r>
    </w:p>
    <w:p>
      <w:pPr>
        <w:pStyle w:val="FirstParagraph"/>
      </w:pPr>
      <w:r>
        <w:t xml:space="preserve">These validate the concept of titanium-aluminide reinforcement, but may lack the matrix stabilization and property-map architecture proposed here.</w:t>
      </w:r>
    </w:p>
    <w:bookmarkEnd w:id="59"/>
    <w:bookmarkStart w:id="60" w:name="functionally-graded-materials"/>
    <w:p>
      <w:pPr>
        <w:pStyle w:val="Heading2"/>
      </w:pPr>
      <w:r>
        <w:t xml:space="preserve">Functionally Graded Materials</w:t>
      </w:r>
    </w:p>
    <w:p>
      <w:pPr>
        <w:pStyle w:val="FirstParagraph"/>
      </w:pPr>
      <w:r>
        <w:t xml:space="preserve">These validate local composition control, but often lack a dedicated programmable aluminum meta-alloy composition family.</w:t>
      </w:r>
    </w:p>
    <w:bookmarkEnd w:id="60"/>
    <w:bookmarkStart w:id="61" w:name="advanced-alloy-design-am-companies"/>
    <w:p>
      <w:pPr>
        <w:pStyle w:val="Heading2"/>
      </w:pPr>
      <w:r>
        <w:t xml:space="preserve">Advanced Alloy Design / AM Companies</w:t>
      </w:r>
    </w:p>
    <w:p>
      <w:pPr>
        <w:pStyle w:val="FirstParagraph"/>
      </w:pPr>
      <w:r>
        <w:t xml:space="preserve">Companies working in digital alloy design and AM process control show that the commercial market recognizes value in alloy design, process recipes, and digital manufacturing platforms.</w:t>
      </w:r>
    </w:p>
    <w:p>
      <w:pPr>
        <w:pStyle w:val="BodyText"/>
      </w:pPr>
      <w:r>
        <w:t xml:space="preserve">WS–AlTi Prime should therefore be positioned as:</w:t>
      </w:r>
    </w:p>
    <w:p>
      <w:pPr>
        <w:pStyle w:val="Compact"/>
        <w:numPr>
          <w:ilvl w:val="0"/>
          <w:numId w:val="1025"/>
        </w:numPr>
      </w:pPr>
      <w:r>
        <w:t xml:space="preserve">an advanced material;</w:t>
      </w:r>
    </w:p>
    <w:p>
      <w:pPr>
        <w:pStyle w:val="Compact"/>
        <w:numPr>
          <w:ilvl w:val="0"/>
          <w:numId w:val="1025"/>
        </w:numPr>
      </w:pPr>
      <w:r>
        <w:t xml:space="preserve">a process recipe;</w:t>
      </w:r>
    </w:p>
    <w:p>
      <w:pPr>
        <w:pStyle w:val="Compact"/>
        <w:numPr>
          <w:ilvl w:val="0"/>
          <w:numId w:val="1025"/>
        </w:numPr>
      </w:pPr>
      <w:r>
        <w:t xml:space="preserve">a controllable local-material-state platform;</w:t>
      </w:r>
    </w:p>
    <w:p>
      <w:pPr>
        <w:pStyle w:val="Compact"/>
        <w:numPr>
          <w:ilvl w:val="0"/>
          <w:numId w:val="1025"/>
        </w:numPr>
      </w:pPr>
      <w:r>
        <w:t xml:space="preserve">and potentially a software-enabled manufacturing system.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age-11-commercialization-roadmap"/>
    <w:p>
      <w:pPr>
        <w:pStyle w:val="Heading1"/>
      </w:pPr>
      <w:r>
        <w:t xml:space="preserve">Page 11 — Commercialization Roadmap</w:t>
      </w:r>
    </w:p>
    <w:bookmarkStart w:id="63" w:name="phase-0-disclosure-and-patent-position"/>
    <w:p>
      <w:pPr>
        <w:pStyle w:val="Heading2"/>
      </w:pPr>
      <w:r>
        <w:t xml:space="preserve">Phase 0 — Disclosure and Patent Position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6"/>
        </w:numPr>
      </w:pPr>
      <w:r>
        <w:t xml:space="preserve">provisional filing package;</w:t>
      </w:r>
    </w:p>
    <w:p>
      <w:pPr>
        <w:pStyle w:val="Compact"/>
        <w:numPr>
          <w:ilvl w:val="0"/>
          <w:numId w:val="1026"/>
        </w:numPr>
      </w:pPr>
      <w:r>
        <w:t xml:space="preserve">figure sheets;</w:t>
      </w:r>
    </w:p>
    <w:p>
      <w:pPr>
        <w:pStyle w:val="Compact"/>
        <w:numPr>
          <w:ilvl w:val="0"/>
          <w:numId w:val="1026"/>
        </w:numPr>
      </w:pPr>
      <w:r>
        <w:t xml:space="preserve">disclosure chronology;</w:t>
      </w:r>
    </w:p>
    <w:p>
      <w:pPr>
        <w:pStyle w:val="Compact"/>
        <w:numPr>
          <w:ilvl w:val="0"/>
          <w:numId w:val="1026"/>
        </w:numPr>
      </w:pPr>
      <w:r>
        <w:t xml:space="preserve">prior-art search request;</w:t>
      </w:r>
    </w:p>
    <w:p>
      <w:pPr>
        <w:pStyle w:val="Compact"/>
        <w:numPr>
          <w:ilvl w:val="0"/>
          <w:numId w:val="1026"/>
        </w:numPr>
      </w:pPr>
      <w:r>
        <w:t xml:space="preserve">counsel review.</w:t>
      </w:r>
    </w:p>
    <w:p>
      <w:pPr>
        <w:pStyle w:val="FirstParagraph"/>
      </w:pPr>
      <w:r>
        <w:t xml:space="preserve">Commercial value:</w:t>
      </w:r>
    </w:p>
    <w:p>
      <w:pPr>
        <w:pStyle w:val="Compact"/>
        <w:numPr>
          <w:ilvl w:val="0"/>
          <w:numId w:val="1027"/>
        </w:numPr>
      </w:pPr>
      <w:r>
        <w:t xml:space="preserve">protects concept;</w:t>
      </w:r>
    </w:p>
    <w:p>
      <w:pPr>
        <w:pStyle w:val="Compact"/>
        <w:numPr>
          <w:ilvl w:val="0"/>
          <w:numId w:val="1027"/>
        </w:numPr>
      </w:pPr>
      <w:r>
        <w:t xml:space="preserve">enables structured outreach;</w:t>
      </w:r>
    </w:p>
    <w:p>
      <w:pPr>
        <w:pStyle w:val="Compact"/>
        <w:numPr>
          <w:ilvl w:val="0"/>
          <w:numId w:val="1027"/>
        </w:numPr>
      </w:pPr>
      <w:r>
        <w:t xml:space="preserve">creates basis for sponsored research or partner discussions.</w:t>
      </w:r>
    </w:p>
    <w:bookmarkEnd w:id="63"/>
    <w:bookmarkStart w:id="64" w:name="phase-1-modeling"/>
    <w:p>
      <w:pPr>
        <w:pStyle w:val="Heading2"/>
      </w:pPr>
      <w:r>
        <w:t xml:space="preserve">Phase 1 — Modeling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28"/>
        </w:numPr>
      </w:pPr>
      <w:r>
        <w:t xml:space="preserve">CALPHAD/Scheil modeling;</w:t>
      </w:r>
    </w:p>
    <w:p>
      <w:pPr>
        <w:pStyle w:val="Compact"/>
        <w:numPr>
          <w:ilvl w:val="0"/>
          <w:numId w:val="1028"/>
        </w:numPr>
      </w:pPr>
      <w:r>
        <w:t xml:space="preserve">phase-fraction estimates;</w:t>
      </w:r>
    </w:p>
    <w:p>
      <w:pPr>
        <w:pStyle w:val="Compact"/>
        <w:numPr>
          <w:ilvl w:val="0"/>
          <w:numId w:val="1028"/>
        </w:numPr>
      </w:pPr>
      <w:r>
        <w:t xml:space="preserve">Ti content sweep;</w:t>
      </w:r>
    </w:p>
    <w:p>
      <w:pPr>
        <w:pStyle w:val="Compact"/>
        <w:numPr>
          <w:ilvl w:val="0"/>
          <w:numId w:val="1028"/>
        </w:numPr>
      </w:pPr>
      <w:r>
        <w:t xml:space="preserve">thermal-treatment predictions;</w:t>
      </w:r>
    </w:p>
    <w:p>
      <w:pPr>
        <w:pStyle w:val="Compact"/>
        <w:numPr>
          <w:ilvl w:val="0"/>
          <w:numId w:val="1028"/>
        </w:numPr>
      </w:pPr>
      <w:r>
        <w:t xml:space="preserve">FEA models for graded articles.</w:t>
      </w:r>
    </w:p>
    <w:p>
      <w:pPr>
        <w:pStyle w:val="FirstParagraph"/>
      </w:pPr>
      <w:r>
        <w:t xml:space="preserve">Commercial value:</w:t>
      </w:r>
    </w:p>
    <w:p>
      <w:pPr>
        <w:pStyle w:val="Compact"/>
        <w:numPr>
          <w:ilvl w:val="0"/>
          <w:numId w:val="1029"/>
        </w:numPr>
      </w:pPr>
      <w:r>
        <w:t xml:space="preserve">reduces uncertainty;</w:t>
      </w:r>
    </w:p>
    <w:p>
      <w:pPr>
        <w:pStyle w:val="Compact"/>
        <w:numPr>
          <w:ilvl w:val="0"/>
          <w:numId w:val="1029"/>
        </w:numPr>
      </w:pPr>
      <w:r>
        <w:t xml:space="preserve">supports nonprovisional claims;</w:t>
      </w:r>
    </w:p>
    <w:p>
      <w:pPr>
        <w:pStyle w:val="Compact"/>
        <w:numPr>
          <w:ilvl w:val="0"/>
          <w:numId w:val="1029"/>
        </w:numPr>
      </w:pPr>
      <w:r>
        <w:t xml:space="preserve">improves investor and partner confidence.</w:t>
      </w:r>
    </w:p>
    <w:bookmarkEnd w:id="64"/>
    <w:bookmarkStart w:id="65" w:name="phase-2-coupon-fabrication"/>
    <w:p>
      <w:pPr>
        <w:pStyle w:val="Heading2"/>
      </w:pPr>
      <w:r>
        <w:t xml:space="preserve">Phase 2 — Coupon Fabrication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0"/>
        </w:numPr>
      </w:pPr>
      <w:r>
        <w:t xml:space="preserve">single-track DED trials;</w:t>
      </w:r>
    </w:p>
    <w:p>
      <w:pPr>
        <w:pStyle w:val="Compact"/>
        <w:numPr>
          <w:ilvl w:val="0"/>
          <w:numId w:val="1030"/>
        </w:numPr>
      </w:pPr>
      <w:r>
        <w:t xml:space="preserve">cubes;</w:t>
      </w:r>
    </w:p>
    <w:p>
      <w:pPr>
        <w:pStyle w:val="Compact"/>
        <w:numPr>
          <w:ilvl w:val="0"/>
          <w:numId w:val="1030"/>
        </w:numPr>
      </w:pPr>
      <w:r>
        <w:t xml:space="preserve">tensile bars;</w:t>
      </w:r>
    </w:p>
    <w:p>
      <w:pPr>
        <w:pStyle w:val="Compact"/>
        <w:numPr>
          <w:ilvl w:val="0"/>
          <w:numId w:val="1030"/>
        </w:numPr>
      </w:pPr>
      <w:r>
        <w:t xml:space="preserve">graded coupons;</w:t>
      </w:r>
    </w:p>
    <w:p>
      <w:pPr>
        <w:pStyle w:val="Compact"/>
        <w:numPr>
          <w:ilvl w:val="0"/>
          <w:numId w:val="1030"/>
        </w:numPr>
      </w:pPr>
      <w:r>
        <w:t xml:space="preserve">microscopy;</w:t>
      </w:r>
    </w:p>
    <w:p>
      <w:pPr>
        <w:pStyle w:val="Compact"/>
        <w:numPr>
          <w:ilvl w:val="0"/>
          <w:numId w:val="1030"/>
        </w:numPr>
      </w:pPr>
      <w:r>
        <w:t xml:space="preserve">hardness maps.</w:t>
      </w:r>
    </w:p>
    <w:p>
      <w:pPr>
        <w:pStyle w:val="FirstParagraph"/>
      </w:pPr>
      <w:r>
        <w:t xml:space="preserve">Commercial value:</w:t>
      </w:r>
    </w:p>
    <w:p>
      <w:pPr>
        <w:pStyle w:val="Compact"/>
        <w:numPr>
          <w:ilvl w:val="0"/>
          <w:numId w:val="1031"/>
        </w:numPr>
      </w:pPr>
      <w:r>
        <w:t xml:space="preserve">converts concept into material evidence;</w:t>
      </w:r>
    </w:p>
    <w:p>
      <w:pPr>
        <w:pStyle w:val="Compact"/>
        <w:numPr>
          <w:ilvl w:val="0"/>
          <w:numId w:val="1031"/>
        </w:numPr>
      </w:pPr>
      <w:r>
        <w:t xml:space="preserve">unlocks serious technical diligence.</w:t>
      </w:r>
    </w:p>
    <w:bookmarkEnd w:id="65"/>
    <w:bookmarkStart w:id="66" w:name="phase-3-prototype-components"/>
    <w:p>
      <w:pPr>
        <w:pStyle w:val="Heading2"/>
      </w:pPr>
      <w:r>
        <w:t xml:space="preserve">Phase 3 — Prototype Components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2"/>
        </w:numPr>
      </w:pPr>
      <w:r>
        <w:t xml:space="preserve">graded bracket;</w:t>
      </w:r>
    </w:p>
    <w:p>
      <w:pPr>
        <w:pStyle w:val="Compact"/>
        <w:numPr>
          <w:ilvl w:val="0"/>
          <w:numId w:val="1032"/>
        </w:numPr>
      </w:pPr>
      <w:r>
        <w:t xml:space="preserve">thermal panel;</w:t>
      </w:r>
    </w:p>
    <w:p>
      <w:pPr>
        <w:pStyle w:val="Compact"/>
        <w:numPr>
          <w:ilvl w:val="0"/>
          <w:numId w:val="1032"/>
        </w:numPr>
      </w:pPr>
      <w:r>
        <w:t xml:space="preserve">vibration-managed lattice;</w:t>
      </w:r>
    </w:p>
    <w:p>
      <w:pPr>
        <w:pStyle w:val="Compact"/>
        <w:numPr>
          <w:ilvl w:val="0"/>
          <w:numId w:val="1032"/>
        </w:numPr>
      </w:pPr>
      <w:r>
        <w:t xml:space="preserve">aerospace node demonstrator.</w:t>
      </w:r>
    </w:p>
    <w:p>
      <w:pPr>
        <w:pStyle w:val="FirstParagraph"/>
      </w:pPr>
      <w:r>
        <w:t xml:space="preserve">Commercial value:</w:t>
      </w:r>
    </w:p>
    <w:p>
      <w:pPr>
        <w:pStyle w:val="Compact"/>
        <w:numPr>
          <w:ilvl w:val="0"/>
          <w:numId w:val="1033"/>
        </w:numPr>
      </w:pPr>
      <w:r>
        <w:t xml:space="preserve">supports customer pilots;</w:t>
      </w:r>
    </w:p>
    <w:p>
      <w:pPr>
        <w:pStyle w:val="Compact"/>
        <w:numPr>
          <w:ilvl w:val="0"/>
          <w:numId w:val="1033"/>
        </w:numPr>
      </w:pPr>
      <w:r>
        <w:t xml:space="preserve">validates application-specific advantages.</w:t>
      </w:r>
    </w:p>
    <w:bookmarkEnd w:id="66"/>
    <w:bookmarkStart w:id="67" w:name="phase-4-qualification-and-licensing"/>
    <w:p>
      <w:pPr>
        <w:pStyle w:val="Heading2"/>
      </w:pPr>
      <w:r>
        <w:t xml:space="preserve">Phase 4 — Qualification and Licensing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34"/>
        </w:numPr>
      </w:pPr>
      <w:r>
        <w:t xml:space="preserve">repeatability data;</w:t>
      </w:r>
    </w:p>
    <w:p>
      <w:pPr>
        <w:pStyle w:val="Compact"/>
        <w:numPr>
          <w:ilvl w:val="0"/>
          <w:numId w:val="1034"/>
        </w:numPr>
      </w:pPr>
      <w:r>
        <w:t xml:space="preserve">fatigue/corrosion/thermal testing;</w:t>
      </w:r>
    </w:p>
    <w:p>
      <w:pPr>
        <w:pStyle w:val="Compact"/>
        <w:numPr>
          <w:ilvl w:val="0"/>
          <w:numId w:val="1034"/>
        </w:numPr>
      </w:pPr>
      <w:r>
        <w:t xml:space="preserve">DED parameter package;</w:t>
      </w:r>
    </w:p>
    <w:p>
      <w:pPr>
        <w:pStyle w:val="Compact"/>
        <w:numPr>
          <w:ilvl w:val="0"/>
          <w:numId w:val="1034"/>
        </w:numPr>
      </w:pPr>
      <w:r>
        <w:t xml:space="preserve">licensing deck;</w:t>
      </w:r>
    </w:p>
    <w:p>
      <w:pPr>
        <w:pStyle w:val="Compact"/>
        <w:numPr>
          <w:ilvl w:val="0"/>
          <w:numId w:val="1034"/>
        </w:numPr>
      </w:pPr>
      <w:r>
        <w:t xml:space="preserve">commercial partner LOIs.</w:t>
      </w:r>
    </w:p>
    <w:p>
      <w:pPr>
        <w:pStyle w:val="FirstParagraph"/>
      </w:pPr>
      <w:r>
        <w:t xml:space="preserve">Commercial value:</w:t>
      </w:r>
    </w:p>
    <w:p>
      <w:pPr>
        <w:pStyle w:val="Compact"/>
        <w:numPr>
          <w:ilvl w:val="0"/>
          <w:numId w:val="1035"/>
        </w:numPr>
      </w:pPr>
      <w:r>
        <w:t xml:space="preserve">enables licensing, joint development, or venture funding.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age-12-valuation-framework"/>
    <w:p>
      <w:pPr>
        <w:pStyle w:val="Heading1"/>
      </w:pPr>
      <w:r>
        <w:t xml:space="preserve">Page 12 — Valuation Framework</w:t>
      </w:r>
    </w:p>
    <w:p>
      <w:pPr>
        <w:pStyle w:val="FirstParagraph"/>
      </w:pPr>
      <w:r>
        <w:t xml:space="preserve">This technology should be valued as a staged deep-tech materials asset. A precise valuation is not possible before patent search, filing, modeling, coupon data, and partner validation. The correct method is a scenario-based valuation model.</w:t>
      </w:r>
    </w:p>
    <w:bookmarkStart w:id="69" w:name="valuation-drivers"/>
    <w:p>
      <w:pPr>
        <w:pStyle w:val="Heading2"/>
      </w:pPr>
      <w:r>
        <w:t xml:space="preserve">Valuation Drivers</w:t>
      </w:r>
    </w:p>
    <w:p>
      <w:pPr>
        <w:pStyle w:val="FirstParagraph"/>
      </w:pPr>
      <w:r>
        <w:t xml:space="preserve">Primary drivers:</w:t>
      </w:r>
    </w:p>
    <w:p>
      <w:pPr>
        <w:pStyle w:val="Compact"/>
        <w:numPr>
          <w:ilvl w:val="0"/>
          <w:numId w:val="1036"/>
        </w:numPr>
      </w:pPr>
      <w:r>
        <w:t xml:space="preserve">patent filing status;</w:t>
      </w:r>
    </w:p>
    <w:p>
      <w:pPr>
        <w:pStyle w:val="Compact"/>
        <w:numPr>
          <w:ilvl w:val="0"/>
          <w:numId w:val="1036"/>
        </w:numPr>
      </w:pPr>
      <w:r>
        <w:t xml:space="preserve">breadth and defensibility of claims;</w:t>
      </w:r>
    </w:p>
    <w:p>
      <w:pPr>
        <w:pStyle w:val="Compact"/>
        <w:numPr>
          <w:ilvl w:val="0"/>
          <w:numId w:val="1036"/>
        </w:numPr>
      </w:pPr>
      <w:r>
        <w:t xml:space="preserve">novelty over Al–Mg–Sc–Zr, Al–Ti, and graded DED prior art;</w:t>
      </w:r>
    </w:p>
    <w:p>
      <w:pPr>
        <w:pStyle w:val="Compact"/>
        <w:numPr>
          <w:ilvl w:val="0"/>
          <w:numId w:val="1036"/>
        </w:numPr>
      </w:pPr>
      <w:r>
        <w:t xml:space="preserve">coupon-level performance data;</w:t>
      </w:r>
    </w:p>
    <w:p>
      <w:pPr>
        <w:pStyle w:val="Compact"/>
        <w:numPr>
          <w:ilvl w:val="0"/>
          <w:numId w:val="1036"/>
        </w:numPr>
      </w:pPr>
      <w:r>
        <w:t xml:space="preserve">repeatable manufacturing process;</w:t>
      </w:r>
    </w:p>
    <w:p>
      <w:pPr>
        <w:pStyle w:val="Compact"/>
        <w:numPr>
          <w:ilvl w:val="0"/>
          <w:numId w:val="1036"/>
        </w:numPr>
      </w:pPr>
      <w:r>
        <w:t xml:space="preserve">partner interest;</w:t>
      </w:r>
    </w:p>
    <w:p>
      <w:pPr>
        <w:pStyle w:val="Compact"/>
        <w:numPr>
          <w:ilvl w:val="0"/>
          <w:numId w:val="1036"/>
        </w:numPr>
      </w:pPr>
      <w:r>
        <w:t xml:space="preserve">addressable use cases;</w:t>
      </w:r>
    </w:p>
    <w:p>
      <w:pPr>
        <w:pStyle w:val="Compact"/>
        <w:numPr>
          <w:ilvl w:val="0"/>
          <w:numId w:val="1036"/>
        </w:numPr>
      </w:pPr>
      <w:r>
        <w:t xml:space="preserve">ability to license feedstock, process, software, or components;</w:t>
      </w:r>
    </w:p>
    <w:p>
      <w:pPr>
        <w:pStyle w:val="Compact"/>
        <w:numPr>
          <w:ilvl w:val="0"/>
          <w:numId w:val="1036"/>
        </w:numPr>
      </w:pPr>
      <w:r>
        <w:t xml:space="preserve">regulatory/qualification pathway;</w:t>
      </w:r>
    </w:p>
    <w:p>
      <w:pPr>
        <w:pStyle w:val="Compact"/>
        <w:numPr>
          <w:ilvl w:val="0"/>
          <w:numId w:val="1036"/>
        </w:numPr>
      </w:pPr>
      <w:r>
        <w:t xml:space="preserve">cost and availability of Sc/Zr/Ti-bearing feedstock.</w:t>
      </w:r>
    </w:p>
    <w:bookmarkEnd w:id="69"/>
    <w:bookmarkStart w:id="70" w:name="what-has-value-now"/>
    <w:p>
      <w:pPr>
        <w:pStyle w:val="Heading2"/>
      </w:pPr>
      <w:r>
        <w:t xml:space="preserve">What Has Value Now</w:t>
      </w:r>
    </w:p>
    <w:p>
      <w:pPr>
        <w:pStyle w:val="FirstParagraph"/>
      </w:pPr>
      <w:r>
        <w:t xml:space="preserve">At the current stage, the main assets are:</w:t>
      </w:r>
    </w:p>
    <w:p>
      <w:pPr>
        <w:pStyle w:val="Compact"/>
        <w:numPr>
          <w:ilvl w:val="0"/>
          <w:numId w:val="1037"/>
        </w:numPr>
      </w:pPr>
      <w:r>
        <w:t xml:space="preserve">invention architecture;</w:t>
      </w:r>
    </w:p>
    <w:p>
      <w:pPr>
        <w:pStyle w:val="Compact"/>
        <w:numPr>
          <w:ilvl w:val="0"/>
          <w:numId w:val="1037"/>
        </w:numPr>
      </w:pPr>
      <w:r>
        <w:t xml:space="preserve">provisional-ready technical specification;</w:t>
      </w:r>
    </w:p>
    <w:p>
      <w:pPr>
        <w:pStyle w:val="Compact"/>
        <w:numPr>
          <w:ilvl w:val="0"/>
          <w:numId w:val="1037"/>
        </w:numPr>
      </w:pPr>
      <w:r>
        <w:t xml:space="preserve">claim strategy;</w:t>
      </w:r>
    </w:p>
    <w:p>
      <w:pPr>
        <w:pStyle w:val="Compact"/>
        <w:numPr>
          <w:ilvl w:val="0"/>
          <w:numId w:val="1037"/>
        </w:numPr>
      </w:pPr>
      <w:r>
        <w:t xml:space="preserve">composition family;</w:t>
      </w:r>
    </w:p>
    <w:p>
      <w:pPr>
        <w:pStyle w:val="Compact"/>
        <w:numPr>
          <w:ilvl w:val="0"/>
          <w:numId w:val="1037"/>
        </w:numPr>
      </w:pPr>
      <w:r>
        <w:t xml:space="preserve">meta-capability framework;</w:t>
      </w:r>
    </w:p>
    <w:p>
      <w:pPr>
        <w:pStyle w:val="Compact"/>
        <w:numPr>
          <w:ilvl w:val="0"/>
          <w:numId w:val="1037"/>
        </w:numPr>
      </w:pPr>
      <w:r>
        <w:t xml:space="preserve">programmable DED workflow;</w:t>
      </w:r>
    </w:p>
    <w:p>
      <w:pPr>
        <w:pStyle w:val="Compact"/>
        <w:numPr>
          <w:ilvl w:val="0"/>
          <w:numId w:val="1037"/>
        </w:numPr>
      </w:pPr>
      <w:r>
        <w:t xml:space="preserve">potential use-case portfolio.</w:t>
      </w:r>
    </w:p>
    <w:bookmarkEnd w:id="70"/>
    <w:bookmarkStart w:id="71" w:name="what-does-not-yet-have-full-value"/>
    <w:p>
      <w:pPr>
        <w:pStyle w:val="Heading2"/>
      </w:pPr>
      <w:r>
        <w:t xml:space="preserve">What Does Not Yet Have Full Value</w:t>
      </w:r>
    </w:p>
    <w:p>
      <w:pPr>
        <w:pStyle w:val="FirstParagraph"/>
      </w:pPr>
      <w:r>
        <w:t xml:space="preserve">The following still need validation:</w:t>
      </w:r>
    </w:p>
    <w:p>
      <w:pPr>
        <w:pStyle w:val="Compact"/>
        <w:numPr>
          <w:ilvl w:val="0"/>
          <w:numId w:val="1038"/>
        </w:numPr>
      </w:pPr>
      <w:r>
        <w:t xml:space="preserve">actual tensile properties;</w:t>
      </w:r>
    </w:p>
    <w:p>
      <w:pPr>
        <w:pStyle w:val="Compact"/>
        <w:numPr>
          <w:ilvl w:val="0"/>
          <w:numId w:val="1038"/>
        </w:numPr>
      </w:pPr>
      <w:r>
        <w:t xml:space="preserve">ductility;</w:t>
      </w:r>
    </w:p>
    <w:p>
      <w:pPr>
        <w:pStyle w:val="Compact"/>
        <w:numPr>
          <w:ilvl w:val="0"/>
          <w:numId w:val="1038"/>
        </w:numPr>
      </w:pPr>
      <w:r>
        <w:t xml:space="preserve">fatigue behavior;</w:t>
      </w:r>
    </w:p>
    <w:p>
      <w:pPr>
        <w:pStyle w:val="Compact"/>
        <w:numPr>
          <w:ilvl w:val="0"/>
          <w:numId w:val="1038"/>
        </w:numPr>
      </w:pPr>
      <w:r>
        <w:t xml:space="preserve">corrosion behavior;</w:t>
      </w:r>
    </w:p>
    <w:p>
      <w:pPr>
        <w:pStyle w:val="Compact"/>
        <w:numPr>
          <w:ilvl w:val="0"/>
          <w:numId w:val="1038"/>
        </w:numPr>
      </w:pPr>
      <w:r>
        <w:t xml:space="preserve">Ti-aluminide morphology control;</w:t>
      </w:r>
    </w:p>
    <w:p>
      <w:pPr>
        <w:pStyle w:val="Compact"/>
        <w:numPr>
          <w:ilvl w:val="0"/>
          <w:numId w:val="1038"/>
        </w:numPr>
      </w:pPr>
      <w:r>
        <w:t xml:space="preserve">Mg retention;</w:t>
      </w:r>
    </w:p>
    <w:p>
      <w:pPr>
        <w:pStyle w:val="Compact"/>
        <w:numPr>
          <w:ilvl w:val="0"/>
          <w:numId w:val="1038"/>
        </w:numPr>
      </w:pPr>
      <w:r>
        <w:t xml:space="preserve">Sc/Zr precipitation behavior;</w:t>
      </w:r>
    </w:p>
    <w:p>
      <w:pPr>
        <w:pStyle w:val="Compact"/>
        <w:numPr>
          <w:ilvl w:val="0"/>
          <w:numId w:val="1038"/>
        </w:numPr>
      </w:pPr>
      <w:r>
        <w:t xml:space="preserve">repeatable DED processing;</w:t>
      </w:r>
    </w:p>
    <w:p>
      <w:pPr>
        <w:pStyle w:val="Compact"/>
        <w:numPr>
          <w:ilvl w:val="0"/>
          <w:numId w:val="1038"/>
        </w:numPr>
      </w:pPr>
      <w:r>
        <w:t xml:space="preserve">customer adoption.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page-13-preliminary-valuation-scenarios"/>
    <w:p>
      <w:pPr>
        <w:pStyle w:val="Heading1"/>
      </w:pPr>
      <w:r>
        <w:t xml:space="preserve">Page 13 — Preliminary Valuation Scenarios</w:t>
      </w:r>
    </w:p>
    <w:p>
      <w:pPr>
        <w:pStyle w:val="FirstParagraph"/>
      </w:pPr>
      <w:r>
        <w:t xml:space="preserve">The following ranges are preliminary, scenario-based, and not financial advice. They assume ownership/control of the relevant intellectual-property package and no major prior-art blockage.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Potential Asset Value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+ internal disclosure only</w:t>
            </w:r>
          </w:p>
        </w:tc>
        <w:tc>
          <w:tcPr/>
          <w:p>
            <w:pPr>
              <w:pStyle w:val="Compact"/>
            </w:pPr>
            <w:r>
              <w:t xml:space="preserve">Technical narrative, no filing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$10k–$100k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Provisional filed</w:t>
            </w:r>
          </w:p>
        </w:tc>
        <w:tc>
          <w:tcPr/>
          <w:p>
            <w:pPr>
              <w:pStyle w:val="Compact"/>
            </w:pPr>
            <w:r>
              <w:t xml:space="preserve">Complete provisional, figures, claims, counsel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$50k–$500k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provisional + credible prior-art position</w:t>
            </w:r>
          </w:p>
        </w:tc>
        <w:tc>
          <w:tcPr/>
          <w:p>
            <w:pPr>
              <w:pStyle w:val="Compact"/>
            </w:pPr>
            <w:r>
              <w:t xml:space="preserve">Counsel-shaped filing, search supports novelty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$250k–$1.5M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 package complete</w:t>
            </w:r>
          </w:p>
        </w:tc>
        <w:tc>
          <w:tcPr/>
          <w:p>
            <w:pPr>
              <w:pStyle w:val="Compact"/>
            </w:pPr>
            <w:r>
              <w:t xml:space="preserve">CALPHAD/FEA/process simulations support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$500k–$3M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coupons validated</w:t>
            </w:r>
          </w:p>
        </w:tc>
        <w:tc>
          <w:tcPr/>
          <w:p>
            <w:pPr>
              <w:pStyle w:val="Compact"/>
            </w:pPr>
            <w:r>
              <w:t xml:space="preserve">Microstructure + hardness + chemistry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$1M–$7.5M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Tensile/thermal data validates advantage</w:t>
            </w:r>
          </w:p>
        </w:tc>
        <w:tc>
          <w:tcPr/>
          <w:p>
            <w:pPr>
              <w:pStyle w:val="Compact"/>
            </w:pPr>
            <w:r>
              <w:t xml:space="preserve">Repeatable mechanical data with clear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$5M–$25M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parts + partner interest</w:t>
            </w:r>
          </w:p>
        </w:tc>
        <w:tc>
          <w:tcPr/>
          <w:p>
            <w:pPr>
              <w:pStyle w:val="Compact"/>
            </w:pPr>
            <w:r>
              <w:t xml:space="preserve">Demonstrators, LOIs, sponsored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$15M–$75M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 process + defensible patent family</w:t>
            </w:r>
          </w:p>
        </w:tc>
        <w:tc>
          <w:tcPr/>
          <w:p>
            <w:pPr>
              <w:pStyle w:val="Compact"/>
            </w:pPr>
            <w:r>
              <w:t xml:space="preserve">Repeatable process, patents pending/allowed, customer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$50M–$250M+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platform company</w:t>
            </w:r>
          </w:p>
        </w:tc>
        <w:tc>
          <w:tcPr/>
          <w:p>
            <w:pPr>
              <w:pStyle w:val="Compact"/>
            </w:pPr>
            <w:r>
              <w:t xml:space="preserve">Revenue, licensing, production relationships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multiple or strategic acquisition basis</w:t>
            </w:r>
          </w:p>
        </w:tc>
      </w:tr>
    </w:tbl>
    <w:bookmarkStart w:id="73" w:name="honest-interpretation"/>
    <w:p>
      <w:pPr>
        <w:pStyle w:val="Heading2"/>
      </w:pPr>
      <w:r>
        <w:t xml:space="preserve">Honest Interpretation</w:t>
      </w:r>
    </w:p>
    <w:p>
      <w:pPr>
        <w:pStyle w:val="FirstParagraph"/>
      </w:pPr>
      <w:r>
        <w:t xml:space="preserve">At the current stage, a disciplined valuation is likely closer to the early bands unless patents have already been filed and outside technical validation exists.</w:t>
      </w:r>
    </w:p>
    <w:p>
      <w:pPr>
        <w:pStyle w:val="BodyText"/>
      </w:pPr>
      <w:r>
        <w:t xml:space="preserve">The most meaningful valuation inflection points are:</w:t>
      </w:r>
    </w:p>
    <w:p>
      <w:pPr>
        <w:pStyle w:val="Compact"/>
        <w:numPr>
          <w:ilvl w:val="0"/>
          <w:numId w:val="1039"/>
        </w:numPr>
      </w:pPr>
      <w:r>
        <w:t xml:space="preserve">provisional filed;</w:t>
      </w:r>
    </w:p>
    <w:p>
      <w:pPr>
        <w:pStyle w:val="Compact"/>
        <w:numPr>
          <w:ilvl w:val="0"/>
          <w:numId w:val="1039"/>
        </w:numPr>
      </w:pPr>
      <w:r>
        <w:t xml:space="preserve">prior-art search clean enough to proceed;</w:t>
      </w:r>
    </w:p>
    <w:p>
      <w:pPr>
        <w:pStyle w:val="Compact"/>
        <w:numPr>
          <w:ilvl w:val="0"/>
          <w:numId w:val="1039"/>
        </w:numPr>
      </w:pPr>
      <w:r>
        <w:t xml:space="preserve">first successful powder/feed/process validation;</w:t>
      </w:r>
    </w:p>
    <w:p>
      <w:pPr>
        <w:pStyle w:val="Compact"/>
        <w:numPr>
          <w:ilvl w:val="0"/>
          <w:numId w:val="1039"/>
        </w:numPr>
      </w:pPr>
      <w:r>
        <w:t xml:space="preserve">microstructure proves dispersed Ti-aluminide control;</w:t>
      </w:r>
    </w:p>
    <w:p>
      <w:pPr>
        <w:pStyle w:val="Compact"/>
        <w:numPr>
          <w:ilvl w:val="0"/>
          <w:numId w:val="1039"/>
        </w:numPr>
      </w:pPr>
      <w:r>
        <w:t xml:space="preserve">tensile and thermal data show superiority in at least one valuable category;</w:t>
      </w:r>
    </w:p>
    <w:p>
      <w:pPr>
        <w:pStyle w:val="Compact"/>
        <w:numPr>
          <w:ilvl w:val="0"/>
          <w:numId w:val="1039"/>
        </w:numPr>
      </w:pPr>
      <w:r>
        <w:t xml:space="preserve">a credible partner signs an LOI, JDA, or sponsored research agreement.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page-14-licensing-revenue-model"/>
    <w:p>
      <w:pPr>
        <w:pStyle w:val="Heading1"/>
      </w:pPr>
      <w:r>
        <w:t xml:space="preserve">Page 14 — Licensing Revenue Model</w:t>
      </w:r>
    </w:p>
    <w:p>
      <w:pPr>
        <w:pStyle w:val="FirstParagraph"/>
      </w:pPr>
      <w:r>
        <w:t xml:space="preserve">The platform can support several revenue models.</w:t>
      </w:r>
    </w:p>
    <w:bookmarkStart w:id="75" w:name="model-a-patent-license"/>
    <w:p>
      <w:pPr>
        <w:pStyle w:val="Heading2"/>
      </w:pPr>
      <w:r>
        <w:t xml:space="preserve">Model A — Patent License</w:t>
      </w:r>
    </w:p>
    <w:p>
      <w:pPr>
        <w:pStyle w:val="FirstParagraph"/>
      </w:pPr>
      <w:r>
        <w:t xml:space="preserve">License the composition family and programmable zoning claims to materials producers, AM companies, or aerospace suppliers.</w:t>
      </w:r>
    </w:p>
    <w:p>
      <w:pPr>
        <w:pStyle w:val="BodyText"/>
      </w:pPr>
      <w:r>
        <w:t xml:space="preserve">Possible economics:</w:t>
      </w:r>
    </w:p>
    <w:p>
      <w:pPr>
        <w:pStyle w:val="Compact"/>
        <w:numPr>
          <w:ilvl w:val="0"/>
          <w:numId w:val="1040"/>
        </w:numPr>
      </w:pPr>
      <w:r>
        <w:t xml:space="preserve">upfront license fee;</w:t>
      </w:r>
    </w:p>
    <w:p>
      <w:pPr>
        <w:pStyle w:val="Compact"/>
        <w:numPr>
          <w:ilvl w:val="0"/>
          <w:numId w:val="1040"/>
        </w:numPr>
      </w:pPr>
      <w:r>
        <w:t xml:space="preserve">annual minimum royalties;</w:t>
      </w:r>
    </w:p>
    <w:p>
      <w:pPr>
        <w:pStyle w:val="Compact"/>
        <w:numPr>
          <w:ilvl w:val="0"/>
          <w:numId w:val="1040"/>
        </w:numPr>
      </w:pPr>
      <w:r>
        <w:t xml:space="preserve">running royalty on powder, printed parts, or process use;</w:t>
      </w:r>
    </w:p>
    <w:p>
      <w:pPr>
        <w:pStyle w:val="Compact"/>
        <w:numPr>
          <w:ilvl w:val="0"/>
          <w:numId w:val="1040"/>
        </w:numPr>
      </w:pPr>
      <w:r>
        <w:t xml:space="preserve">field-specific exclusivity premium.</w:t>
      </w:r>
    </w:p>
    <w:p>
      <w:pPr>
        <w:pStyle w:val="FirstParagraph"/>
      </w:pPr>
      <w:r>
        <w:t xml:space="preserve">Illustrative royalty range:</w:t>
      </w:r>
    </w:p>
    <w:p>
      <w:pPr>
        <w:pStyle w:val="Compact"/>
        <w:numPr>
          <w:ilvl w:val="0"/>
          <w:numId w:val="1041"/>
        </w:numPr>
      </w:pPr>
      <w:r>
        <w:t xml:space="preserve">1%–3% for broad process use;</w:t>
      </w:r>
    </w:p>
    <w:p>
      <w:pPr>
        <w:pStyle w:val="Compact"/>
        <w:numPr>
          <w:ilvl w:val="0"/>
          <w:numId w:val="1041"/>
        </w:numPr>
      </w:pPr>
      <w:r>
        <w:t xml:space="preserve">3%–6% for specialized high-value aerospace/defense parts;</w:t>
      </w:r>
    </w:p>
    <w:p>
      <w:pPr>
        <w:pStyle w:val="Compact"/>
        <w:numPr>
          <w:ilvl w:val="0"/>
          <w:numId w:val="1041"/>
        </w:numPr>
      </w:pPr>
      <w:r>
        <w:t xml:space="preserve">higher effective economics possible if bundled with proprietary feedstock or software.</w:t>
      </w:r>
    </w:p>
    <w:bookmarkEnd w:id="75"/>
    <w:bookmarkStart w:id="76" w:name="model-b-feedstock-package"/>
    <w:p>
      <w:pPr>
        <w:pStyle w:val="Heading2"/>
      </w:pPr>
      <w:r>
        <w:t xml:space="preserve">Model B — Feedstock Package</w:t>
      </w:r>
    </w:p>
    <w:p>
      <w:pPr>
        <w:pStyle w:val="FirstParagraph"/>
      </w:pPr>
      <w:r>
        <w:t xml:space="preserve">Sell or license a two-feed powder package:</w:t>
      </w:r>
    </w:p>
    <w:p>
      <w:pPr>
        <w:pStyle w:val="Compact"/>
        <w:numPr>
          <w:ilvl w:val="0"/>
          <w:numId w:val="1042"/>
        </w:numPr>
      </w:pPr>
      <w:r>
        <w:t xml:space="preserve">Al–Mg–Sc–Zr master powder;</w:t>
      </w:r>
    </w:p>
    <w:p>
      <w:pPr>
        <w:pStyle w:val="Compact"/>
        <w:numPr>
          <w:ilvl w:val="0"/>
          <w:numId w:val="1042"/>
        </w:numPr>
      </w:pPr>
      <w:r>
        <w:t xml:space="preserve">Ti feedstock;</w:t>
      </w:r>
    </w:p>
    <w:p>
      <w:pPr>
        <w:pStyle w:val="Compact"/>
        <w:numPr>
          <w:ilvl w:val="0"/>
          <w:numId w:val="1042"/>
        </w:numPr>
      </w:pPr>
      <w:r>
        <w:t xml:space="preserve">certified feed ratios;</w:t>
      </w:r>
    </w:p>
    <w:p>
      <w:pPr>
        <w:pStyle w:val="Compact"/>
        <w:numPr>
          <w:ilvl w:val="0"/>
          <w:numId w:val="1042"/>
        </w:numPr>
      </w:pPr>
      <w:r>
        <w:t xml:space="preserve">heat-treatment guidance.</w:t>
      </w:r>
    </w:p>
    <w:p>
      <w:pPr>
        <w:pStyle w:val="FirstParagraph"/>
      </w:pPr>
      <w:r>
        <w:t xml:space="preserve">Revenue basis:</w:t>
      </w:r>
    </w:p>
    <w:p>
      <w:pPr>
        <w:pStyle w:val="Compact"/>
        <w:numPr>
          <w:ilvl w:val="0"/>
          <w:numId w:val="1043"/>
        </w:numPr>
      </w:pPr>
      <w:r>
        <w:t xml:space="preserve">powder margin;</w:t>
      </w:r>
    </w:p>
    <w:p>
      <w:pPr>
        <w:pStyle w:val="Compact"/>
        <w:numPr>
          <w:ilvl w:val="0"/>
          <w:numId w:val="1043"/>
        </w:numPr>
      </w:pPr>
      <w:r>
        <w:t xml:space="preserve">certified feedstock premium;</w:t>
      </w:r>
    </w:p>
    <w:p>
      <w:pPr>
        <w:pStyle w:val="Compact"/>
        <w:numPr>
          <w:ilvl w:val="0"/>
          <w:numId w:val="1043"/>
        </w:numPr>
      </w:pPr>
      <w:r>
        <w:t xml:space="preserve">quality-control premium.</w:t>
      </w:r>
    </w:p>
    <w:bookmarkEnd w:id="76"/>
    <w:bookmarkStart w:id="77" w:name="model-c-process-recipe-license"/>
    <w:p>
      <w:pPr>
        <w:pStyle w:val="Heading2"/>
      </w:pPr>
      <w:r>
        <w:t xml:space="preserve">Model C — Process Recipe License</w:t>
      </w:r>
    </w:p>
    <w:p>
      <w:pPr>
        <w:pStyle w:val="FirstParagraph"/>
      </w:pPr>
      <w:r>
        <w:t xml:space="preserve">License DED build recipes to machine operators.</w:t>
      </w:r>
    </w:p>
    <w:p>
      <w:pPr>
        <w:pStyle w:val="BodyText"/>
      </w:pPr>
      <w:r>
        <w:t xml:space="preserve">Revenue basis:</w:t>
      </w:r>
    </w:p>
    <w:p>
      <w:pPr>
        <w:pStyle w:val="Compact"/>
        <w:numPr>
          <w:ilvl w:val="0"/>
          <w:numId w:val="1044"/>
        </w:numPr>
      </w:pPr>
      <w:r>
        <w:t xml:space="preserve">per-machine license;</w:t>
      </w:r>
    </w:p>
    <w:p>
      <w:pPr>
        <w:pStyle w:val="Compact"/>
        <w:numPr>
          <w:ilvl w:val="0"/>
          <w:numId w:val="1044"/>
        </w:numPr>
      </w:pPr>
      <w:r>
        <w:t xml:space="preserve">per-part license;</w:t>
      </w:r>
    </w:p>
    <w:p>
      <w:pPr>
        <w:pStyle w:val="Compact"/>
        <w:numPr>
          <w:ilvl w:val="0"/>
          <w:numId w:val="1044"/>
        </w:numPr>
      </w:pPr>
      <w:r>
        <w:t xml:space="preserve">annual subscription;</w:t>
      </w:r>
    </w:p>
    <w:p>
      <w:pPr>
        <w:pStyle w:val="Compact"/>
        <w:numPr>
          <w:ilvl w:val="0"/>
          <w:numId w:val="1044"/>
        </w:numPr>
      </w:pPr>
      <w:r>
        <w:t xml:space="preserve">qualification package fee.</w:t>
      </w:r>
    </w:p>
    <w:bookmarkEnd w:id="77"/>
    <w:bookmarkStart w:id="78" w:name="model-d-materials-compiler-software"/>
    <w:p>
      <w:pPr>
        <w:pStyle w:val="Heading2"/>
      </w:pPr>
      <w:r>
        <w:t xml:space="preserve">Model D — Materials Compiler Software</w:t>
      </w:r>
    </w:p>
    <w:p>
      <w:pPr>
        <w:pStyle w:val="FirstParagraph"/>
      </w:pPr>
      <w:r>
        <w:t xml:space="preserve">License software converting property maps to feed and process commands.</w:t>
      </w:r>
    </w:p>
    <w:p>
      <w:pPr>
        <w:pStyle w:val="BodyText"/>
      </w:pPr>
      <w:r>
        <w:t xml:space="preserve">Revenue basis:</w:t>
      </w:r>
    </w:p>
    <w:p>
      <w:pPr>
        <w:pStyle w:val="Compact"/>
        <w:numPr>
          <w:ilvl w:val="0"/>
          <w:numId w:val="1045"/>
        </w:numPr>
      </w:pPr>
      <w:r>
        <w:t xml:space="preserve">software subscription;</w:t>
      </w:r>
    </w:p>
    <w:p>
      <w:pPr>
        <w:pStyle w:val="Compact"/>
        <w:numPr>
          <w:ilvl w:val="0"/>
          <w:numId w:val="1045"/>
        </w:numPr>
      </w:pPr>
      <w:r>
        <w:t xml:space="preserve">per-seat license;</w:t>
      </w:r>
    </w:p>
    <w:p>
      <w:pPr>
        <w:pStyle w:val="Compact"/>
        <w:numPr>
          <w:ilvl w:val="0"/>
          <w:numId w:val="1045"/>
        </w:numPr>
      </w:pPr>
      <w:r>
        <w:t xml:space="preserve">per-build licensing;</w:t>
      </w:r>
    </w:p>
    <w:p>
      <w:pPr>
        <w:pStyle w:val="Compact"/>
        <w:numPr>
          <w:ilvl w:val="0"/>
          <w:numId w:val="1045"/>
        </w:numPr>
      </w:pPr>
      <w:r>
        <w:t xml:space="preserve">OEM integration fee.</w:t>
      </w:r>
    </w:p>
    <w:bookmarkEnd w:id="78"/>
    <w:bookmarkStart w:id="79" w:name="model-e-component-production"/>
    <w:p>
      <w:pPr>
        <w:pStyle w:val="Heading2"/>
      </w:pPr>
      <w:r>
        <w:t xml:space="preserve">Model E — Component Production</w:t>
      </w:r>
    </w:p>
    <w:p>
      <w:pPr>
        <w:pStyle w:val="FirstParagraph"/>
      </w:pPr>
      <w:r>
        <w:t xml:space="preserve">Produce and sell high-performance components directly or through manufacturing partners.</w:t>
      </w:r>
    </w:p>
    <w:p>
      <w:pPr>
        <w:pStyle w:val="BodyText"/>
      </w:pPr>
      <w:r>
        <w:t xml:space="preserve">Revenue basis:</w:t>
      </w:r>
    </w:p>
    <w:p>
      <w:pPr>
        <w:pStyle w:val="Compact"/>
        <w:numPr>
          <w:ilvl w:val="0"/>
          <w:numId w:val="1046"/>
        </w:numPr>
      </w:pPr>
      <w:r>
        <w:t xml:space="preserve">part margin;</w:t>
      </w:r>
    </w:p>
    <w:p>
      <w:pPr>
        <w:pStyle w:val="Compact"/>
        <w:numPr>
          <w:ilvl w:val="0"/>
          <w:numId w:val="1046"/>
        </w:numPr>
      </w:pPr>
      <w:r>
        <w:t xml:space="preserve">aerospace qualification premium;</w:t>
      </w:r>
    </w:p>
    <w:p>
      <w:pPr>
        <w:pStyle w:val="Compact"/>
        <w:numPr>
          <w:ilvl w:val="0"/>
          <w:numId w:val="1046"/>
        </w:numPr>
      </w:pPr>
      <w:r>
        <w:t xml:space="preserve">recurring production contracts.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page-15-risk-adjusted-valuation-logic"/>
    <w:p>
      <w:pPr>
        <w:pStyle w:val="Heading1"/>
      </w:pPr>
      <w:r>
        <w:t xml:space="preserve">Page 15 — Risk-Adjusted Valuation Logic</w:t>
      </w:r>
    </w:p>
    <w:bookmarkStart w:id="81" w:name="technical-risk"/>
    <w:p>
      <w:pPr>
        <w:pStyle w:val="Heading2"/>
      </w:pPr>
      <w:r>
        <w:t xml:space="preserve">Technical Risk</w:t>
      </w:r>
    </w:p>
    <w:p>
      <w:pPr>
        <w:pStyle w:val="FirstParagraph"/>
      </w:pPr>
      <w:r>
        <w:t xml:space="preserve">Main risks:</w:t>
      </w:r>
    </w:p>
    <w:p>
      <w:pPr>
        <w:pStyle w:val="Compact"/>
        <w:numPr>
          <w:ilvl w:val="0"/>
          <w:numId w:val="1047"/>
        </w:numPr>
      </w:pPr>
      <w:r>
        <w:t xml:space="preserve">coarse Ti-aluminide formation;</w:t>
      </w:r>
    </w:p>
    <w:p>
      <w:pPr>
        <w:pStyle w:val="Compact"/>
        <w:numPr>
          <w:ilvl w:val="0"/>
          <w:numId w:val="1047"/>
        </w:numPr>
      </w:pPr>
      <w:r>
        <w:t xml:space="preserve">retained Ti cores;</w:t>
      </w:r>
    </w:p>
    <w:p>
      <w:pPr>
        <w:pStyle w:val="Compact"/>
        <w:numPr>
          <w:ilvl w:val="0"/>
          <w:numId w:val="1047"/>
        </w:numPr>
      </w:pPr>
      <w:r>
        <w:t xml:space="preserve">Mg volatility;</w:t>
      </w:r>
    </w:p>
    <w:p>
      <w:pPr>
        <w:pStyle w:val="Compact"/>
        <w:numPr>
          <w:ilvl w:val="0"/>
          <w:numId w:val="1047"/>
        </w:numPr>
      </w:pPr>
      <w:r>
        <w:t xml:space="preserve">Sc/Zr precipitation underperformance;</w:t>
      </w:r>
    </w:p>
    <w:p>
      <w:pPr>
        <w:pStyle w:val="Compact"/>
        <w:numPr>
          <w:ilvl w:val="0"/>
          <w:numId w:val="1047"/>
        </w:numPr>
      </w:pPr>
      <w:r>
        <w:t xml:space="preserve">porosity;</w:t>
      </w:r>
    </w:p>
    <w:p>
      <w:pPr>
        <w:pStyle w:val="Compact"/>
        <w:numPr>
          <w:ilvl w:val="0"/>
          <w:numId w:val="1047"/>
        </w:numPr>
      </w:pPr>
      <w:r>
        <w:t xml:space="preserve">low ductility;</w:t>
      </w:r>
    </w:p>
    <w:p>
      <w:pPr>
        <w:pStyle w:val="Compact"/>
        <w:numPr>
          <w:ilvl w:val="0"/>
          <w:numId w:val="1047"/>
        </w:numPr>
      </w:pPr>
      <w:r>
        <w:t xml:space="preserve">poor fatigue performance;</w:t>
      </w:r>
    </w:p>
    <w:p>
      <w:pPr>
        <w:pStyle w:val="Compact"/>
        <w:numPr>
          <w:ilvl w:val="0"/>
          <w:numId w:val="1047"/>
        </w:numPr>
      </w:pPr>
      <w:r>
        <w:t xml:space="preserve">corrosion issues;</w:t>
      </w:r>
    </w:p>
    <w:p>
      <w:pPr>
        <w:pStyle w:val="Compact"/>
        <w:numPr>
          <w:ilvl w:val="0"/>
          <w:numId w:val="1047"/>
        </w:numPr>
      </w:pPr>
      <w:r>
        <w:t xml:space="preserve">high feedstock cost.</w:t>
      </w:r>
    </w:p>
    <w:p>
      <w:pPr>
        <w:pStyle w:val="FirstParagraph"/>
      </w:pPr>
      <w:r>
        <w:t xml:space="preserve">Risk impact:</w:t>
      </w:r>
    </w:p>
    <w:p>
      <w:pPr>
        <w:pStyle w:val="Compact"/>
        <w:numPr>
          <w:ilvl w:val="0"/>
          <w:numId w:val="1048"/>
        </w:numPr>
      </w:pPr>
      <w:r>
        <w:t xml:space="preserve">high before coupon validation;</w:t>
      </w:r>
    </w:p>
    <w:p>
      <w:pPr>
        <w:pStyle w:val="Compact"/>
        <w:numPr>
          <w:ilvl w:val="0"/>
          <w:numId w:val="1048"/>
        </w:numPr>
      </w:pPr>
      <w:r>
        <w:t xml:space="preserve">moderate after reproducible microstructure;</w:t>
      </w:r>
    </w:p>
    <w:p>
      <w:pPr>
        <w:pStyle w:val="Compact"/>
        <w:numPr>
          <w:ilvl w:val="0"/>
          <w:numId w:val="1048"/>
        </w:numPr>
      </w:pPr>
      <w:r>
        <w:t xml:space="preserve">lower after tensile/fatigue/thermal data.</w:t>
      </w:r>
    </w:p>
    <w:bookmarkEnd w:id="81"/>
    <w:bookmarkStart w:id="82" w:name="patent-risk"/>
    <w:p>
      <w:pPr>
        <w:pStyle w:val="Heading2"/>
      </w:pPr>
      <w:r>
        <w:t xml:space="preserve">Patent Risk</w:t>
      </w:r>
    </w:p>
    <w:p>
      <w:pPr>
        <w:pStyle w:val="FirstParagraph"/>
      </w:pPr>
      <w:r>
        <w:t xml:space="preserve">Main risks:</w:t>
      </w:r>
    </w:p>
    <w:p>
      <w:pPr>
        <w:pStyle w:val="Compact"/>
        <w:numPr>
          <w:ilvl w:val="0"/>
          <w:numId w:val="1049"/>
        </w:numPr>
      </w:pPr>
      <w:r>
        <w:t xml:space="preserve">prior Al–Mg–Sc–Zr alloy art;</w:t>
      </w:r>
    </w:p>
    <w:p>
      <w:pPr>
        <w:pStyle w:val="Compact"/>
        <w:numPr>
          <w:ilvl w:val="0"/>
          <w:numId w:val="1049"/>
        </w:numPr>
      </w:pPr>
      <w:r>
        <w:t xml:space="preserve">prior Al–Ti reactive composite art;</w:t>
      </w:r>
    </w:p>
    <w:p>
      <w:pPr>
        <w:pStyle w:val="Compact"/>
        <w:numPr>
          <w:ilvl w:val="0"/>
          <w:numId w:val="1049"/>
        </w:numPr>
      </w:pPr>
      <w:r>
        <w:t xml:space="preserve">prior graded DED art;</w:t>
      </w:r>
    </w:p>
    <w:p>
      <w:pPr>
        <w:pStyle w:val="Compact"/>
        <w:numPr>
          <w:ilvl w:val="0"/>
          <w:numId w:val="1049"/>
        </w:numPr>
      </w:pPr>
      <w:r>
        <w:t xml:space="preserve">prior closed-loop DED control art.</w:t>
      </w:r>
    </w:p>
    <w:p>
      <w:pPr>
        <w:pStyle w:val="FirstParagraph"/>
      </w:pPr>
      <w:r>
        <w:t xml:space="preserve">Risk mitigation:</w:t>
      </w:r>
    </w:p>
    <w:p>
      <w:pPr>
        <w:pStyle w:val="Compact"/>
        <w:numPr>
          <w:ilvl w:val="0"/>
          <w:numId w:val="1050"/>
        </w:numPr>
      </w:pPr>
      <w:r>
        <w:t xml:space="preserve">emphasize integration;</w:t>
      </w:r>
    </w:p>
    <w:p>
      <w:pPr>
        <w:pStyle w:val="Compact"/>
        <w:numPr>
          <w:ilvl w:val="0"/>
          <w:numId w:val="1050"/>
        </w:numPr>
      </w:pPr>
      <w:r>
        <w:t xml:space="preserve">claim Prime composition and ranges;</w:t>
      </w:r>
    </w:p>
    <w:p>
      <w:pPr>
        <w:pStyle w:val="Compact"/>
        <w:numPr>
          <w:ilvl w:val="0"/>
          <w:numId w:val="1050"/>
        </w:numPr>
      </w:pPr>
      <w:r>
        <w:t xml:space="preserve">claim monolithic zoning;</w:t>
      </w:r>
    </w:p>
    <w:p>
      <w:pPr>
        <w:pStyle w:val="Compact"/>
        <w:numPr>
          <w:ilvl w:val="0"/>
          <w:numId w:val="1050"/>
        </w:numPr>
      </w:pPr>
      <w:r>
        <w:t xml:space="preserve">claim morphology control;</w:t>
      </w:r>
    </w:p>
    <w:p>
      <w:pPr>
        <w:pStyle w:val="Compact"/>
        <w:numPr>
          <w:ilvl w:val="0"/>
          <w:numId w:val="1050"/>
        </w:numPr>
      </w:pPr>
      <w:r>
        <w:t xml:space="preserve">claim property-map-to-feed-map hardware control;</w:t>
      </w:r>
    </w:p>
    <w:p>
      <w:pPr>
        <w:pStyle w:val="Compact"/>
        <w:numPr>
          <w:ilvl w:val="0"/>
          <w:numId w:val="1050"/>
        </w:numPr>
      </w:pPr>
      <w:r>
        <w:t xml:space="preserve">develop continuation families.</w:t>
      </w:r>
    </w:p>
    <w:bookmarkEnd w:id="82"/>
    <w:bookmarkStart w:id="83" w:name="market-risk"/>
    <w:p>
      <w:pPr>
        <w:pStyle w:val="Heading2"/>
      </w:pPr>
      <w:r>
        <w:t xml:space="preserve">Market Risk</w:t>
      </w:r>
    </w:p>
    <w:p>
      <w:pPr>
        <w:pStyle w:val="FirstParagraph"/>
      </w:pPr>
      <w:r>
        <w:t xml:space="preserve">Main risks:</w:t>
      </w:r>
    </w:p>
    <w:p>
      <w:pPr>
        <w:pStyle w:val="Compact"/>
        <w:numPr>
          <w:ilvl w:val="0"/>
          <w:numId w:val="1051"/>
        </w:numPr>
      </w:pPr>
      <w:r>
        <w:t xml:space="preserve">qualification burden;</w:t>
      </w:r>
    </w:p>
    <w:p>
      <w:pPr>
        <w:pStyle w:val="Compact"/>
        <w:numPr>
          <w:ilvl w:val="0"/>
          <w:numId w:val="1051"/>
        </w:numPr>
      </w:pPr>
      <w:r>
        <w:t xml:space="preserve">long aerospace adoption cycles;</w:t>
      </w:r>
    </w:p>
    <w:p>
      <w:pPr>
        <w:pStyle w:val="Compact"/>
        <w:numPr>
          <w:ilvl w:val="0"/>
          <w:numId w:val="1051"/>
        </w:numPr>
      </w:pPr>
      <w:r>
        <w:t xml:space="preserve">cost of Sc and Zr;</w:t>
      </w:r>
    </w:p>
    <w:p>
      <w:pPr>
        <w:pStyle w:val="Compact"/>
        <w:numPr>
          <w:ilvl w:val="0"/>
          <w:numId w:val="1051"/>
        </w:numPr>
      </w:pPr>
      <w:r>
        <w:t xml:space="preserve">machine compatibility;</w:t>
      </w:r>
    </w:p>
    <w:p>
      <w:pPr>
        <w:pStyle w:val="Compact"/>
        <w:numPr>
          <w:ilvl w:val="0"/>
          <w:numId w:val="1051"/>
        </w:numPr>
      </w:pPr>
      <w:r>
        <w:t xml:space="preserve">competition from established alloys.</w:t>
      </w:r>
    </w:p>
    <w:p>
      <w:pPr>
        <w:pStyle w:val="FirstParagraph"/>
      </w:pPr>
      <w:r>
        <w:t xml:space="preserve">Risk mitigation:</w:t>
      </w:r>
    </w:p>
    <w:p>
      <w:pPr>
        <w:pStyle w:val="Compact"/>
        <w:numPr>
          <w:ilvl w:val="0"/>
          <w:numId w:val="1052"/>
        </w:numPr>
      </w:pPr>
      <w:r>
        <w:t xml:space="preserve">start with non-flight robotic, thermal, and industrial parts;</w:t>
      </w:r>
    </w:p>
    <w:p>
      <w:pPr>
        <w:pStyle w:val="Compact"/>
        <w:numPr>
          <w:ilvl w:val="0"/>
          <w:numId w:val="1052"/>
        </w:numPr>
      </w:pPr>
      <w:r>
        <w:t xml:space="preserve">demonstrate value in high-load brackets and thermal housings;</w:t>
      </w:r>
    </w:p>
    <w:p>
      <w:pPr>
        <w:pStyle w:val="Compact"/>
        <w:numPr>
          <w:ilvl w:val="0"/>
          <w:numId w:val="1052"/>
        </w:numPr>
      </w:pPr>
      <w:r>
        <w:t xml:space="preserve">license process rather than build capital-heavy production first.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X84a4b37397b3334104d314504673b2cf5167c8d"/>
    <w:p>
      <w:pPr>
        <w:pStyle w:val="Heading1"/>
      </w:pPr>
      <w:r>
        <w:t xml:space="preserve">Page 16 — Potential Strategic Buyers / Partners</w:t>
      </w:r>
    </w:p>
    <w:p>
      <w:pPr>
        <w:pStyle w:val="FirstParagraph"/>
      </w:pPr>
      <w:r>
        <w:t xml:space="preserve">Potential partner categories:</w:t>
      </w:r>
    </w:p>
    <w:bookmarkStart w:id="85" w:name="advanced-materials-companies"/>
    <w:p>
      <w:pPr>
        <w:pStyle w:val="Heading2"/>
      </w:pPr>
      <w:r>
        <w:t xml:space="preserve">Advanced Materials Companies</w:t>
      </w:r>
    </w:p>
    <w:p>
      <w:pPr>
        <w:pStyle w:val="Compact"/>
        <w:numPr>
          <w:ilvl w:val="0"/>
          <w:numId w:val="1053"/>
        </w:numPr>
      </w:pPr>
      <w:r>
        <w:t xml:space="preserve">aluminum alloy producers;</w:t>
      </w:r>
    </w:p>
    <w:p>
      <w:pPr>
        <w:pStyle w:val="Compact"/>
        <w:numPr>
          <w:ilvl w:val="0"/>
          <w:numId w:val="1053"/>
        </w:numPr>
      </w:pPr>
      <w:r>
        <w:t xml:space="preserve">powder suppliers;</w:t>
      </w:r>
    </w:p>
    <w:p>
      <w:pPr>
        <w:pStyle w:val="Compact"/>
        <w:numPr>
          <w:ilvl w:val="0"/>
          <w:numId w:val="1053"/>
        </w:numPr>
      </w:pPr>
      <w:r>
        <w:t xml:space="preserve">specialty metals companies;</w:t>
      </w:r>
    </w:p>
    <w:p>
      <w:pPr>
        <w:pStyle w:val="Compact"/>
        <w:numPr>
          <w:ilvl w:val="0"/>
          <w:numId w:val="1053"/>
        </w:numPr>
      </w:pPr>
      <w:r>
        <w:t xml:space="preserve">aerospace material suppliers.</w:t>
      </w:r>
    </w:p>
    <w:bookmarkEnd w:id="85"/>
    <w:bookmarkStart w:id="86" w:name="additive-manufacturing-companies"/>
    <w:p>
      <w:pPr>
        <w:pStyle w:val="Heading2"/>
      </w:pPr>
      <w:r>
        <w:t xml:space="preserve">Additive Manufacturing Companies</w:t>
      </w:r>
    </w:p>
    <w:p>
      <w:pPr>
        <w:pStyle w:val="Compact"/>
        <w:numPr>
          <w:ilvl w:val="0"/>
          <w:numId w:val="1054"/>
        </w:numPr>
      </w:pPr>
      <w:r>
        <w:t xml:space="preserve">DED machine OEMs;</w:t>
      </w:r>
    </w:p>
    <w:p>
      <w:pPr>
        <w:pStyle w:val="Compact"/>
        <w:numPr>
          <w:ilvl w:val="0"/>
          <w:numId w:val="1054"/>
        </w:numPr>
      </w:pPr>
      <w:r>
        <w:t xml:space="preserve">LPBF machine OEMs if later adapted;</w:t>
      </w:r>
    </w:p>
    <w:p>
      <w:pPr>
        <w:pStyle w:val="Compact"/>
        <w:numPr>
          <w:ilvl w:val="0"/>
          <w:numId w:val="1054"/>
        </w:numPr>
      </w:pPr>
      <w:r>
        <w:t xml:space="preserve">AM service bureaus;</w:t>
      </w:r>
    </w:p>
    <w:p>
      <w:pPr>
        <w:pStyle w:val="Compact"/>
        <w:numPr>
          <w:ilvl w:val="0"/>
          <w:numId w:val="1054"/>
        </w:numPr>
      </w:pPr>
      <w:r>
        <w:t xml:space="preserve">certified aerospace AM shops.</w:t>
      </w:r>
    </w:p>
    <w:bookmarkEnd w:id="86"/>
    <w:bookmarkStart w:id="87" w:name="aerospace-defense"/>
    <w:p>
      <w:pPr>
        <w:pStyle w:val="Heading2"/>
      </w:pPr>
      <w:r>
        <w:t xml:space="preserve">Aerospace / Defense</w:t>
      </w:r>
    </w:p>
    <w:p>
      <w:pPr>
        <w:pStyle w:val="Compact"/>
        <w:numPr>
          <w:ilvl w:val="0"/>
          <w:numId w:val="1055"/>
        </w:numPr>
      </w:pPr>
      <w:r>
        <w:t xml:space="preserve">satellite manufacturers;</w:t>
      </w:r>
    </w:p>
    <w:p>
      <w:pPr>
        <w:pStyle w:val="Compact"/>
        <w:numPr>
          <w:ilvl w:val="0"/>
          <w:numId w:val="1055"/>
        </w:numPr>
      </w:pPr>
      <w:r>
        <w:t xml:space="preserve">defense prime contractors;</w:t>
      </w:r>
    </w:p>
    <w:p>
      <w:pPr>
        <w:pStyle w:val="Compact"/>
        <w:numPr>
          <w:ilvl w:val="0"/>
          <w:numId w:val="1055"/>
        </w:numPr>
      </w:pPr>
      <w:r>
        <w:t xml:space="preserve">aircraft structural suppliers;</w:t>
      </w:r>
    </w:p>
    <w:p>
      <w:pPr>
        <w:pStyle w:val="Compact"/>
        <w:numPr>
          <w:ilvl w:val="0"/>
          <w:numId w:val="1055"/>
        </w:numPr>
      </w:pPr>
      <w:r>
        <w:t xml:space="preserve">payload and sensor-frame companies.</w:t>
      </w:r>
    </w:p>
    <w:bookmarkEnd w:id="87"/>
    <w:bookmarkStart w:id="88" w:name="robotics-uas-1"/>
    <w:p>
      <w:pPr>
        <w:pStyle w:val="Heading2"/>
      </w:pPr>
      <w:r>
        <w:t xml:space="preserve">Robotics / UAS</w:t>
      </w:r>
    </w:p>
    <w:p>
      <w:pPr>
        <w:pStyle w:val="Compact"/>
        <w:numPr>
          <w:ilvl w:val="0"/>
          <w:numId w:val="1056"/>
        </w:numPr>
      </w:pPr>
      <w:r>
        <w:t xml:space="preserve">drone manufacturers;</w:t>
      </w:r>
    </w:p>
    <w:p>
      <w:pPr>
        <w:pStyle w:val="Compact"/>
        <w:numPr>
          <w:ilvl w:val="0"/>
          <w:numId w:val="1056"/>
        </w:numPr>
      </w:pPr>
      <w:r>
        <w:t xml:space="preserve">industrial robotics firms;</w:t>
      </w:r>
    </w:p>
    <w:p>
      <w:pPr>
        <w:pStyle w:val="Compact"/>
        <w:numPr>
          <w:ilvl w:val="0"/>
          <w:numId w:val="1056"/>
        </w:numPr>
      </w:pPr>
      <w:r>
        <w:t xml:space="preserve">autonomous systems companies;</w:t>
      </w:r>
    </w:p>
    <w:p>
      <w:pPr>
        <w:pStyle w:val="Compact"/>
        <w:numPr>
          <w:ilvl w:val="0"/>
          <w:numId w:val="1056"/>
        </w:numPr>
      </w:pPr>
      <w:r>
        <w:t xml:space="preserve">defense robotics programs.</w:t>
      </w:r>
    </w:p>
    <w:bookmarkEnd w:id="88"/>
    <w:bookmarkStart w:id="89" w:name="thermal-management"/>
    <w:p>
      <w:pPr>
        <w:pStyle w:val="Heading2"/>
      </w:pPr>
      <w:r>
        <w:t xml:space="preserve">Thermal Management</w:t>
      </w:r>
    </w:p>
    <w:p>
      <w:pPr>
        <w:pStyle w:val="Compact"/>
        <w:numPr>
          <w:ilvl w:val="0"/>
          <w:numId w:val="1057"/>
        </w:numPr>
      </w:pPr>
      <w:r>
        <w:t xml:space="preserve">EV power electronics suppliers;</w:t>
      </w:r>
    </w:p>
    <w:p>
      <w:pPr>
        <w:pStyle w:val="Compact"/>
        <w:numPr>
          <w:ilvl w:val="0"/>
          <w:numId w:val="1057"/>
        </w:numPr>
      </w:pPr>
      <w:r>
        <w:t xml:space="preserve">inverter housing manufacturers;</w:t>
      </w:r>
    </w:p>
    <w:p>
      <w:pPr>
        <w:pStyle w:val="Compact"/>
        <w:numPr>
          <w:ilvl w:val="0"/>
          <w:numId w:val="1057"/>
        </w:numPr>
      </w:pPr>
      <w:r>
        <w:t xml:space="preserve">high-performance computing thermal hardware firms;</w:t>
      </w:r>
    </w:p>
    <w:p>
      <w:pPr>
        <w:pStyle w:val="Compact"/>
        <w:numPr>
          <w:ilvl w:val="0"/>
          <w:numId w:val="1057"/>
        </w:numPr>
      </w:pPr>
      <w:r>
        <w:t xml:space="preserve">motor and battery thermal-management companies.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age-17-valuation-positioning-statement"/>
    <w:p>
      <w:pPr>
        <w:pStyle w:val="Heading1"/>
      </w:pPr>
      <w:r>
        <w:t xml:space="preserve">Page 17 — Valuation Positioning Statement</w:t>
      </w:r>
    </w:p>
    <w:p>
      <w:pPr>
        <w:pStyle w:val="FirstParagraph"/>
      </w:pPr>
      <w:r>
        <w:t xml:space="preserve">The platform should be valued as an early-stage, patent-centered deep-tech materials platform with multiple commercialization paths.</w:t>
      </w:r>
    </w:p>
    <w:p>
      <w:pPr>
        <w:pStyle w:val="BodyText"/>
      </w:pPr>
      <w:r>
        <w:t xml:space="preserve">The strongest valuation thesis is:</w:t>
      </w:r>
    </w:p>
    <w:p>
      <w:pPr>
        <w:pStyle w:val="BlockText"/>
      </w:pPr>
      <w:r>
        <w:t xml:space="preserve">WS–AlTi M1‑MSZ‑Prime is not merely a proposed high-strength aluminum alloy. It is a programmable additive-manufacturing materials platform that combines advanced alloy design, controlled intermetallic reinforcement, spatially graded monolithic structures, and property-map-driven physical manufacturing control.</w:t>
      </w:r>
    </w:p>
    <w:p>
      <w:pPr>
        <w:pStyle w:val="FirstParagraph"/>
      </w:pPr>
      <w:r>
        <w:t xml:space="preserve">The highest valuation will not come from a single composition claim alone. It will come from controlling a family of claims around:</w:t>
      </w:r>
    </w:p>
    <w:p>
      <w:pPr>
        <w:pStyle w:val="Compact"/>
        <w:numPr>
          <w:ilvl w:val="0"/>
          <w:numId w:val="1058"/>
        </w:numPr>
      </w:pPr>
      <w:r>
        <w:t xml:space="preserve">composition;</w:t>
      </w:r>
    </w:p>
    <w:p>
      <w:pPr>
        <w:pStyle w:val="Compact"/>
        <w:numPr>
          <w:ilvl w:val="0"/>
          <w:numId w:val="1058"/>
        </w:numPr>
      </w:pPr>
      <w:r>
        <w:t xml:space="preserve">microstructure morphology;</w:t>
      </w:r>
    </w:p>
    <w:p>
      <w:pPr>
        <w:pStyle w:val="Compact"/>
        <w:numPr>
          <w:ilvl w:val="0"/>
          <w:numId w:val="1058"/>
        </w:numPr>
      </w:pPr>
      <w:r>
        <w:t xml:space="preserve">graded monolithic articles;</w:t>
      </w:r>
    </w:p>
    <w:p>
      <w:pPr>
        <w:pStyle w:val="Compact"/>
        <w:numPr>
          <w:ilvl w:val="0"/>
          <w:numId w:val="1058"/>
        </w:numPr>
      </w:pPr>
      <w:r>
        <w:t xml:space="preserve">dual-feed DED manufacturing;</w:t>
      </w:r>
    </w:p>
    <w:p>
      <w:pPr>
        <w:pStyle w:val="Compact"/>
        <w:numPr>
          <w:ilvl w:val="0"/>
          <w:numId w:val="1058"/>
        </w:numPr>
      </w:pPr>
      <w:r>
        <w:t xml:space="preserve">physical materials-compiler control;</w:t>
      </w:r>
    </w:p>
    <w:p>
      <w:pPr>
        <w:pStyle w:val="Compact"/>
        <w:numPr>
          <w:ilvl w:val="0"/>
          <w:numId w:val="1058"/>
        </w:numPr>
      </w:pPr>
      <w:r>
        <w:t xml:space="preserve">use-case-specific component designs;</w:t>
      </w:r>
    </w:p>
    <w:p>
      <w:pPr>
        <w:pStyle w:val="Compact"/>
        <w:numPr>
          <w:ilvl w:val="0"/>
          <w:numId w:val="1058"/>
        </w:numPr>
      </w:pPr>
      <w:r>
        <w:t xml:space="preserve">and continuation families around exotic overlays and multifunctional panels.</w:t>
      </w:r>
    </w:p>
    <w:p>
      <w:r>
        <w:pict>
          <v:rect style="width:0;height:1.5pt" o:hralign="center" o:hrstd="t" o:hr="t"/>
        </w:pict>
      </w:r>
    </w:p>
    <w:bookmarkEnd w:id="91"/>
    <w:bookmarkStart w:id="96" w:name="page-18-recommended-investor-partner-ask"/>
    <w:p>
      <w:pPr>
        <w:pStyle w:val="Heading1"/>
      </w:pPr>
      <w:r>
        <w:t xml:space="preserve">Page 18 — Recommended Investor / Partner Ask</w:t>
      </w:r>
    </w:p>
    <w:bookmarkStart w:id="92" w:name="Xe4dbdc2fd40b87057544d083a9841095f68baba"/>
    <w:p>
      <w:pPr>
        <w:pStyle w:val="Heading2"/>
      </w:pPr>
      <w:r>
        <w:t xml:space="preserve">Pre-Filing or Immediately Post-Filing Ask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59"/>
        </w:numPr>
      </w:pPr>
      <w:r>
        <w:t xml:space="preserve">patent counsel support;</w:t>
      </w:r>
    </w:p>
    <w:p>
      <w:pPr>
        <w:pStyle w:val="Compact"/>
        <w:numPr>
          <w:ilvl w:val="0"/>
          <w:numId w:val="1059"/>
        </w:numPr>
      </w:pPr>
      <w:r>
        <w:t xml:space="preserve">prior-art search;</w:t>
      </w:r>
    </w:p>
    <w:p>
      <w:pPr>
        <w:pStyle w:val="Compact"/>
        <w:numPr>
          <w:ilvl w:val="0"/>
          <w:numId w:val="1059"/>
        </w:numPr>
      </w:pPr>
      <w:r>
        <w:t xml:space="preserve">modeling budget;</w:t>
      </w:r>
    </w:p>
    <w:p>
      <w:pPr>
        <w:pStyle w:val="Compact"/>
        <w:numPr>
          <w:ilvl w:val="0"/>
          <w:numId w:val="1059"/>
        </w:numPr>
      </w:pPr>
      <w:r>
        <w:t xml:space="preserve">first feedstock feasibility study.</w:t>
      </w:r>
    </w:p>
    <w:p>
      <w:pPr>
        <w:pStyle w:val="FirstParagraph"/>
      </w:pPr>
      <w:r>
        <w:t xml:space="preserve">Suggested ask:</w:t>
      </w:r>
    </w:p>
    <w:p>
      <w:pPr>
        <w:pStyle w:val="Compact"/>
        <w:numPr>
          <w:ilvl w:val="0"/>
          <w:numId w:val="1060"/>
        </w:numPr>
      </w:pPr>
      <w:r>
        <w:t xml:space="preserve">$25k–$150k for legal + modeling + initial technical diligence.</w:t>
      </w:r>
    </w:p>
    <w:bookmarkEnd w:id="92"/>
    <w:bookmarkStart w:id="93" w:name="coupon-validation-ask"/>
    <w:p>
      <w:pPr>
        <w:pStyle w:val="Heading2"/>
      </w:pPr>
      <w:r>
        <w:t xml:space="preserve">Coupon Validation Ask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61"/>
        </w:numPr>
      </w:pPr>
      <w:r>
        <w:t xml:space="preserve">powder procurement;</w:t>
      </w:r>
    </w:p>
    <w:p>
      <w:pPr>
        <w:pStyle w:val="Compact"/>
        <w:numPr>
          <w:ilvl w:val="0"/>
          <w:numId w:val="1061"/>
        </w:numPr>
      </w:pPr>
      <w:r>
        <w:t xml:space="preserve">DED facility access;</w:t>
      </w:r>
    </w:p>
    <w:p>
      <w:pPr>
        <w:pStyle w:val="Compact"/>
        <w:numPr>
          <w:ilvl w:val="0"/>
          <w:numId w:val="1061"/>
        </w:numPr>
      </w:pPr>
      <w:r>
        <w:t xml:space="preserve">coupon builds;</w:t>
      </w:r>
    </w:p>
    <w:p>
      <w:pPr>
        <w:pStyle w:val="Compact"/>
        <w:numPr>
          <w:ilvl w:val="0"/>
          <w:numId w:val="1061"/>
        </w:numPr>
      </w:pPr>
      <w:r>
        <w:t xml:space="preserve">microscopy;</w:t>
      </w:r>
    </w:p>
    <w:p>
      <w:pPr>
        <w:pStyle w:val="Compact"/>
        <w:numPr>
          <w:ilvl w:val="0"/>
          <w:numId w:val="1061"/>
        </w:numPr>
      </w:pPr>
      <w:r>
        <w:t xml:space="preserve">hardness and tensile screening.</w:t>
      </w:r>
    </w:p>
    <w:p>
      <w:pPr>
        <w:pStyle w:val="FirstParagraph"/>
      </w:pPr>
      <w:r>
        <w:t xml:space="preserve">Suggested ask:</w:t>
      </w:r>
    </w:p>
    <w:p>
      <w:pPr>
        <w:pStyle w:val="Compact"/>
        <w:numPr>
          <w:ilvl w:val="0"/>
          <w:numId w:val="1062"/>
        </w:numPr>
      </w:pPr>
      <w:r>
        <w:t xml:space="preserve">$150k–$750k depending facility cost and test scope.</w:t>
      </w:r>
    </w:p>
    <w:bookmarkEnd w:id="93"/>
    <w:bookmarkStart w:id="94" w:name="prototype-demonstrator-ask"/>
    <w:p>
      <w:pPr>
        <w:pStyle w:val="Heading2"/>
      </w:pPr>
      <w:r>
        <w:t xml:space="preserve">Prototype Demonstrator Ask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63"/>
        </w:numPr>
      </w:pPr>
      <w:r>
        <w:t xml:space="preserve">graded bracket;</w:t>
      </w:r>
    </w:p>
    <w:p>
      <w:pPr>
        <w:pStyle w:val="Compact"/>
        <w:numPr>
          <w:ilvl w:val="0"/>
          <w:numId w:val="1063"/>
        </w:numPr>
      </w:pPr>
      <w:r>
        <w:t xml:space="preserve">thermal panel;</w:t>
      </w:r>
    </w:p>
    <w:p>
      <w:pPr>
        <w:pStyle w:val="Compact"/>
        <w:numPr>
          <w:ilvl w:val="0"/>
          <w:numId w:val="1063"/>
        </w:numPr>
      </w:pPr>
      <w:r>
        <w:t xml:space="preserve">vibration lattice;</w:t>
      </w:r>
    </w:p>
    <w:p>
      <w:pPr>
        <w:pStyle w:val="Compact"/>
        <w:numPr>
          <w:ilvl w:val="0"/>
          <w:numId w:val="1063"/>
        </w:numPr>
      </w:pPr>
      <w:r>
        <w:t xml:space="preserve">application-specific design package.</w:t>
      </w:r>
    </w:p>
    <w:p>
      <w:pPr>
        <w:pStyle w:val="FirstParagraph"/>
      </w:pPr>
      <w:r>
        <w:t xml:space="preserve">Suggested ask:</w:t>
      </w:r>
    </w:p>
    <w:p>
      <w:pPr>
        <w:pStyle w:val="Compact"/>
        <w:numPr>
          <w:ilvl w:val="0"/>
          <w:numId w:val="1064"/>
        </w:numPr>
      </w:pPr>
      <w:r>
        <w:t xml:space="preserve">$500k–$2.5M.</w:t>
      </w:r>
    </w:p>
    <w:bookmarkEnd w:id="94"/>
    <w:bookmarkStart w:id="95" w:name="seed-stage-platform-company-ask"/>
    <w:p>
      <w:pPr>
        <w:pStyle w:val="Heading2"/>
      </w:pPr>
      <w:r>
        <w:t xml:space="preserve">Seed-Stage Platform Company Ask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65"/>
        </w:numPr>
      </w:pPr>
      <w:r>
        <w:t xml:space="preserve">patent family expansion;</w:t>
      </w:r>
    </w:p>
    <w:p>
      <w:pPr>
        <w:pStyle w:val="Compact"/>
        <w:numPr>
          <w:ilvl w:val="0"/>
          <w:numId w:val="1065"/>
        </w:numPr>
      </w:pPr>
      <w:r>
        <w:t xml:space="preserve">dedicated process development;</w:t>
      </w:r>
    </w:p>
    <w:p>
      <w:pPr>
        <w:pStyle w:val="Compact"/>
        <w:numPr>
          <w:ilvl w:val="0"/>
          <w:numId w:val="1065"/>
        </w:numPr>
      </w:pPr>
      <w:r>
        <w:t xml:space="preserve">partner pilots;</w:t>
      </w:r>
    </w:p>
    <w:p>
      <w:pPr>
        <w:pStyle w:val="Compact"/>
        <w:numPr>
          <w:ilvl w:val="0"/>
          <w:numId w:val="1065"/>
        </w:numPr>
      </w:pPr>
      <w:r>
        <w:t xml:space="preserve">materials compiler prototype;</w:t>
      </w:r>
    </w:p>
    <w:p>
      <w:pPr>
        <w:pStyle w:val="Compact"/>
        <w:numPr>
          <w:ilvl w:val="0"/>
          <w:numId w:val="1065"/>
        </w:numPr>
      </w:pPr>
      <w:r>
        <w:t xml:space="preserve">commercial development.</w:t>
      </w:r>
    </w:p>
    <w:p>
      <w:pPr>
        <w:pStyle w:val="FirstParagraph"/>
      </w:pPr>
      <w:r>
        <w:t xml:space="preserve">Suggested ask:</w:t>
      </w:r>
    </w:p>
    <w:p>
      <w:pPr>
        <w:pStyle w:val="Compact"/>
        <w:numPr>
          <w:ilvl w:val="0"/>
          <w:numId w:val="1066"/>
        </w:numPr>
      </w:pPr>
      <w:r>
        <w:t xml:space="preserve">$2M–$8M.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page-19-strategic-conclusion"/>
    <w:p>
      <w:pPr>
        <w:pStyle w:val="Heading1"/>
      </w:pPr>
      <w:r>
        <w:t xml:space="preserve">Page 19 — Strategic Conclusion</w:t>
      </w:r>
    </w:p>
    <w:p>
      <w:pPr>
        <w:pStyle w:val="FirstParagraph"/>
      </w:pPr>
      <w:r>
        <w:t xml:space="preserve">WS–AlTi M1‑MSZ‑Prime should be commercialized as a programmable material platform, not as a one-off alloy.</w:t>
      </w:r>
    </w:p>
    <w:p>
      <w:pPr>
        <w:pStyle w:val="BodyText"/>
      </w:pPr>
      <w:r>
        <w:t xml:space="preserve">The central commercial claim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validated, the platform could offer value in applications where the customer needs more than strength:</w:t>
      </w:r>
    </w:p>
    <w:p>
      <w:pPr>
        <w:pStyle w:val="Compact"/>
        <w:numPr>
          <w:ilvl w:val="0"/>
          <w:numId w:val="1067"/>
        </w:numPr>
      </w:pPr>
      <w:r>
        <w:t xml:space="preserve">strength plus thermal routing;</w:t>
      </w:r>
    </w:p>
    <w:p>
      <w:pPr>
        <w:pStyle w:val="Compact"/>
        <w:numPr>
          <w:ilvl w:val="0"/>
          <w:numId w:val="1067"/>
        </w:numPr>
      </w:pPr>
      <w:r>
        <w:t xml:space="preserve">stiffness plus crack arrest;</w:t>
      </w:r>
    </w:p>
    <w:p>
      <w:pPr>
        <w:pStyle w:val="Compact"/>
        <w:numPr>
          <w:ilvl w:val="0"/>
          <w:numId w:val="1067"/>
        </w:numPr>
      </w:pPr>
      <w:r>
        <w:t xml:space="preserve">light weight plus vibration management;</w:t>
      </w:r>
    </w:p>
    <w:p>
      <w:pPr>
        <w:pStyle w:val="Compact"/>
        <w:numPr>
          <w:ilvl w:val="0"/>
          <w:numId w:val="1067"/>
        </w:numPr>
      </w:pPr>
      <w:r>
        <w:t xml:space="preserve">reinforced nodes plus ductile skins;</w:t>
      </w:r>
    </w:p>
    <w:p>
      <w:pPr>
        <w:pStyle w:val="Compact"/>
        <w:numPr>
          <w:ilvl w:val="0"/>
          <w:numId w:val="1067"/>
        </w:numPr>
      </w:pPr>
      <w:r>
        <w:t xml:space="preserve">structural support plus future smart-skin integration.</w:t>
      </w:r>
    </w:p>
    <w:p>
      <w:pPr>
        <w:pStyle w:val="FirstParagraph"/>
      </w:pPr>
      <w:r>
        <w:t xml:space="preserve">The potential valuation today is limited by lack of experimental validation. The potential valuation after filing, modeling, coupon validation, and partner interest could rise materially.</w:t>
      </w:r>
    </w:p>
    <w:p>
      <w:pPr>
        <w:pStyle w:val="BodyText"/>
      </w:pPr>
      <w:r>
        <w:t xml:space="preserve">The next value-building step is not more theory. It is disciplined execution:</w:t>
      </w:r>
    </w:p>
    <w:p>
      <w:pPr>
        <w:pStyle w:val="Compact"/>
        <w:numPr>
          <w:ilvl w:val="0"/>
          <w:numId w:val="1068"/>
        </w:numPr>
      </w:pPr>
      <w:r>
        <w:t xml:space="preserve">file the provisional;</w:t>
      </w:r>
    </w:p>
    <w:p>
      <w:pPr>
        <w:pStyle w:val="Compact"/>
        <w:numPr>
          <w:ilvl w:val="0"/>
          <w:numId w:val="1068"/>
        </w:numPr>
      </w:pPr>
      <w:r>
        <w:t xml:space="preserve">complete prior-art review;</w:t>
      </w:r>
    </w:p>
    <w:p>
      <w:pPr>
        <w:pStyle w:val="Compact"/>
        <w:numPr>
          <w:ilvl w:val="0"/>
          <w:numId w:val="1068"/>
        </w:numPr>
      </w:pPr>
      <w:r>
        <w:t xml:space="preserve">run CALPHAD/Scheil modeling;</w:t>
      </w:r>
    </w:p>
    <w:p>
      <w:pPr>
        <w:pStyle w:val="Compact"/>
        <w:numPr>
          <w:ilvl w:val="0"/>
          <w:numId w:val="1068"/>
        </w:numPr>
      </w:pPr>
      <w:r>
        <w:t xml:space="preserve">build first coupons;</w:t>
      </w:r>
    </w:p>
    <w:p>
      <w:pPr>
        <w:pStyle w:val="Compact"/>
        <w:numPr>
          <w:ilvl w:val="0"/>
          <w:numId w:val="1068"/>
        </w:numPr>
      </w:pPr>
      <w:r>
        <w:t xml:space="preserve">prove microstructure control;</w:t>
      </w:r>
    </w:p>
    <w:p>
      <w:pPr>
        <w:pStyle w:val="Compact"/>
        <w:numPr>
          <w:ilvl w:val="0"/>
          <w:numId w:val="1068"/>
        </w:numPr>
      </w:pPr>
      <w:r>
        <w:t xml:space="preserve">compare against benchmark alloys;</w:t>
      </w:r>
    </w:p>
    <w:p>
      <w:pPr>
        <w:pStyle w:val="Compact"/>
        <w:numPr>
          <w:ilvl w:val="0"/>
          <w:numId w:val="1068"/>
        </w:numPr>
      </w:pPr>
      <w:r>
        <w:t xml:space="preserve">secure a partner-funded prototype.</w:t>
      </w:r>
    </w:p>
    <w:p>
      <w:r>
        <w:pict>
          <v:rect style="width:0;height:1.5pt" o:hralign="center" o:hrstd="t" o:hr="t"/>
        </w:pict>
      </w:r>
    </w:p>
    <w:bookmarkEnd w:id="97"/>
    <w:bookmarkStart w:id="107" w:name="page-20-one-page-commercial-summary"/>
    <w:p>
      <w:pPr>
        <w:pStyle w:val="Heading1"/>
      </w:pPr>
      <w:r>
        <w:t xml:space="preserve">Page 20 — One-Page Commercial Summary</w:t>
      </w:r>
    </w:p>
    <w:bookmarkStart w:id="98" w:name="technology"/>
    <w:p>
      <w:pPr>
        <w:pStyle w:val="Heading2"/>
      </w:pPr>
      <w:r>
        <w:t xml:space="preserve">Technology</w:t>
      </w:r>
    </w:p>
    <w:p>
      <w:pPr>
        <w:pStyle w:val="FirstParagraph"/>
      </w:pPr>
      <w:r>
        <w:t xml:space="preserve">Programmable Al–Ti–Mg–Sc–Zr meta-alloy platform for graded additive manufacturing.</w:t>
      </w:r>
    </w:p>
    <w:bookmarkEnd w:id="98"/>
    <w:bookmarkStart w:id="99" w:name="prime-composition"/>
    <w:p>
      <w:pPr>
        <w:pStyle w:val="Heading2"/>
      </w:pPr>
      <w:r>
        <w:t xml:space="preserve">Prime Composition</w:t>
      </w:r>
    </w:p>
    <w:p>
      <w:pPr>
        <w:pStyle w:val="FirstParagraph"/>
      </w:pPr>
      <w:r>
        <w:t xml:space="preserve">Al–5.25Ti–2.25Mg–0.18Sc–0.45Zr, nominal wt%.</w:t>
      </w:r>
    </w:p>
    <w:bookmarkEnd w:id="99"/>
    <w:bookmarkStart w:id="100" w:name="core-advantage"/>
    <w:p>
      <w:pPr>
        <w:pStyle w:val="Heading2"/>
      </w:pPr>
      <w:r>
        <w:t xml:space="preserve">Core Advantage</w:t>
      </w:r>
    </w:p>
    <w:p>
      <w:pPr>
        <w:pStyle w:val="FirstParagraph"/>
      </w:pPr>
      <w:r>
        <w:t xml:space="preserve">Local material-state programming inside a monolithic additively manufactured article.</w:t>
      </w:r>
    </w:p>
    <w:bookmarkEnd w:id="100"/>
    <w:bookmarkStart w:id="101" w:name="differentiation"/>
    <w:p>
      <w:pPr>
        <w:pStyle w:val="Heading2"/>
      </w:pPr>
      <w:r>
        <w:t xml:space="preserve">Differentiation</w:t>
      </w:r>
    </w:p>
    <w:p>
      <w:pPr>
        <w:pStyle w:val="FirstParagraph"/>
      </w:pPr>
      <w:r>
        <w:t xml:space="preserve">Combines:</w:t>
      </w:r>
    </w:p>
    <w:p>
      <w:pPr>
        <w:pStyle w:val="Compact"/>
        <w:numPr>
          <w:ilvl w:val="0"/>
          <w:numId w:val="1069"/>
        </w:numPr>
      </w:pPr>
      <w:r>
        <w:t xml:space="preserve">titanium-aluminide reinforcement;</w:t>
      </w:r>
    </w:p>
    <w:p>
      <w:pPr>
        <w:pStyle w:val="Compact"/>
        <w:numPr>
          <w:ilvl w:val="0"/>
          <w:numId w:val="1069"/>
        </w:numPr>
      </w:pPr>
      <w:r>
        <w:t xml:space="preserve">Mg-strengthened aluminum matrix;</w:t>
      </w:r>
    </w:p>
    <w:p>
      <w:pPr>
        <w:pStyle w:val="Compact"/>
        <w:numPr>
          <w:ilvl w:val="0"/>
          <w:numId w:val="1069"/>
        </w:numPr>
      </w:pPr>
      <w:r>
        <w:t xml:space="preserve">Sc/Zr stabilization;</w:t>
      </w:r>
    </w:p>
    <w:p>
      <w:pPr>
        <w:pStyle w:val="Compact"/>
        <w:numPr>
          <w:ilvl w:val="0"/>
          <w:numId w:val="1069"/>
        </w:numPr>
      </w:pPr>
      <w:r>
        <w:t xml:space="preserve">dual-feed DED;</w:t>
      </w:r>
    </w:p>
    <w:p>
      <w:pPr>
        <w:pStyle w:val="Compact"/>
        <w:numPr>
          <w:ilvl w:val="0"/>
          <w:numId w:val="1069"/>
        </w:numPr>
      </w:pPr>
      <w:r>
        <w:t xml:space="preserve">graded zones;</w:t>
      </w:r>
    </w:p>
    <w:p>
      <w:pPr>
        <w:pStyle w:val="Compact"/>
        <w:numPr>
          <w:ilvl w:val="0"/>
          <w:numId w:val="1069"/>
        </w:numPr>
      </w:pPr>
      <w:r>
        <w:t xml:space="preserve">mechanical impedance control;</w:t>
      </w:r>
    </w:p>
    <w:p>
      <w:pPr>
        <w:pStyle w:val="Compact"/>
        <w:numPr>
          <w:ilvl w:val="0"/>
          <w:numId w:val="1069"/>
        </w:numPr>
      </w:pPr>
      <w:r>
        <w:t xml:space="preserve">materials-compiler logic.</w:t>
      </w:r>
    </w:p>
    <w:bookmarkEnd w:id="101"/>
    <w:bookmarkStart w:id="102" w:name="first-use-cases"/>
    <w:p>
      <w:pPr>
        <w:pStyle w:val="Heading2"/>
      </w:pPr>
      <w:r>
        <w:t xml:space="preserve">First Use Cases</w:t>
      </w:r>
    </w:p>
    <w:p>
      <w:pPr>
        <w:pStyle w:val="Compact"/>
        <w:numPr>
          <w:ilvl w:val="0"/>
          <w:numId w:val="1070"/>
        </w:numPr>
      </w:pPr>
      <w:r>
        <w:t xml:space="preserve">aerospace brackets;</w:t>
      </w:r>
    </w:p>
    <w:p>
      <w:pPr>
        <w:pStyle w:val="Compact"/>
        <w:numPr>
          <w:ilvl w:val="0"/>
          <w:numId w:val="1070"/>
        </w:numPr>
      </w:pPr>
      <w:r>
        <w:t xml:space="preserve">robotic joints;</w:t>
      </w:r>
    </w:p>
    <w:p>
      <w:pPr>
        <w:pStyle w:val="Compact"/>
        <w:numPr>
          <w:ilvl w:val="0"/>
          <w:numId w:val="1070"/>
        </w:numPr>
      </w:pPr>
      <w:r>
        <w:t xml:space="preserve">thermal housings;</w:t>
      </w:r>
    </w:p>
    <w:p>
      <w:pPr>
        <w:pStyle w:val="Compact"/>
        <w:numPr>
          <w:ilvl w:val="0"/>
          <w:numId w:val="1070"/>
        </w:numPr>
      </w:pPr>
      <w:r>
        <w:t xml:space="preserve">vibration-managed panels;</w:t>
      </w:r>
    </w:p>
    <w:p>
      <w:pPr>
        <w:pStyle w:val="Compact"/>
        <w:numPr>
          <w:ilvl w:val="0"/>
          <w:numId w:val="1070"/>
        </w:numPr>
      </w:pPr>
      <w:r>
        <w:t xml:space="preserve">reinforced lightweight nodes.</w:t>
      </w:r>
    </w:p>
    <w:bookmarkEnd w:id="102"/>
    <w:bookmarkStart w:id="103" w:name="current-stage"/>
    <w:p>
      <w:pPr>
        <w:pStyle w:val="Heading2"/>
      </w:pPr>
      <w:r>
        <w:t xml:space="preserve">Current Stage</w:t>
      </w:r>
    </w:p>
    <w:p>
      <w:pPr>
        <w:pStyle w:val="FirstParagraph"/>
      </w:pPr>
      <w:r>
        <w:t xml:space="preserve">Pre-validation / provisional-ready technical disclosure.</w:t>
      </w:r>
    </w:p>
    <w:bookmarkEnd w:id="103"/>
    <w:bookmarkStart w:id="104" w:name="near-term-value"/>
    <w:p>
      <w:pPr>
        <w:pStyle w:val="Heading2"/>
      </w:pPr>
      <w:r>
        <w:t xml:space="preserve">Near-Term Value</w:t>
      </w:r>
    </w:p>
    <w:p>
      <w:pPr>
        <w:pStyle w:val="FirstParagraph"/>
      </w:pPr>
      <w:r>
        <w:t xml:space="preserve">Modest until filed and validated.</w:t>
      </w:r>
    </w:p>
    <w:bookmarkEnd w:id="104"/>
    <w:bookmarkStart w:id="105" w:name="upside-value"/>
    <w:p>
      <w:pPr>
        <w:pStyle w:val="Heading2"/>
      </w:pPr>
      <w:r>
        <w:t xml:space="preserve">Upside Value</w:t>
      </w:r>
    </w:p>
    <w:p>
      <w:pPr>
        <w:pStyle w:val="FirstParagraph"/>
      </w:pPr>
      <w:r>
        <w:t xml:space="preserve">Potentially significant if patents, process data, and partner adoption confirm the platform.</w:t>
      </w:r>
    </w:p>
    <w:bookmarkEnd w:id="105"/>
    <w:bookmarkStart w:id="106" w:name="immediate-next-step"/>
    <w:p>
      <w:pPr>
        <w:pStyle w:val="Heading2"/>
      </w:pPr>
      <w:r>
        <w:t xml:space="preserve">Immediate Next Step</w:t>
      </w:r>
    </w:p>
    <w:p>
      <w:pPr>
        <w:pStyle w:val="FirstParagraph"/>
      </w:pPr>
      <w:r>
        <w:t xml:space="preserve">File provisional, generate modeling package, and fund first coupon builds.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a31939d72c49100d41b24d19dfac375dd24aaf4"/>
    <w:p>
      <w:pPr>
        <w:pStyle w:val="Heading1"/>
      </w:pPr>
      <w:r>
        <w:t xml:space="preserve">Page 21 — Full Bloom Expansion: Platform Thesis</w:t>
      </w:r>
    </w:p>
    <w:p>
      <w:pPr>
        <w:pStyle w:val="FirstParagraph"/>
      </w:pPr>
      <w:r>
        <w:t xml:space="preserve">The full commercial thesis is that WS–AlTi M1-MSZ-Prime is not a single material product. It is a layered platform with four monetizable dimensions: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composition IP</w:t>
      </w:r>
      <w:r>
        <w:t xml:space="preserve"> </w:t>
      </w:r>
      <w:r>
        <w:t xml:space="preserve">— the Al–Ti–Mg–Sc–Zr alloy family and optimized Prime composition;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microstructure IP</w:t>
      </w:r>
      <w:r>
        <w:t xml:space="preserve"> </w:t>
      </w:r>
      <w:r>
        <w:t xml:space="preserve">— controlled titanium-aluminide morphology inside a stabilized aluminum matrix;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manufacturing IP</w:t>
      </w:r>
      <w:r>
        <w:t xml:space="preserve"> </w:t>
      </w:r>
      <w:r>
        <w:t xml:space="preserve">— dual-feed DED and local feed-ratio programming;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digital-control IP</w:t>
      </w:r>
      <w:r>
        <w:t xml:space="preserve"> </w:t>
      </w:r>
      <w:r>
        <w:t xml:space="preserve">— property-map-to-feed-map conversion through a physical materials compiler.</w:t>
      </w:r>
    </w:p>
    <w:p>
      <w:pPr>
        <w:pStyle w:val="FirstParagraph"/>
      </w:pPr>
      <w:r>
        <w:t xml:space="preserve">The highest-value version of the platform is therefore not a bag of powder. It is an integrated materials stack: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oxed{ ext{Alloy} + ext{Process} + ext{Controller} + ext{Application-Specific Geometry}}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reason valuation can grow nonlinearly after validation. A static alloy may be licensed by composition. A programmable platform may be licensed by composition, process recipe, software logic, part design, and application-specific certification package.</w:t>
      </w:r>
    </w:p>
    <w:p>
      <w:r>
        <w:pict>
          <v:rect style="width:0;height:1.5pt" o:hralign="center" o:hrstd="t" o:hr="t"/>
        </w:pict>
      </w:r>
    </w:p>
    <w:bookmarkEnd w:id="108"/>
    <w:bookmarkStart w:id="113" w:name="X3496d3bd5fadbe70475b563e0b3e41906d3ef04"/>
    <w:p>
      <w:pPr>
        <w:pStyle w:val="Heading1"/>
      </w:pPr>
      <w:r>
        <w:t xml:space="preserve">Page 22 — Full Bloom Technical Differentiation</w:t>
      </w:r>
    </w:p>
    <w:bookmarkStart w:id="109" w:name="differentiation-axis-1-composition"/>
    <w:p>
      <w:pPr>
        <w:pStyle w:val="Heading2"/>
      </w:pPr>
      <w:r>
        <w:t xml:space="preserve">22.1 Differentiation Axis 1 — Composition</w:t>
      </w:r>
    </w:p>
    <w:p>
      <w:pPr>
        <w:pStyle w:val="FirstParagraph"/>
      </w:pPr>
      <w:r>
        <w:t xml:space="preserve">The Prime composition is designed to sit between several known material families:</w:t>
      </w:r>
    </w:p>
    <w:p>
      <w:pPr>
        <w:pStyle w:val="Compact"/>
        <w:numPr>
          <w:ilvl w:val="0"/>
          <w:numId w:val="1072"/>
        </w:numPr>
      </w:pPr>
      <w:r>
        <w:t xml:space="preserve">Al–Mg–Sc–Zr high-strength AM alloys;</w:t>
      </w:r>
    </w:p>
    <w:p>
      <w:pPr>
        <w:pStyle w:val="Compact"/>
        <w:numPr>
          <w:ilvl w:val="0"/>
          <w:numId w:val="1072"/>
        </w:numPr>
      </w:pPr>
      <w:r>
        <w:t xml:space="preserve">Al–Ti reactive intermetallic composites;</w:t>
      </w:r>
    </w:p>
    <w:p>
      <w:pPr>
        <w:pStyle w:val="Compact"/>
        <w:numPr>
          <w:ilvl w:val="0"/>
          <w:numId w:val="1072"/>
        </w:numPr>
      </w:pPr>
      <w:r>
        <w:t xml:space="preserve">metal-matrix composites with ceramic or intermetallic strengthening;</w:t>
      </w:r>
    </w:p>
    <w:p>
      <w:pPr>
        <w:pStyle w:val="Compact"/>
        <w:numPr>
          <w:ilvl w:val="0"/>
          <w:numId w:val="1072"/>
        </w:numPr>
      </w:pPr>
      <w:r>
        <w:t xml:space="preserve">functionally graded DED materials.</w:t>
      </w:r>
    </w:p>
    <w:p>
      <w:pPr>
        <w:pStyle w:val="FirstParagraph"/>
      </w:pPr>
      <w:r>
        <w:t xml:space="preserve">The composition avoids a brute-force high-Ti approach. Instead, Ti is held at a level intended to preserve useful reinforcement while reducing excessive brittle-network risk.</w:t>
      </w:r>
    </w:p>
    <w:bookmarkEnd w:id="109"/>
    <w:bookmarkStart w:id="110" w:name="X86cdf23a637cb789f49c7e7e840713cc73d6c22"/>
    <w:p>
      <w:pPr>
        <w:pStyle w:val="Heading2"/>
      </w:pPr>
      <w:r>
        <w:t xml:space="preserve">22.2 Differentiation Axis 2 — Controlled Reinforcement Morphology</w:t>
      </w:r>
    </w:p>
    <w:p>
      <w:pPr>
        <w:pStyle w:val="FirstParagraph"/>
      </w:pPr>
      <w:r>
        <w:t xml:space="preserve">The platform emphasizes discontinuous titanium-aluminide reinforcement rather than uncontrolled intermetallic networks.</w:t>
      </w:r>
    </w:p>
    <w:p>
      <w:pPr>
        <w:pStyle w:val="BodyText"/>
      </w:pPr>
      <w:r>
        <w:t xml:space="preserve">Target morphology:</w:t>
      </w:r>
    </w:p>
    <w:p>
      <w:pPr>
        <w:pStyle w:val="Compact"/>
        <w:numPr>
          <w:ilvl w:val="0"/>
          <w:numId w:val="1073"/>
        </w:numPr>
      </w:pPr>
      <w:r>
        <w:t xml:space="preserve">dispersed;</w:t>
      </w:r>
    </w:p>
    <w:p>
      <w:pPr>
        <w:pStyle w:val="Compact"/>
        <w:numPr>
          <w:ilvl w:val="0"/>
          <w:numId w:val="1073"/>
        </w:numPr>
      </w:pPr>
      <w:r>
        <w:t xml:space="preserve">discontinuous;</w:t>
      </w:r>
    </w:p>
    <w:p>
      <w:pPr>
        <w:pStyle w:val="Compact"/>
        <w:numPr>
          <w:ilvl w:val="0"/>
          <w:numId w:val="1073"/>
        </w:numPr>
      </w:pPr>
      <w:r>
        <w:t xml:space="preserve">crack-deflecting;</w:t>
      </w:r>
    </w:p>
    <w:p>
      <w:pPr>
        <w:pStyle w:val="Compact"/>
        <w:numPr>
          <w:ilvl w:val="0"/>
          <w:numId w:val="1073"/>
        </w:numPr>
      </w:pPr>
      <w:r>
        <w:t xml:space="preserve">grain-refining;</w:t>
      </w:r>
    </w:p>
    <w:p>
      <w:pPr>
        <w:pStyle w:val="Compact"/>
        <w:numPr>
          <w:ilvl w:val="0"/>
          <w:numId w:val="1073"/>
        </w:numPr>
      </w:pPr>
      <w:r>
        <w:t xml:space="preserve">load-transferring;</w:t>
      </w:r>
    </w:p>
    <w:p>
      <w:pPr>
        <w:pStyle w:val="Compact"/>
        <w:numPr>
          <w:ilvl w:val="0"/>
          <w:numId w:val="1073"/>
        </w:numPr>
      </w:pPr>
      <w:r>
        <w:t xml:space="preserve">non-networked across primary load regions.</w:t>
      </w:r>
    </w:p>
    <w:p>
      <w:pPr>
        <w:pStyle w:val="FirstParagraph"/>
      </w:pPr>
      <w:r>
        <w:t xml:space="preserve">That matters because the morphology is part of the invention, not merely a consequence of composition.</w:t>
      </w:r>
    </w:p>
    <w:bookmarkEnd w:id="110"/>
    <w:bookmarkStart w:id="111" w:name="X81f314f2c2af41b1059b3b3c97f120d5308ed1f"/>
    <w:p>
      <w:pPr>
        <w:pStyle w:val="Heading2"/>
      </w:pPr>
      <w:r>
        <w:t xml:space="preserve">22.3 Differentiation Axis 3 — Monolithic Local Zoning</w:t>
      </w:r>
    </w:p>
    <w:p>
      <w:pPr>
        <w:pStyle w:val="FirstParagraph"/>
      </w:pPr>
      <w:r>
        <w:t xml:space="preserve">A single part may include:</w:t>
      </w:r>
    </w:p>
    <w:p>
      <w:pPr>
        <w:pStyle w:val="Compact"/>
        <w:numPr>
          <w:ilvl w:val="0"/>
          <w:numId w:val="1074"/>
        </w:numPr>
      </w:pPr>
      <w:r>
        <w:t xml:space="preserve">low-Ti ductile skins;</w:t>
      </w:r>
    </w:p>
    <w:p>
      <w:pPr>
        <w:pStyle w:val="Compact"/>
        <w:numPr>
          <w:ilvl w:val="0"/>
          <w:numId w:val="1074"/>
        </w:numPr>
      </w:pPr>
      <w:r>
        <w:t xml:space="preserve">Prime composition structural body;</w:t>
      </w:r>
    </w:p>
    <w:p>
      <w:pPr>
        <w:pStyle w:val="Compact"/>
        <w:numPr>
          <w:ilvl w:val="0"/>
          <w:numId w:val="1074"/>
        </w:numPr>
      </w:pPr>
      <w:r>
        <w:t xml:space="preserve">high-Ti reinforced nodes;</w:t>
      </w:r>
    </w:p>
    <w:p>
      <w:pPr>
        <w:pStyle w:val="Compact"/>
        <w:numPr>
          <w:ilvl w:val="0"/>
          <w:numId w:val="1074"/>
        </w:numPr>
      </w:pPr>
      <w:r>
        <w:t xml:space="preserve">low-Ti thermal corridors;</w:t>
      </w:r>
    </w:p>
    <w:p>
      <w:pPr>
        <w:pStyle w:val="Compact"/>
        <w:numPr>
          <w:ilvl w:val="0"/>
          <w:numId w:val="1074"/>
        </w:numPr>
      </w:pPr>
      <w:r>
        <w:t xml:space="preserve">mixed-coupling vibration zones;</w:t>
      </w:r>
    </w:p>
    <w:p>
      <w:pPr>
        <w:pStyle w:val="Compact"/>
        <w:numPr>
          <w:ilvl w:val="0"/>
          <w:numId w:val="1074"/>
        </w:numPr>
      </w:pPr>
      <w:r>
        <w:t xml:space="preserve">graded transitions.</w:t>
      </w:r>
    </w:p>
    <w:p>
      <w:pPr>
        <w:pStyle w:val="FirstParagraph"/>
      </w:pPr>
      <w:r>
        <w:t xml:space="preserve">This converts alloy design into local material-state design.</w:t>
      </w:r>
    </w:p>
    <w:bookmarkEnd w:id="111"/>
    <w:bookmarkStart w:id="112" w:name="Xf195e9f21a2972484d8a687cfb8228aca9369b5"/>
    <w:p>
      <w:pPr>
        <w:pStyle w:val="Heading2"/>
      </w:pPr>
      <w:r>
        <w:t xml:space="preserve">22.4 Differentiation Axis 4 — Hardware-Tied Materials Compiler</w:t>
      </w:r>
    </w:p>
    <w:p>
      <w:pPr>
        <w:pStyle w:val="FirstParagraph"/>
      </w:pPr>
      <w:r>
        <w:t xml:space="preserve">The materials compiler is strongest when claimed and developed as a hardware-tied control architecture. It is not merely software. It physically controls feed ratio, energy input, travel speed, thermal history, and deposition path.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page-23-full-bloom-productization-stack"/>
    <w:p>
      <w:pPr>
        <w:pStyle w:val="Heading1"/>
      </w:pPr>
      <w:r>
        <w:t xml:space="preserve">Page 23 — Full Bloom Productization Stack</w:t>
      </w:r>
    </w:p>
    <w:p>
      <w:pPr>
        <w:pStyle w:val="FirstParagraph"/>
      </w:pPr>
      <w:r>
        <w:t xml:space="preserve">The platform can be productized in layers.</w:t>
      </w:r>
    </w:p>
    <w:bookmarkStart w:id="114" w:name="layer-1-composition-license"/>
    <w:p>
      <w:pPr>
        <w:pStyle w:val="Heading2"/>
      </w:pPr>
      <w:r>
        <w:t xml:space="preserve">Layer 1 — Composition License</w:t>
      </w:r>
    </w:p>
    <w:p>
      <w:pPr>
        <w:pStyle w:val="FirstParagraph"/>
      </w:pPr>
      <w:r>
        <w:t xml:space="preserve">Protect and license the alloy family and Prime composition.</w:t>
      </w:r>
    </w:p>
    <w:p>
      <w:pPr>
        <w:pStyle w:val="BodyText"/>
      </w:pPr>
      <w:r>
        <w:t xml:space="preserve">Potential customers:</w:t>
      </w:r>
    </w:p>
    <w:p>
      <w:pPr>
        <w:pStyle w:val="Compact"/>
        <w:numPr>
          <w:ilvl w:val="0"/>
          <w:numId w:val="1075"/>
        </w:numPr>
      </w:pPr>
      <w:r>
        <w:t xml:space="preserve">powder companies;</w:t>
      </w:r>
    </w:p>
    <w:p>
      <w:pPr>
        <w:pStyle w:val="Compact"/>
        <w:numPr>
          <w:ilvl w:val="0"/>
          <w:numId w:val="1075"/>
        </w:numPr>
      </w:pPr>
      <w:r>
        <w:t xml:space="preserve">AM bureaus;</w:t>
      </w:r>
    </w:p>
    <w:p>
      <w:pPr>
        <w:pStyle w:val="Compact"/>
        <w:numPr>
          <w:ilvl w:val="0"/>
          <w:numId w:val="1075"/>
        </w:numPr>
      </w:pPr>
      <w:r>
        <w:t xml:space="preserve">aerospace suppliers;</w:t>
      </w:r>
    </w:p>
    <w:p>
      <w:pPr>
        <w:pStyle w:val="Compact"/>
        <w:numPr>
          <w:ilvl w:val="0"/>
          <w:numId w:val="1075"/>
        </w:numPr>
      </w:pPr>
      <w:r>
        <w:t xml:space="preserve">advanced alloy developers.</w:t>
      </w:r>
    </w:p>
    <w:bookmarkEnd w:id="114"/>
    <w:bookmarkStart w:id="115" w:name="layer-2-feedstock-kit"/>
    <w:p>
      <w:pPr>
        <w:pStyle w:val="Heading2"/>
      </w:pPr>
      <w:r>
        <w:t xml:space="preserve">Layer 2 — Feedstock Kit</w:t>
      </w:r>
    </w:p>
    <w:p>
      <w:pPr>
        <w:pStyle w:val="FirstParagraph"/>
      </w:pPr>
      <w:r>
        <w:t xml:space="preserve">Sell a two-feed system:</w:t>
      </w:r>
    </w:p>
    <w:p>
      <w:pPr>
        <w:pStyle w:val="Compact"/>
        <w:numPr>
          <w:ilvl w:val="0"/>
          <w:numId w:val="1076"/>
        </w:numPr>
      </w:pPr>
      <w:r>
        <w:t xml:space="preserve">Al–Mg–Sc–Zr master powder;</w:t>
      </w:r>
    </w:p>
    <w:p>
      <w:pPr>
        <w:pStyle w:val="Compact"/>
        <w:numPr>
          <w:ilvl w:val="0"/>
          <w:numId w:val="1076"/>
        </w:numPr>
      </w:pPr>
      <w:r>
        <w:t xml:space="preserve">titanium feedstock;</w:t>
      </w:r>
    </w:p>
    <w:p>
      <w:pPr>
        <w:pStyle w:val="Compact"/>
        <w:numPr>
          <w:ilvl w:val="0"/>
          <w:numId w:val="1076"/>
        </w:numPr>
      </w:pPr>
      <w:r>
        <w:t xml:space="preserve">feed-ratio guidelines;</w:t>
      </w:r>
    </w:p>
    <w:p>
      <w:pPr>
        <w:pStyle w:val="Compact"/>
        <w:numPr>
          <w:ilvl w:val="0"/>
          <w:numId w:val="1076"/>
        </w:numPr>
      </w:pPr>
      <w:r>
        <w:t xml:space="preserve">qualification certificate;</w:t>
      </w:r>
    </w:p>
    <w:p>
      <w:pPr>
        <w:pStyle w:val="Compact"/>
        <w:numPr>
          <w:ilvl w:val="0"/>
          <w:numId w:val="1076"/>
        </w:numPr>
      </w:pPr>
      <w:r>
        <w:t xml:space="preserve">heat-treatment guidance.</w:t>
      </w:r>
    </w:p>
    <w:bookmarkEnd w:id="115"/>
    <w:bookmarkStart w:id="116" w:name="layer-3-process-recipe"/>
    <w:p>
      <w:pPr>
        <w:pStyle w:val="Heading2"/>
      </w:pPr>
      <w:r>
        <w:t xml:space="preserve">Layer 3 — Process Recipe</w:t>
      </w:r>
    </w:p>
    <w:p>
      <w:pPr>
        <w:pStyle w:val="FirstParagraph"/>
      </w:pPr>
      <w:r>
        <w:t xml:space="preserve">License build parameters for different machine families.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7"/>
        </w:numPr>
      </w:pPr>
      <w:r>
        <w:t xml:space="preserve">baseline Prime build;</w:t>
      </w:r>
    </w:p>
    <w:p>
      <w:pPr>
        <w:pStyle w:val="Compact"/>
        <w:numPr>
          <w:ilvl w:val="0"/>
          <w:numId w:val="1077"/>
        </w:numPr>
      </w:pPr>
      <w:r>
        <w:t xml:space="preserve">high-node reinforcement build;</w:t>
      </w:r>
    </w:p>
    <w:p>
      <w:pPr>
        <w:pStyle w:val="Compact"/>
        <w:numPr>
          <w:ilvl w:val="0"/>
          <w:numId w:val="1077"/>
        </w:numPr>
      </w:pPr>
      <w:r>
        <w:t xml:space="preserve">tough-skin bracket build;</w:t>
      </w:r>
    </w:p>
    <w:p>
      <w:pPr>
        <w:pStyle w:val="Compact"/>
        <w:numPr>
          <w:ilvl w:val="0"/>
          <w:numId w:val="1077"/>
        </w:numPr>
      </w:pPr>
      <w:r>
        <w:t xml:space="preserve">thermal-panel build;</w:t>
      </w:r>
    </w:p>
    <w:p>
      <w:pPr>
        <w:pStyle w:val="Compact"/>
        <w:numPr>
          <w:ilvl w:val="0"/>
          <w:numId w:val="1077"/>
        </w:numPr>
      </w:pPr>
      <w:r>
        <w:t xml:space="preserve">vibration-lattice build.</w:t>
      </w:r>
    </w:p>
    <w:bookmarkEnd w:id="116"/>
    <w:bookmarkStart w:id="117" w:name="layer-4-materials-compiler"/>
    <w:p>
      <w:pPr>
        <w:pStyle w:val="Heading2"/>
      </w:pPr>
      <w:r>
        <w:t xml:space="preserve">Layer 4 — Materials Compiler</w:t>
      </w:r>
    </w:p>
    <w:p>
      <w:pPr>
        <w:pStyle w:val="FirstParagraph"/>
      </w:pPr>
      <w:r>
        <w:t xml:space="preserve">Software/hardware integration that converts a target part behavior into local material states.</w:t>
      </w:r>
    </w:p>
    <w:bookmarkEnd w:id="117"/>
    <w:bookmarkStart w:id="118" w:name="layer-5-certified-components"/>
    <w:p>
      <w:pPr>
        <w:pStyle w:val="Heading2"/>
      </w:pPr>
      <w:r>
        <w:t xml:space="preserve">Layer 5 — Certified Components</w:t>
      </w:r>
    </w:p>
    <w:p>
      <w:pPr>
        <w:pStyle w:val="FirstParagraph"/>
      </w:pPr>
      <w:r>
        <w:t xml:space="preserve">Application-specific parts with documented performance.</w:t>
      </w:r>
    </w:p>
    <w:p>
      <w:pPr>
        <w:pStyle w:val="BodyText"/>
      </w:pPr>
      <w:r>
        <w:t xml:space="preserve">Highest-value targets:</w:t>
      </w:r>
    </w:p>
    <w:p>
      <w:pPr>
        <w:pStyle w:val="Compact"/>
        <w:numPr>
          <w:ilvl w:val="0"/>
          <w:numId w:val="1078"/>
        </w:numPr>
      </w:pPr>
      <w:r>
        <w:t xml:space="preserve">aerospace structural nodes;</w:t>
      </w:r>
    </w:p>
    <w:p>
      <w:pPr>
        <w:pStyle w:val="Compact"/>
        <w:numPr>
          <w:ilvl w:val="0"/>
          <w:numId w:val="1078"/>
        </w:numPr>
      </w:pPr>
      <w:r>
        <w:t xml:space="preserve">robotic load-bearing joints;</w:t>
      </w:r>
    </w:p>
    <w:p>
      <w:pPr>
        <w:pStyle w:val="Compact"/>
        <w:numPr>
          <w:ilvl w:val="0"/>
          <w:numId w:val="1078"/>
        </w:numPr>
      </w:pPr>
      <w:r>
        <w:t xml:space="preserve">thermal-mechanical housings;</w:t>
      </w:r>
    </w:p>
    <w:p>
      <w:pPr>
        <w:pStyle w:val="Compact"/>
        <w:numPr>
          <w:ilvl w:val="0"/>
          <w:numId w:val="1078"/>
        </w:numPr>
      </w:pPr>
      <w:r>
        <w:t xml:space="preserve">vibration-managed sensor frames;</w:t>
      </w:r>
    </w:p>
    <w:p>
      <w:pPr>
        <w:pStyle w:val="Compact"/>
        <w:numPr>
          <w:ilvl w:val="0"/>
          <w:numId w:val="1078"/>
        </w:numPr>
      </w:pPr>
      <w:r>
        <w:t xml:space="preserve">high-value lightweight brackets.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page-24-full-bloom-market-entry-strategy"/>
    <w:p>
      <w:pPr>
        <w:pStyle w:val="Heading1"/>
      </w:pPr>
      <w:r>
        <w:t xml:space="preserve">Page 24 — Full Bloom Market Entry Strategy</w:t>
      </w:r>
    </w:p>
    <w:bookmarkStart w:id="120" w:name="X0f6c277a3ec9e2c8d47a9e713255008bf49b874"/>
    <w:p>
      <w:pPr>
        <w:pStyle w:val="Heading2"/>
      </w:pPr>
      <w:r>
        <w:t xml:space="preserve">Phase 1 Market: Non-Certified High-Performance Industrial Parts</w:t>
      </w:r>
    </w:p>
    <w:p>
      <w:pPr>
        <w:pStyle w:val="FirstParagraph"/>
      </w:pPr>
      <w:r>
        <w:t xml:space="preserve">This is the best first market because it avoids aerospace qualification delays.</w:t>
      </w:r>
    </w:p>
    <w:p>
      <w:pPr>
        <w:pStyle w:val="BodyText"/>
      </w:pPr>
      <w:r>
        <w:t xml:space="preserve">Targets:</w:t>
      </w:r>
    </w:p>
    <w:p>
      <w:pPr>
        <w:pStyle w:val="Compact"/>
        <w:numPr>
          <w:ilvl w:val="0"/>
          <w:numId w:val="1079"/>
        </w:numPr>
      </w:pPr>
      <w:r>
        <w:t xml:space="preserve">robotics;</w:t>
      </w:r>
    </w:p>
    <w:p>
      <w:pPr>
        <w:pStyle w:val="Compact"/>
        <w:numPr>
          <w:ilvl w:val="0"/>
          <w:numId w:val="1079"/>
        </w:numPr>
      </w:pPr>
      <w:r>
        <w:t xml:space="preserve">research hardware;</w:t>
      </w:r>
    </w:p>
    <w:p>
      <w:pPr>
        <w:pStyle w:val="Compact"/>
        <w:numPr>
          <w:ilvl w:val="0"/>
          <w:numId w:val="1079"/>
        </w:numPr>
      </w:pPr>
      <w:r>
        <w:t xml:space="preserve">test fixtures;</w:t>
      </w:r>
    </w:p>
    <w:p>
      <w:pPr>
        <w:pStyle w:val="Compact"/>
        <w:numPr>
          <w:ilvl w:val="0"/>
          <w:numId w:val="1079"/>
        </w:numPr>
      </w:pPr>
      <w:r>
        <w:t xml:space="preserve">high-end thermal housings;</w:t>
      </w:r>
    </w:p>
    <w:p>
      <w:pPr>
        <w:pStyle w:val="Compact"/>
        <w:numPr>
          <w:ilvl w:val="0"/>
          <w:numId w:val="1079"/>
        </w:numPr>
      </w:pPr>
      <w:r>
        <w:t xml:space="preserve">motorsport prototypes;</w:t>
      </w:r>
    </w:p>
    <w:p>
      <w:pPr>
        <w:pStyle w:val="Compact"/>
        <w:numPr>
          <w:ilvl w:val="0"/>
          <w:numId w:val="1079"/>
        </w:numPr>
      </w:pPr>
      <w:r>
        <w:t xml:space="preserve">specialty machine components.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80"/>
        </w:numPr>
      </w:pPr>
      <w:r>
        <w:t xml:space="preserve">prove manufacturability;</w:t>
      </w:r>
    </w:p>
    <w:p>
      <w:pPr>
        <w:pStyle w:val="Compact"/>
        <w:numPr>
          <w:ilvl w:val="0"/>
          <w:numId w:val="1080"/>
        </w:numPr>
      </w:pPr>
      <w:r>
        <w:t xml:space="preserve">collect customer feedback;</w:t>
      </w:r>
    </w:p>
    <w:p>
      <w:pPr>
        <w:pStyle w:val="Compact"/>
        <w:numPr>
          <w:ilvl w:val="0"/>
          <w:numId w:val="1080"/>
        </w:numPr>
      </w:pPr>
      <w:r>
        <w:t xml:space="preserve">generate early case studies.</w:t>
      </w:r>
    </w:p>
    <w:bookmarkEnd w:id="120"/>
    <w:bookmarkStart w:id="121" w:name="X60158d386938992d9f1a3720427eeab8fd23593"/>
    <w:p>
      <w:pPr>
        <w:pStyle w:val="Heading2"/>
      </w:pPr>
      <w:r>
        <w:t xml:space="preserve">Phase 2 Market: Defense and Aerospace Prototypes</w:t>
      </w:r>
    </w:p>
    <w:p>
      <w:pPr>
        <w:pStyle w:val="FirstParagraph"/>
      </w:pPr>
      <w:r>
        <w:t xml:space="preserve">Defense and space-adjacent programs may tolerate advanced materials earlier than commercial flight certification pathways.</w:t>
      </w:r>
    </w:p>
    <w:p>
      <w:pPr>
        <w:pStyle w:val="BodyText"/>
      </w:pPr>
      <w:r>
        <w:t xml:space="preserve">Targets:</w:t>
      </w:r>
    </w:p>
    <w:p>
      <w:pPr>
        <w:pStyle w:val="Compact"/>
        <w:numPr>
          <w:ilvl w:val="0"/>
          <w:numId w:val="1081"/>
        </w:numPr>
      </w:pPr>
      <w:r>
        <w:t xml:space="preserve">satellite brackets;</w:t>
      </w:r>
    </w:p>
    <w:p>
      <w:pPr>
        <w:pStyle w:val="Compact"/>
        <w:numPr>
          <w:ilvl w:val="0"/>
          <w:numId w:val="1081"/>
        </w:numPr>
      </w:pPr>
      <w:r>
        <w:t xml:space="preserve">sensor payload frames;</w:t>
      </w:r>
    </w:p>
    <w:p>
      <w:pPr>
        <w:pStyle w:val="Compact"/>
        <w:numPr>
          <w:ilvl w:val="0"/>
          <w:numId w:val="1081"/>
        </w:numPr>
      </w:pPr>
      <w:r>
        <w:t xml:space="preserve">thermal-structural demonstration panels;</w:t>
      </w:r>
    </w:p>
    <w:p>
      <w:pPr>
        <w:pStyle w:val="Compact"/>
        <w:numPr>
          <w:ilvl w:val="0"/>
          <w:numId w:val="1081"/>
        </w:numPr>
      </w:pPr>
      <w:r>
        <w:t xml:space="preserve">unmanned systems;</w:t>
      </w:r>
    </w:p>
    <w:p>
      <w:pPr>
        <w:pStyle w:val="Compact"/>
        <w:numPr>
          <w:ilvl w:val="0"/>
          <w:numId w:val="1081"/>
        </w:numPr>
      </w:pPr>
      <w:r>
        <w:t xml:space="preserve">ruggedized electronics housings.</w:t>
      </w:r>
    </w:p>
    <w:bookmarkEnd w:id="121"/>
    <w:bookmarkStart w:id="122" w:name="X32e0e517754cf21453b72b9c9304ac8f8b07cc7"/>
    <w:p>
      <w:pPr>
        <w:pStyle w:val="Heading2"/>
      </w:pPr>
      <w:r>
        <w:t xml:space="preserve">Phase 3 Market: Qualified Aerospace / Space Hardware</w:t>
      </w:r>
    </w:p>
    <w:p>
      <w:pPr>
        <w:pStyle w:val="FirstParagraph"/>
      </w:pPr>
      <w:r>
        <w:t xml:space="preserve">This is the highest-value but slowest market.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82"/>
        </w:numPr>
      </w:pPr>
      <w:r>
        <w:t xml:space="preserve">repeatability;</w:t>
      </w:r>
    </w:p>
    <w:p>
      <w:pPr>
        <w:pStyle w:val="Compact"/>
        <w:numPr>
          <w:ilvl w:val="0"/>
          <w:numId w:val="1082"/>
        </w:numPr>
      </w:pPr>
      <w:r>
        <w:t xml:space="preserve">fatigue data;</w:t>
      </w:r>
    </w:p>
    <w:p>
      <w:pPr>
        <w:pStyle w:val="Compact"/>
        <w:numPr>
          <w:ilvl w:val="0"/>
          <w:numId w:val="1082"/>
        </w:numPr>
      </w:pPr>
      <w:r>
        <w:t xml:space="preserve">thermal data;</w:t>
      </w:r>
    </w:p>
    <w:p>
      <w:pPr>
        <w:pStyle w:val="Compact"/>
        <w:numPr>
          <w:ilvl w:val="0"/>
          <w:numId w:val="1082"/>
        </w:numPr>
      </w:pPr>
      <w:r>
        <w:t xml:space="preserve">corrosion data;</w:t>
      </w:r>
    </w:p>
    <w:p>
      <w:pPr>
        <w:pStyle w:val="Compact"/>
        <w:numPr>
          <w:ilvl w:val="0"/>
          <w:numId w:val="1082"/>
        </w:numPr>
      </w:pPr>
      <w:r>
        <w:t xml:space="preserve">lot traceability;</w:t>
      </w:r>
    </w:p>
    <w:p>
      <w:pPr>
        <w:pStyle w:val="Compact"/>
        <w:numPr>
          <w:ilvl w:val="0"/>
          <w:numId w:val="1082"/>
        </w:numPr>
      </w:pPr>
      <w:r>
        <w:t xml:space="preserve">powder qualification;</w:t>
      </w:r>
    </w:p>
    <w:p>
      <w:pPr>
        <w:pStyle w:val="Compact"/>
        <w:numPr>
          <w:ilvl w:val="0"/>
          <w:numId w:val="1082"/>
        </w:numPr>
      </w:pPr>
      <w:r>
        <w:t xml:space="preserve">process qualification;</w:t>
      </w:r>
    </w:p>
    <w:p>
      <w:pPr>
        <w:pStyle w:val="Compact"/>
        <w:numPr>
          <w:ilvl w:val="0"/>
          <w:numId w:val="1082"/>
        </w:numPr>
      </w:pPr>
      <w:r>
        <w:t xml:space="preserve">customer-specific test protocols.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page-25-full-bloom-competitive-strategy"/>
    <w:p>
      <w:pPr>
        <w:pStyle w:val="Heading1"/>
      </w:pPr>
      <w:r>
        <w:t xml:space="preserve">Page 25 — Full Bloom Competitive Strategy</w:t>
      </w:r>
    </w:p>
    <w:bookmarkStart w:id="124" w:name="do-not-compete-head-on-too-early"/>
    <w:p>
      <w:pPr>
        <w:pStyle w:val="Heading2"/>
      </w:pPr>
      <w:r>
        <w:t xml:space="preserve">Do Not Compete Head-On Too Early</w:t>
      </w:r>
    </w:p>
    <w:p>
      <w:pPr>
        <w:pStyle w:val="FirstParagraph"/>
      </w:pPr>
      <w:r>
        <w:t xml:space="preserve">The platform should not initially claim it beats Scalmalloy, A20X, or AlSi10Mg everywhere. That is a trap. Those alloys are established, qualified, and trusted.</w:t>
      </w:r>
    </w:p>
    <w:p>
      <w:pPr>
        <w:pStyle w:val="BodyText"/>
      </w:pPr>
      <w:r>
        <w:t xml:space="preserve">The early competitive position should be:</w:t>
      </w:r>
    </w:p>
    <w:p>
      <w:pPr>
        <w:pStyle w:val="BlockText"/>
      </w:pPr>
      <w:r>
        <w:t xml:space="preserve">“Where uniform alloys force the same material behavior everywhere, WS–AlTi Prime places different material states where the part needs them.”</w:t>
      </w:r>
    </w:p>
    <w:bookmarkEnd w:id="124"/>
    <w:bookmarkStart w:id="125" w:name="first-wedge-applications"/>
    <w:p>
      <w:pPr>
        <w:pStyle w:val="Heading2"/>
      </w:pPr>
      <w:r>
        <w:t xml:space="preserve">First Wedge Applications</w:t>
      </w:r>
    </w:p>
    <w:p>
      <w:pPr>
        <w:pStyle w:val="FirstParagraph"/>
      </w:pPr>
      <w:r>
        <w:t xml:space="preserve">The best wedge applications are ones where local property control visibly matters:</w:t>
      </w:r>
    </w:p>
    <w:p>
      <w:pPr>
        <w:pStyle w:val="Compact"/>
        <w:numPr>
          <w:ilvl w:val="0"/>
          <w:numId w:val="1083"/>
        </w:numPr>
      </w:pPr>
      <w:r>
        <w:t xml:space="preserve">bracket with hard bolt node and ductile skin;</w:t>
      </w:r>
    </w:p>
    <w:p>
      <w:pPr>
        <w:pStyle w:val="Compact"/>
        <w:numPr>
          <w:ilvl w:val="0"/>
          <w:numId w:val="1083"/>
        </w:numPr>
      </w:pPr>
      <w:r>
        <w:t xml:space="preserve">thermal housing with heat corridor and stiff rib;</w:t>
      </w:r>
    </w:p>
    <w:p>
      <w:pPr>
        <w:pStyle w:val="Compact"/>
        <w:numPr>
          <w:ilvl w:val="0"/>
          <w:numId w:val="1083"/>
        </w:numPr>
      </w:pPr>
      <w:r>
        <w:t xml:space="preserve">vibration-isolated sensor frame;</w:t>
      </w:r>
    </w:p>
    <w:p>
      <w:pPr>
        <w:pStyle w:val="Compact"/>
        <w:numPr>
          <w:ilvl w:val="0"/>
          <w:numId w:val="1083"/>
        </w:numPr>
      </w:pPr>
      <w:r>
        <w:t xml:space="preserve">robotic joint with reinforced bearing region;</w:t>
      </w:r>
    </w:p>
    <w:p>
      <w:pPr>
        <w:pStyle w:val="Compact"/>
        <w:numPr>
          <w:ilvl w:val="0"/>
          <w:numId w:val="1083"/>
        </w:numPr>
      </w:pPr>
      <w:r>
        <w:t xml:space="preserve">lattice impact absorber with graded stiffness.</w:t>
      </w:r>
    </w:p>
    <w:bookmarkEnd w:id="125"/>
    <w:bookmarkStart w:id="126" w:name="benchmarking-strategy"/>
    <w:p>
      <w:pPr>
        <w:pStyle w:val="Heading2"/>
      </w:pPr>
      <w:r>
        <w:t xml:space="preserve">Benchmarking Strategy</w:t>
      </w:r>
    </w:p>
    <w:p>
      <w:pPr>
        <w:pStyle w:val="FirstParagraph"/>
      </w:pPr>
      <w:r>
        <w:t xml:space="preserve">Benchmark against:</w:t>
      </w:r>
    </w:p>
    <w:p>
      <w:pPr>
        <w:pStyle w:val="Compact"/>
        <w:numPr>
          <w:ilvl w:val="0"/>
          <w:numId w:val="1084"/>
        </w:numPr>
      </w:pPr>
      <w:r>
        <w:t xml:space="preserve">AlSi10Mg for manufacturability and thermal baseline;</w:t>
      </w:r>
    </w:p>
    <w:p>
      <w:pPr>
        <w:pStyle w:val="Compact"/>
        <w:numPr>
          <w:ilvl w:val="0"/>
          <w:numId w:val="1084"/>
        </w:numPr>
      </w:pPr>
      <w:r>
        <w:t xml:space="preserve">Scalmalloy for strength and ductility;</w:t>
      </w:r>
    </w:p>
    <w:p>
      <w:pPr>
        <w:pStyle w:val="Compact"/>
        <w:numPr>
          <w:ilvl w:val="0"/>
          <w:numId w:val="1084"/>
        </w:numPr>
      </w:pPr>
      <w:r>
        <w:t xml:space="preserve">A20X/A205 for high-temperature and fatigue relevance;</w:t>
      </w:r>
    </w:p>
    <w:p>
      <w:pPr>
        <w:pStyle w:val="Compact"/>
        <w:numPr>
          <w:ilvl w:val="0"/>
          <w:numId w:val="1084"/>
        </w:numPr>
      </w:pPr>
      <w:r>
        <w:t xml:space="preserve">printable 6061-class alloys for practical industrial adoption;</w:t>
      </w:r>
    </w:p>
    <w:p>
      <w:pPr>
        <w:pStyle w:val="Compact"/>
        <w:numPr>
          <w:ilvl w:val="0"/>
          <w:numId w:val="1084"/>
        </w:numPr>
      </w:pPr>
      <w:r>
        <w:t xml:space="preserve">generic Al–Ti composites for reactive reinforcement benefit.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page-26-full-bloom-valuation-expansion"/>
    <w:p>
      <w:pPr>
        <w:pStyle w:val="Heading1"/>
      </w:pPr>
      <w:r>
        <w:t xml:space="preserve">Page 26 — Full Bloom Valuation Expansion</w:t>
      </w:r>
    </w:p>
    <w:bookmarkStart w:id="128" w:name="valuation-is-stage-gated"/>
    <w:p>
      <w:pPr>
        <w:pStyle w:val="Heading2"/>
      </w:pPr>
      <w:r>
        <w:t xml:space="preserve">26.1 Valuation Is Stage-Gated</w:t>
      </w:r>
    </w:p>
    <w:p>
      <w:pPr>
        <w:pStyle w:val="FirstParagraph"/>
      </w:pPr>
      <w:r>
        <w:t xml:space="preserve">The platform’s value should not be priced as though all risks are solved. It should be priced according to stage.</w:t>
      </w:r>
    </w:p>
    <w:p>
      <w:pPr>
        <w:pStyle w:val="BodyText"/>
      </w:pPr>
      <w:r>
        <w:t xml:space="preserve">The key valuation gates are: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Disclosure gate</w:t>
      </w:r>
      <w:r>
        <w:t xml:space="preserve"> </w:t>
      </w:r>
      <w:r>
        <w:t xml:space="preserve">— technical architecture documented;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Filing gate</w:t>
      </w:r>
      <w:r>
        <w:t xml:space="preserve"> </w:t>
      </w:r>
      <w:r>
        <w:t xml:space="preserve">— provisional filed;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Prior-art gate</w:t>
      </w:r>
      <w:r>
        <w:t xml:space="preserve"> </w:t>
      </w:r>
      <w:r>
        <w:t xml:space="preserve">— patent counsel identifies defensible claim territory;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Modeling gate</w:t>
      </w:r>
      <w:r>
        <w:t xml:space="preserve"> </w:t>
      </w:r>
      <w:r>
        <w:t xml:space="preserve">— phase and process feasibility supported;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Coupon gate</w:t>
      </w:r>
      <w:r>
        <w:t xml:space="preserve"> </w:t>
      </w:r>
      <w:r>
        <w:t xml:space="preserve">— chemistry and microstructure demonstrated;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Mechanical gate</w:t>
      </w:r>
      <w:r>
        <w:t xml:space="preserve"> </w:t>
      </w:r>
      <w:r>
        <w:t xml:space="preserve">— tensile/hardness/thermal data collected;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Part gate</w:t>
      </w:r>
      <w:r>
        <w:t xml:space="preserve"> </w:t>
      </w:r>
      <w:r>
        <w:t xml:space="preserve">— graded demonstrator works;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Partner gate</w:t>
      </w:r>
      <w:r>
        <w:t xml:space="preserve"> </w:t>
      </w:r>
      <w:r>
        <w:t xml:space="preserve">— external party validates interest;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Qualification gate</w:t>
      </w:r>
      <w:r>
        <w:t xml:space="preserve"> </w:t>
      </w:r>
      <w:r>
        <w:t xml:space="preserve">— repeatability and application-specific testing;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Commercial gate</w:t>
      </w:r>
      <w:r>
        <w:t xml:space="preserve"> </w:t>
      </w:r>
      <w:r>
        <w:t xml:space="preserve">— revenue or licensed field use.</w:t>
      </w:r>
    </w:p>
    <w:bookmarkEnd w:id="128"/>
    <w:bookmarkStart w:id="129" w:name="risk-adjusted-valuation-formula"/>
    <w:p>
      <w:pPr>
        <w:pStyle w:val="Heading2"/>
      </w:pPr>
      <w:r>
        <w:t xml:space="preserve">26.2 Risk-Adjusted Valuation Formula</w:t>
      </w:r>
    </w:p>
    <w:p>
      <w:pPr>
        <w:pStyle w:val="FirstParagraph"/>
      </w:pPr>
      <w:r>
        <w:t xml:space="preserve">A simplified risk-adjusted valuation may be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 = V_{max} imes P_{patent} imes P_{technical} imes P_{market} imes P_{execution}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86"/>
        </w:numPr>
      </w:pPr>
      <w:r>
        <w:t xml:space="preserve">(V_{max}) is potential commercial value if the platform is validated;</w:t>
      </w:r>
    </w:p>
    <w:p>
      <w:pPr>
        <w:pStyle w:val="Compact"/>
        <w:numPr>
          <w:ilvl w:val="0"/>
          <w:numId w:val="1086"/>
        </w:numPr>
      </w:pPr>
      <w:r>
        <w:t xml:space="preserve">(P_{patent}) is probability of defensible IP;</w:t>
      </w:r>
    </w:p>
    <w:p>
      <w:pPr>
        <w:pStyle w:val="Compact"/>
        <w:numPr>
          <w:ilvl w:val="0"/>
          <w:numId w:val="1086"/>
        </w:numPr>
      </w:pPr>
      <w:r>
        <w:t xml:space="preserve">(P_{technical}) is probability of technical performance;</w:t>
      </w:r>
    </w:p>
    <w:p>
      <w:pPr>
        <w:pStyle w:val="Compact"/>
        <w:numPr>
          <w:ilvl w:val="0"/>
          <w:numId w:val="1086"/>
        </w:numPr>
      </w:pPr>
      <w:r>
        <w:t xml:space="preserve">(P_{market}) is probability of adoption;</w:t>
      </w:r>
    </w:p>
    <w:p>
      <w:pPr>
        <w:pStyle w:val="Compact"/>
        <w:numPr>
          <w:ilvl w:val="0"/>
          <w:numId w:val="1086"/>
        </w:numPr>
      </w:pPr>
      <w:r>
        <w:t xml:space="preserve">(P_{execution}) is probability of successful execution.</w:t>
      </w:r>
    </w:p>
    <w:p>
      <w:pPr>
        <w:pStyle w:val="FirstParagraph"/>
      </w:pPr>
      <w:r>
        <w:t xml:space="preserve">At present, (P_{technical}) remains the biggest discount because coupon data is not yet available.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X415b4c00dd7e2a6dd458e4dcf491742f90bb5c6"/>
    <w:p>
      <w:pPr>
        <w:pStyle w:val="Heading1"/>
      </w:pPr>
      <w:r>
        <w:t xml:space="preserve">Page 27 — Full Bloom Valuation Scenario Detail</w:t>
      </w:r>
    </w:p>
    <w:bookmarkStart w:id="131" w:name="scenario-a-ip-only-license"/>
    <w:p>
      <w:pPr>
        <w:pStyle w:val="Heading2"/>
      </w:pPr>
      <w:r>
        <w:t xml:space="preserve">Scenario A — IP-Only License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A company licenses the provisional / pending patent family before deep validation.</w:t>
      </w:r>
    </w:p>
    <w:p>
      <w:pPr>
        <w:pStyle w:val="BodyText"/>
      </w:pPr>
      <w:r>
        <w:t xml:space="preserve">Likely value range:</w:t>
      </w:r>
    </w:p>
    <w:p>
      <w:pPr>
        <w:pStyle w:val="Compact"/>
        <w:numPr>
          <w:ilvl w:val="0"/>
          <w:numId w:val="1087"/>
        </w:numPr>
      </w:pPr>
      <w:r>
        <w:t xml:space="preserve">low six figures if unvalidated but well documented;</w:t>
      </w:r>
    </w:p>
    <w:p>
      <w:pPr>
        <w:pStyle w:val="Compact"/>
        <w:numPr>
          <w:ilvl w:val="0"/>
          <w:numId w:val="1087"/>
        </w:numPr>
      </w:pPr>
      <w:r>
        <w:t xml:space="preserve">potentially higher if prior-art search is favorable and partner sees strategic fit.</w:t>
      </w:r>
    </w:p>
    <w:p>
      <w:pPr>
        <w:pStyle w:val="FirstParagraph"/>
      </w:pPr>
      <w:r>
        <w:t xml:space="preserve">Best buyer:</w:t>
      </w:r>
    </w:p>
    <w:p>
      <w:pPr>
        <w:pStyle w:val="Compact"/>
        <w:numPr>
          <w:ilvl w:val="0"/>
          <w:numId w:val="1088"/>
        </w:numPr>
      </w:pPr>
      <w:r>
        <w:t xml:space="preserve">AM company;</w:t>
      </w:r>
    </w:p>
    <w:p>
      <w:pPr>
        <w:pStyle w:val="Compact"/>
        <w:numPr>
          <w:ilvl w:val="0"/>
          <w:numId w:val="1088"/>
        </w:numPr>
      </w:pPr>
      <w:r>
        <w:t xml:space="preserve">alloy developer;</w:t>
      </w:r>
    </w:p>
    <w:p>
      <w:pPr>
        <w:pStyle w:val="Compact"/>
        <w:numPr>
          <w:ilvl w:val="0"/>
          <w:numId w:val="1088"/>
        </w:numPr>
      </w:pPr>
      <w:r>
        <w:t xml:space="preserve">powder supplier;</w:t>
      </w:r>
    </w:p>
    <w:p>
      <w:pPr>
        <w:pStyle w:val="Compact"/>
        <w:numPr>
          <w:ilvl w:val="0"/>
          <w:numId w:val="1088"/>
        </w:numPr>
      </w:pPr>
      <w:r>
        <w:t xml:space="preserve">defense materials group.</w:t>
      </w:r>
    </w:p>
    <w:bookmarkEnd w:id="131"/>
    <w:bookmarkStart w:id="132" w:name="scenario-b-validated-coupon-license"/>
    <w:p>
      <w:pPr>
        <w:pStyle w:val="Heading2"/>
      </w:pPr>
      <w:r>
        <w:t xml:space="preserve">Scenario B — Validated Coupon License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Initial coupons show controlled microstructure, acceptable density, and strength/hardness benefit.</w:t>
      </w:r>
    </w:p>
    <w:p>
      <w:pPr>
        <w:pStyle w:val="BodyText"/>
      </w:pPr>
      <w:r>
        <w:t xml:space="preserve">Likely value range:</w:t>
      </w:r>
    </w:p>
    <w:p>
      <w:pPr>
        <w:pStyle w:val="Compact"/>
        <w:numPr>
          <w:ilvl w:val="0"/>
          <w:numId w:val="1089"/>
        </w:numPr>
      </w:pPr>
      <w:r>
        <w:t xml:space="preserve">low seven figures to mid-seven figures depending benchmark performance.</w:t>
      </w:r>
    </w:p>
    <w:p>
      <w:pPr>
        <w:pStyle w:val="FirstParagraph"/>
      </w:pPr>
      <w:r>
        <w:t xml:space="preserve">Best buyer:</w:t>
      </w:r>
    </w:p>
    <w:p>
      <w:pPr>
        <w:pStyle w:val="Compact"/>
        <w:numPr>
          <w:ilvl w:val="0"/>
          <w:numId w:val="1090"/>
        </w:numPr>
      </w:pPr>
      <w:r>
        <w:t xml:space="preserve">materials company;</w:t>
      </w:r>
    </w:p>
    <w:p>
      <w:pPr>
        <w:pStyle w:val="Compact"/>
        <w:numPr>
          <w:ilvl w:val="0"/>
          <w:numId w:val="1090"/>
        </w:numPr>
      </w:pPr>
      <w:r>
        <w:t xml:space="preserve">advanced manufacturing supplier;</w:t>
      </w:r>
    </w:p>
    <w:p>
      <w:pPr>
        <w:pStyle w:val="Compact"/>
        <w:numPr>
          <w:ilvl w:val="0"/>
          <w:numId w:val="1090"/>
        </w:numPr>
      </w:pPr>
      <w:r>
        <w:t xml:space="preserve">aerospace prototype group.</w:t>
      </w:r>
    </w:p>
    <w:bookmarkEnd w:id="132"/>
    <w:bookmarkStart w:id="133" w:name="scenario-c-validated-prototype-platform"/>
    <w:p>
      <w:pPr>
        <w:pStyle w:val="Heading2"/>
      </w:pPr>
      <w:r>
        <w:t xml:space="preserve">Scenario C — Validated Prototype Platform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A graded bracket, thermal panel, or vibration lattice proves part-level advantage over uniform alloy designs.</w:t>
      </w:r>
    </w:p>
    <w:p>
      <w:pPr>
        <w:pStyle w:val="BodyText"/>
      </w:pPr>
      <w:r>
        <w:t xml:space="preserve">Likely value range:</w:t>
      </w:r>
    </w:p>
    <w:p>
      <w:pPr>
        <w:pStyle w:val="Compact"/>
        <w:numPr>
          <w:ilvl w:val="0"/>
          <w:numId w:val="1091"/>
        </w:numPr>
      </w:pPr>
      <w:r>
        <w:t xml:space="preserve">mid-seven figures to tens of millions if partner demand is credible.</w:t>
      </w:r>
    </w:p>
    <w:p>
      <w:pPr>
        <w:pStyle w:val="FirstParagraph"/>
      </w:pPr>
      <w:r>
        <w:t xml:space="preserve">Best buyer:</w:t>
      </w:r>
    </w:p>
    <w:p>
      <w:pPr>
        <w:pStyle w:val="Compact"/>
        <w:numPr>
          <w:ilvl w:val="0"/>
          <w:numId w:val="1092"/>
        </w:numPr>
      </w:pPr>
      <w:r>
        <w:t xml:space="preserve">aerospace supplier;</w:t>
      </w:r>
    </w:p>
    <w:p>
      <w:pPr>
        <w:pStyle w:val="Compact"/>
        <w:numPr>
          <w:ilvl w:val="0"/>
          <w:numId w:val="1092"/>
        </w:numPr>
      </w:pPr>
      <w:r>
        <w:t xml:space="preserve">defense prime;</w:t>
      </w:r>
    </w:p>
    <w:p>
      <w:pPr>
        <w:pStyle w:val="Compact"/>
        <w:numPr>
          <w:ilvl w:val="0"/>
          <w:numId w:val="1092"/>
        </w:numPr>
      </w:pPr>
      <w:r>
        <w:t xml:space="preserve">robotics manufacturer;</w:t>
      </w:r>
    </w:p>
    <w:p>
      <w:pPr>
        <w:pStyle w:val="Compact"/>
        <w:numPr>
          <w:ilvl w:val="0"/>
          <w:numId w:val="1092"/>
        </w:numPr>
      </w:pPr>
      <w:r>
        <w:t xml:space="preserve">thermal-management company.</w:t>
      </w:r>
    </w:p>
    <w:bookmarkEnd w:id="133"/>
    <w:bookmarkStart w:id="134" w:name="Xe9ebe88ff398b489b83cb839bc84268f706367d"/>
    <w:p>
      <w:pPr>
        <w:pStyle w:val="Heading2"/>
      </w:pPr>
      <w:r>
        <w:t xml:space="preserve">Scenario D — Qualified Materials Platform Company</w:t>
      </w:r>
    </w:p>
    <w:p>
      <w:pPr>
        <w:pStyle w:val="FirstParagraph"/>
      </w:pPr>
      <w:r>
        <w:t xml:space="preserve">Description:</w:t>
      </w:r>
    </w:p>
    <w:p>
      <w:pPr>
        <w:pStyle w:val="BodyText"/>
      </w:pPr>
      <w:r>
        <w:t xml:space="preserve">The technology becomes a company with patent family, feedstock supply, process recipes, software, and partner pilots.</w:t>
      </w:r>
    </w:p>
    <w:p>
      <w:pPr>
        <w:pStyle w:val="BodyText"/>
      </w:pPr>
      <w:r>
        <w:t xml:space="preserve">Likely value range:</w:t>
      </w:r>
    </w:p>
    <w:p>
      <w:pPr>
        <w:pStyle w:val="Compact"/>
        <w:numPr>
          <w:ilvl w:val="0"/>
          <w:numId w:val="1093"/>
        </w:numPr>
      </w:pPr>
      <w:r>
        <w:t xml:space="preserve">tens of millions to hundreds of millions if revenue, patents, and qualification mature.</w:t>
      </w:r>
    </w:p>
    <w:p>
      <w:pPr>
        <w:pStyle w:val="FirstParagraph"/>
      </w:pPr>
      <w:r>
        <w:t xml:space="preserve">Best path:</w:t>
      </w:r>
    </w:p>
    <w:p>
      <w:pPr>
        <w:pStyle w:val="Compact"/>
        <w:numPr>
          <w:ilvl w:val="0"/>
          <w:numId w:val="1094"/>
        </w:numPr>
      </w:pPr>
      <w:r>
        <w:t xml:space="preserve">venture funding;</w:t>
      </w:r>
    </w:p>
    <w:p>
      <w:pPr>
        <w:pStyle w:val="Compact"/>
        <w:numPr>
          <w:ilvl w:val="0"/>
          <w:numId w:val="1094"/>
        </w:numPr>
      </w:pPr>
      <w:r>
        <w:t xml:space="preserve">strategic investment;</w:t>
      </w:r>
    </w:p>
    <w:p>
      <w:pPr>
        <w:pStyle w:val="Compact"/>
        <w:numPr>
          <w:ilvl w:val="0"/>
          <w:numId w:val="1094"/>
        </w:numPr>
      </w:pPr>
      <w:r>
        <w:t xml:space="preserve">acquisition by AM/materials/aerospace company.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X586e9d44dbce51d44b27baa2f8049782807d910"/>
    <w:p>
      <w:pPr>
        <w:pStyle w:val="Heading1"/>
      </w:pPr>
      <w:r>
        <w:t xml:space="preserve">Page 28 — Full Bloom Financial Model Inputs</w:t>
      </w:r>
    </w:p>
    <w:p>
      <w:pPr>
        <w:pStyle w:val="FirstParagraph"/>
      </w:pPr>
      <w:r>
        <w:t xml:space="preserve">A future spreadsheet model should include these variables.</w:t>
      </w:r>
    </w:p>
    <w:bookmarkStart w:id="136" w:name="revenue-inputs"/>
    <w:p>
      <w:pPr>
        <w:pStyle w:val="Heading2"/>
      </w:pPr>
      <w:r>
        <w:t xml:space="preserve">Revenue Inputs</w:t>
      </w:r>
    </w:p>
    <w:p>
      <w:pPr>
        <w:pStyle w:val="Compact"/>
        <w:numPr>
          <w:ilvl w:val="0"/>
          <w:numId w:val="1095"/>
        </w:numPr>
      </w:pPr>
      <w:r>
        <w:t xml:space="preserve">powder/feedstock sales volume;</w:t>
      </w:r>
    </w:p>
    <w:p>
      <w:pPr>
        <w:pStyle w:val="Compact"/>
        <w:numPr>
          <w:ilvl w:val="0"/>
          <w:numId w:val="1095"/>
        </w:numPr>
      </w:pPr>
      <w:r>
        <w:t xml:space="preserve">powder gross margin;</w:t>
      </w:r>
    </w:p>
    <w:p>
      <w:pPr>
        <w:pStyle w:val="Compact"/>
        <w:numPr>
          <w:ilvl w:val="0"/>
          <w:numId w:val="1095"/>
        </w:numPr>
      </w:pPr>
      <w:r>
        <w:t xml:space="preserve">process-license fee per machine;</w:t>
      </w:r>
    </w:p>
    <w:p>
      <w:pPr>
        <w:pStyle w:val="Compact"/>
        <w:numPr>
          <w:ilvl w:val="0"/>
          <w:numId w:val="1095"/>
        </w:numPr>
      </w:pPr>
      <w:r>
        <w:t xml:space="preserve">software license fee;</w:t>
      </w:r>
    </w:p>
    <w:p>
      <w:pPr>
        <w:pStyle w:val="Compact"/>
        <w:numPr>
          <w:ilvl w:val="0"/>
          <w:numId w:val="1095"/>
        </w:numPr>
      </w:pPr>
      <w:r>
        <w:t xml:space="preserve">per-part royalty;</w:t>
      </w:r>
    </w:p>
    <w:p>
      <w:pPr>
        <w:pStyle w:val="Compact"/>
        <w:numPr>
          <w:ilvl w:val="0"/>
          <w:numId w:val="1095"/>
        </w:numPr>
      </w:pPr>
      <w:r>
        <w:t xml:space="preserve">upfront license fees;</w:t>
      </w:r>
    </w:p>
    <w:p>
      <w:pPr>
        <w:pStyle w:val="Compact"/>
        <w:numPr>
          <w:ilvl w:val="0"/>
          <w:numId w:val="1095"/>
        </w:numPr>
      </w:pPr>
      <w:r>
        <w:t xml:space="preserve">annual minimum royalties;</w:t>
      </w:r>
    </w:p>
    <w:p>
      <w:pPr>
        <w:pStyle w:val="Compact"/>
        <w:numPr>
          <w:ilvl w:val="0"/>
          <w:numId w:val="1095"/>
        </w:numPr>
      </w:pPr>
      <w:r>
        <w:t xml:space="preserve">JDA funding;</w:t>
      </w:r>
    </w:p>
    <w:p>
      <w:pPr>
        <w:pStyle w:val="Compact"/>
        <w:numPr>
          <w:ilvl w:val="0"/>
          <w:numId w:val="1095"/>
        </w:numPr>
      </w:pPr>
      <w:r>
        <w:t xml:space="preserve">prototype development fees;</w:t>
      </w:r>
    </w:p>
    <w:p>
      <w:pPr>
        <w:pStyle w:val="Compact"/>
        <w:numPr>
          <w:ilvl w:val="0"/>
          <w:numId w:val="1095"/>
        </w:numPr>
      </w:pPr>
      <w:r>
        <w:t xml:space="preserve">production part revenue.</w:t>
      </w:r>
    </w:p>
    <w:bookmarkEnd w:id="136"/>
    <w:bookmarkStart w:id="137" w:name="cost-inputs"/>
    <w:p>
      <w:pPr>
        <w:pStyle w:val="Heading2"/>
      </w:pPr>
      <w:r>
        <w:t xml:space="preserve">Cost Inputs</w:t>
      </w:r>
    </w:p>
    <w:p>
      <w:pPr>
        <w:pStyle w:val="Compact"/>
        <w:numPr>
          <w:ilvl w:val="0"/>
          <w:numId w:val="1096"/>
        </w:numPr>
      </w:pPr>
      <w:r>
        <w:t xml:space="preserve">powder procurement;</w:t>
      </w:r>
    </w:p>
    <w:p>
      <w:pPr>
        <w:pStyle w:val="Compact"/>
        <w:numPr>
          <w:ilvl w:val="0"/>
          <w:numId w:val="1096"/>
        </w:numPr>
      </w:pPr>
      <w:r>
        <w:t xml:space="preserve">Sc/Zr material cost;</w:t>
      </w:r>
    </w:p>
    <w:p>
      <w:pPr>
        <w:pStyle w:val="Compact"/>
        <w:numPr>
          <w:ilvl w:val="0"/>
          <w:numId w:val="1096"/>
        </w:numPr>
      </w:pPr>
      <w:r>
        <w:t xml:space="preserve">DED machine time;</w:t>
      </w:r>
    </w:p>
    <w:p>
      <w:pPr>
        <w:pStyle w:val="Compact"/>
        <w:numPr>
          <w:ilvl w:val="0"/>
          <w:numId w:val="1096"/>
        </w:numPr>
      </w:pPr>
      <w:r>
        <w:t xml:space="preserve">post-processing;</w:t>
      </w:r>
    </w:p>
    <w:p>
      <w:pPr>
        <w:pStyle w:val="Compact"/>
        <w:numPr>
          <w:ilvl w:val="0"/>
          <w:numId w:val="1096"/>
        </w:numPr>
      </w:pPr>
      <w:r>
        <w:t xml:space="preserve">testing;</w:t>
      </w:r>
    </w:p>
    <w:p>
      <w:pPr>
        <w:pStyle w:val="Compact"/>
        <w:numPr>
          <w:ilvl w:val="0"/>
          <w:numId w:val="1096"/>
        </w:numPr>
      </w:pPr>
      <w:r>
        <w:t xml:space="preserve">certification;</w:t>
      </w:r>
    </w:p>
    <w:p>
      <w:pPr>
        <w:pStyle w:val="Compact"/>
        <w:numPr>
          <w:ilvl w:val="0"/>
          <w:numId w:val="1096"/>
        </w:numPr>
      </w:pPr>
      <w:r>
        <w:t xml:space="preserve">patent prosecution;</w:t>
      </w:r>
    </w:p>
    <w:p>
      <w:pPr>
        <w:pStyle w:val="Compact"/>
        <w:numPr>
          <w:ilvl w:val="0"/>
          <w:numId w:val="1096"/>
        </w:numPr>
      </w:pPr>
      <w:r>
        <w:t xml:space="preserve">staff and consulting;</w:t>
      </w:r>
    </w:p>
    <w:p>
      <w:pPr>
        <w:pStyle w:val="Compact"/>
        <w:numPr>
          <w:ilvl w:val="0"/>
          <w:numId w:val="1096"/>
        </w:numPr>
      </w:pPr>
      <w:r>
        <w:t xml:space="preserve">software development;</w:t>
      </w:r>
    </w:p>
    <w:p>
      <w:pPr>
        <w:pStyle w:val="Compact"/>
        <w:numPr>
          <w:ilvl w:val="0"/>
          <w:numId w:val="1096"/>
        </w:numPr>
      </w:pPr>
      <w:r>
        <w:t xml:space="preserve">partner support.</w:t>
      </w:r>
    </w:p>
    <w:bookmarkEnd w:id="137"/>
    <w:bookmarkStart w:id="138" w:name="adoption-inputs"/>
    <w:p>
      <w:pPr>
        <w:pStyle w:val="Heading2"/>
      </w:pPr>
      <w:r>
        <w:t xml:space="preserve">Adoption Inputs</w:t>
      </w:r>
    </w:p>
    <w:p>
      <w:pPr>
        <w:pStyle w:val="Compact"/>
        <w:numPr>
          <w:ilvl w:val="0"/>
          <w:numId w:val="1097"/>
        </w:numPr>
      </w:pPr>
      <w:r>
        <w:t xml:space="preserve">number of partner machines;</w:t>
      </w:r>
    </w:p>
    <w:p>
      <w:pPr>
        <w:pStyle w:val="Compact"/>
        <w:numPr>
          <w:ilvl w:val="0"/>
          <w:numId w:val="1097"/>
        </w:numPr>
      </w:pPr>
      <w:r>
        <w:t xml:space="preserve">number of parts per year;</w:t>
      </w:r>
    </w:p>
    <w:p>
      <w:pPr>
        <w:pStyle w:val="Compact"/>
        <w:numPr>
          <w:ilvl w:val="0"/>
          <w:numId w:val="1097"/>
        </w:numPr>
      </w:pPr>
      <w:r>
        <w:t xml:space="preserve">revenue per part;</w:t>
      </w:r>
    </w:p>
    <w:p>
      <w:pPr>
        <w:pStyle w:val="Compact"/>
        <w:numPr>
          <w:ilvl w:val="0"/>
          <w:numId w:val="1097"/>
        </w:numPr>
      </w:pPr>
      <w:r>
        <w:t xml:space="preserve">royalty rate;</w:t>
      </w:r>
    </w:p>
    <w:p>
      <w:pPr>
        <w:pStyle w:val="Compact"/>
        <w:numPr>
          <w:ilvl w:val="0"/>
          <w:numId w:val="1097"/>
        </w:numPr>
      </w:pPr>
      <w:r>
        <w:t xml:space="preserve">qualification timeline;</w:t>
      </w:r>
    </w:p>
    <w:p>
      <w:pPr>
        <w:pStyle w:val="Compact"/>
        <w:numPr>
          <w:ilvl w:val="0"/>
          <w:numId w:val="1097"/>
        </w:numPr>
      </w:pPr>
      <w:r>
        <w:t xml:space="preserve">market penetration by sector.</w:t>
      </w:r>
    </w:p>
    <w:bookmarkEnd w:id="138"/>
    <w:bookmarkStart w:id="139" w:name="risk-inputs"/>
    <w:p>
      <w:pPr>
        <w:pStyle w:val="Heading2"/>
      </w:pPr>
      <w:r>
        <w:t xml:space="preserve">Risk Inputs</w:t>
      </w:r>
    </w:p>
    <w:p>
      <w:pPr>
        <w:pStyle w:val="Compact"/>
        <w:numPr>
          <w:ilvl w:val="0"/>
          <w:numId w:val="1098"/>
        </w:numPr>
      </w:pPr>
      <w:r>
        <w:t xml:space="preserve">technical success probability;</w:t>
      </w:r>
    </w:p>
    <w:p>
      <w:pPr>
        <w:pStyle w:val="Compact"/>
        <w:numPr>
          <w:ilvl w:val="0"/>
          <w:numId w:val="1098"/>
        </w:numPr>
      </w:pPr>
      <w:r>
        <w:t xml:space="preserve">patent allowance probability;</w:t>
      </w:r>
    </w:p>
    <w:p>
      <w:pPr>
        <w:pStyle w:val="Compact"/>
        <w:numPr>
          <w:ilvl w:val="0"/>
          <w:numId w:val="1098"/>
        </w:numPr>
      </w:pPr>
      <w:r>
        <w:t xml:space="preserve">partner conversion probability;</w:t>
      </w:r>
    </w:p>
    <w:p>
      <w:pPr>
        <w:pStyle w:val="Compact"/>
        <w:numPr>
          <w:ilvl w:val="0"/>
          <w:numId w:val="1098"/>
        </w:numPr>
      </w:pPr>
      <w:r>
        <w:t xml:space="preserve">process repeatability probability;</w:t>
      </w:r>
    </w:p>
    <w:p>
      <w:pPr>
        <w:pStyle w:val="Compact"/>
        <w:numPr>
          <w:ilvl w:val="0"/>
          <w:numId w:val="1098"/>
        </w:numPr>
      </w:pPr>
      <w:r>
        <w:t xml:space="preserve">certification probability.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page-29-full-bloom-licensing-strategy"/>
    <w:p>
      <w:pPr>
        <w:pStyle w:val="Heading1"/>
      </w:pPr>
      <w:r>
        <w:t xml:space="preserve">Page 29 — Full Bloom Licensing Strategy</w:t>
      </w:r>
    </w:p>
    <w:bookmarkStart w:id="141" w:name="nonexclusive-license"/>
    <w:p>
      <w:pPr>
        <w:pStyle w:val="Heading2"/>
      </w:pPr>
      <w:r>
        <w:t xml:space="preserve">Nonexclusive License</w:t>
      </w:r>
    </w:p>
    <w:p>
      <w:pPr>
        <w:pStyle w:val="FirstParagraph"/>
      </w:pPr>
      <w:r>
        <w:t xml:space="preserve">Best when:</w:t>
      </w:r>
    </w:p>
    <w:p>
      <w:pPr>
        <w:pStyle w:val="Compact"/>
        <w:numPr>
          <w:ilvl w:val="0"/>
          <w:numId w:val="1099"/>
        </w:numPr>
      </w:pPr>
      <w:r>
        <w:t xml:space="preserve">maximizing adoption;</w:t>
      </w:r>
    </w:p>
    <w:p>
      <w:pPr>
        <w:pStyle w:val="Compact"/>
        <w:numPr>
          <w:ilvl w:val="0"/>
          <w:numId w:val="1099"/>
        </w:numPr>
      </w:pPr>
      <w:r>
        <w:t xml:space="preserve">selling feedstock or software;</w:t>
      </w:r>
    </w:p>
    <w:p>
      <w:pPr>
        <w:pStyle w:val="Compact"/>
        <w:numPr>
          <w:ilvl w:val="0"/>
          <w:numId w:val="1099"/>
        </w:numPr>
      </w:pPr>
      <w:r>
        <w:t xml:space="preserve">multiple markets are available.</w:t>
      </w:r>
    </w:p>
    <w:p>
      <w:pPr>
        <w:pStyle w:val="FirstParagraph"/>
      </w:pPr>
      <w:r>
        <w:t xml:space="preserve">Terms may include:</w:t>
      </w:r>
    </w:p>
    <w:p>
      <w:pPr>
        <w:pStyle w:val="Compact"/>
        <w:numPr>
          <w:ilvl w:val="0"/>
          <w:numId w:val="1100"/>
        </w:numPr>
      </w:pPr>
      <w:r>
        <w:t xml:space="preserve">upfront fee;</w:t>
      </w:r>
    </w:p>
    <w:p>
      <w:pPr>
        <w:pStyle w:val="Compact"/>
        <w:numPr>
          <w:ilvl w:val="0"/>
          <w:numId w:val="1100"/>
        </w:numPr>
      </w:pPr>
      <w:r>
        <w:t xml:space="preserve">running royalty;</w:t>
      </w:r>
    </w:p>
    <w:p>
      <w:pPr>
        <w:pStyle w:val="Compact"/>
        <w:numPr>
          <w:ilvl w:val="0"/>
          <w:numId w:val="1100"/>
        </w:numPr>
      </w:pPr>
      <w:r>
        <w:t xml:space="preserve">annual minimum;</w:t>
      </w:r>
    </w:p>
    <w:p>
      <w:pPr>
        <w:pStyle w:val="Compact"/>
        <w:numPr>
          <w:ilvl w:val="0"/>
          <w:numId w:val="1100"/>
        </w:numPr>
      </w:pPr>
      <w:r>
        <w:t xml:space="preserve">technical support fee.</w:t>
      </w:r>
    </w:p>
    <w:bookmarkEnd w:id="141"/>
    <w:bookmarkStart w:id="142" w:name="field-exclusive-license"/>
    <w:p>
      <w:pPr>
        <w:pStyle w:val="Heading2"/>
      </w:pPr>
      <w:r>
        <w:t xml:space="preserve">Field-Exclusive License</w:t>
      </w:r>
    </w:p>
    <w:p>
      <w:pPr>
        <w:pStyle w:val="FirstParagraph"/>
      </w:pPr>
      <w:r>
        <w:t xml:space="preserve">Best when:</w:t>
      </w:r>
    </w:p>
    <w:p>
      <w:pPr>
        <w:pStyle w:val="Compact"/>
        <w:numPr>
          <w:ilvl w:val="0"/>
          <w:numId w:val="1101"/>
        </w:numPr>
      </w:pPr>
      <w:r>
        <w:t xml:space="preserve">one partner wants aerospace, robotics, or thermal-management exclusivity.</w:t>
      </w:r>
    </w:p>
    <w:p>
      <w:pPr>
        <w:pStyle w:val="FirstParagraph"/>
      </w:pPr>
      <w:r>
        <w:t xml:space="preserve">Terms may include:</w:t>
      </w:r>
    </w:p>
    <w:p>
      <w:pPr>
        <w:pStyle w:val="Compact"/>
        <w:numPr>
          <w:ilvl w:val="0"/>
          <w:numId w:val="1102"/>
        </w:numPr>
      </w:pPr>
      <w:r>
        <w:t xml:space="preserve">larger upfront payment;</w:t>
      </w:r>
    </w:p>
    <w:p>
      <w:pPr>
        <w:pStyle w:val="Compact"/>
        <w:numPr>
          <w:ilvl w:val="0"/>
          <w:numId w:val="1102"/>
        </w:numPr>
      </w:pPr>
      <w:r>
        <w:t xml:space="preserve">milestone payments;</w:t>
      </w:r>
    </w:p>
    <w:p>
      <w:pPr>
        <w:pStyle w:val="Compact"/>
        <w:numPr>
          <w:ilvl w:val="0"/>
          <w:numId w:val="1102"/>
        </w:numPr>
      </w:pPr>
      <w:r>
        <w:t xml:space="preserve">field-specific minimums;</w:t>
      </w:r>
    </w:p>
    <w:p>
      <w:pPr>
        <w:pStyle w:val="Compact"/>
        <w:numPr>
          <w:ilvl w:val="0"/>
          <w:numId w:val="1102"/>
        </w:numPr>
      </w:pPr>
      <w:r>
        <w:t xml:space="preserve">sublicensing controls.</w:t>
      </w:r>
    </w:p>
    <w:bookmarkEnd w:id="142"/>
    <w:bookmarkStart w:id="143" w:name="joint-development-agreement"/>
    <w:p>
      <w:pPr>
        <w:pStyle w:val="Heading2"/>
      </w:pPr>
      <w:r>
        <w:t xml:space="preserve">Joint Development Agreement</w:t>
      </w:r>
    </w:p>
    <w:p>
      <w:pPr>
        <w:pStyle w:val="FirstParagraph"/>
      </w:pPr>
      <w:r>
        <w:t xml:space="preserve">Best before full validation.</w:t>
      </w:r>
    </w:p>
    <w:p>
      <w:pPr>
        <w:pStyle w:val="BodyText"/>
      </w:pPr>
      <w:r>
        <w:t xml:space="preserve">Structure:</w:t>
      </w:r>
    </w:p>
    <w:p>
      <w:pPr>
        <w:pStyle w:val="Compact"/>
        <w:numPr>
          <w:ilvl w:val="0"/>
          <w:numId w:val="1103"/>
        </w:numPr>
      </w:pPr>
      <w:r>
        <w:t xml:space="preserve">partner funds coupon/prototype work;</w:t>
      </w:r>
    </w:p>
    <w:p>
      <w:pPr>
        <w:pStyle w:val="Compact"/>
        <w:numPr>
          <w:ilvl w:val="0"/>
          <w:numId w:val="1103"/>
        </w:numPr>
      </w:pPr>
      <w:r>
        <w:t xml:space="preserve">ownership of background IP remains with inventor/company;</w:t>
      </w:r>
    </w:p>
    <w:p>
      <w:pPr>
        <w:pStyle w:val="Compact"/>
        <w:numPr>
          <w:ilvl w:val="0"/>
          <w:numId w:val="1103"/>
        </w:numPr>
      </w:pPr>
      <w:r>
        <w:t xml:space="preserve">foreground IP allocation carefully negotiated;</w:t>
      </w:r>
    </w:p>
    <w:p>
      <w:pPr>
        <w:pStyle w:val="Compact"/>
        <w:numPr>
          <w:ilvl w:val="0"/>
          <w:numId w:val="1103"/>
        </w:numPr>
      </w:pPr>
      <w:r>
        <w:t xml:space="preserve">partner receives option to license field-specific rights.</w:t>
      </w:r>
    </w:p>
    <w:bookmarkEnd w:id="143"/>
    <w:bookmarkStart w:id="144" w:name="strategic-investment"/>
    <w:p>
      <w:pPr>
        <w:pStyle w:val="Heading2"/>
      </w:pPr>
      <w:r>
        <w:t xml:space="preserve">Strategic Investment</w:t>
      </w:r>
    </w:p>
    <w:p>
      <w:pPr>
        <w:pStyle w:val="FirstParagraph"/>
      </w:pPr>
      <w:r>
        <w:t xml:space="preserve">Best when:</w:t>
      </w:r>
    </w:p>
    <w:p>
      <w:pPr>
        <w:pStyle w:val="Compact"/>
        <w:numPr>
          <w:ilvl w:val="0"/>
          <w:numId w:val="1104"/>
        </w:numPr>
      </w:pPr>
      <w:r>
        <w:t xml:space="preserve">there is clear partner need;</w:t>
      </w:r>
    </w:p>
    <w:p>
      <w:pPr>
        <w:pStyle w:val="Compact"/>
        <w:numPr>
          <w:ilvl w:val="0"/>
          <w:numId w:val="1104"/>
        </w:numPr>
      </w:pPr>
      <w:r>
        <w:t xml:space="preserve">technology is broad enough for company formation;</w:t>
      </w:r>
    </w:p>
    <w:p>
      <w:pPr>
        <w:pStyle w:val="Compact"/>
        <w:numPr>
          <w:ilvl w:val="0"/>
          <w:numId w:val="1104"/>
        </w:numPr>
      </w:pPr>
      <w:r>
        <w:t xml:space="preserve">materials compiler/software layer can scale.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page-30-full-bloom-data-room-structure"/>
    <w:p>
      <w:pPr>
        <w:pStyle w:val="Heading1"/>
      </w:pPr>
      <w:r>
        <w:t xml:space="preserve">Page 30 — Full Bloom Data Room Structure</w:t>
      </w:r>
    </w:p>
    <w:p>
      <w:pPr>
        <w:pStyle w:val="FirstParagraph"/>
      </w:pPr>
      <w:r>
        <w:t xml:space="preserve">A serious partner or investor will expect a structured data room.</w:t>
      </w:r>
    </w:p>
    <w:bookmarkStart w:id="146" w:name="folder-1-ip"/>
    <w:p>
      <w:pPr>
        <w:pStyle w:val="Heading2"/>
      </w:pPr>
      <w:r>
        <w:t xml:space="preserve">Folder 1 — IP</w:t>
      </w:r>
    </w:p>
    <w:p>
      <w:pPr>
        <w:pStyle w:val="Compact"/>
        <w:numPr>
          <w:ilvl w:val="0"/>
          <w:numId w:val="1105"/>
        </w:numPr>
      </w:pPr>
      <w:r>
        <w:t xml:space="preserve">provisional specification;</w:t>
      </w:r>
    </w:p>
    <w:p>
      <w:pPr>
        <w:pStyle w:val="Compact"/>
        <w:numPr>
          <w:ilvl w:val="0"/>
          <w:numId w:val="1105"/>
        </w:numPr>
      </w:pPr>
      <w:r>
        <w:t xml:space="preserve">claims;</w:t>
      </w:r>
    </w:p>
    <w:p>
      <w:pPr>
        <w:pStyle w:val="Compact"/>
        <w:numPr>
          <w:ilvl w:val="0"/>
          <w:numId w:val="1105"/>
        </w:numPr>
      </w:pPr>
      <w:r>
        <w:t xml:space="preserve">figure sheets;</w:t>
      </w:r>
    </w:p>
    <w:p>
      <w:pPr>
        <w:pStyle w:val="Compact"/>
        <w:numPr>
          <w:ilvl w:val="0"/>
          <w:numId w:val="1105"/>
        </w:numPr>
      </w:pPr>
      <w:r>
        <w:t xml:space="preserve">disclosure chronology;</w:t>
      </w:r>
    </w:p>
    <w:p>
      <w:pPr>
        <w:pStyle w:val="Compact"/>
        <w:numPr>
          <w:ilvl w:val="0"/>
          <w:numId w:val="1105"/>
        </w:numPr>
      </w:pPr>
      <w:r>
        <w:t xml:space="preserve">prior-art search results;</w:t>
      </w:r>
    </w:p>
    <w:p>
      <w:pPr>
        <w:pStyle w:val="Compact"/>
        <w:numPr>
          <w:ilvl w:val="0"/>
          <w:numId w:val="1105"/>
        </w:numPr>
      </w:pPr>
      <w:r>
        <w:t xml:space="preserve">counsel memos;</w:t>
      </w:r>
    </w:p>
    <w:p>
      <w:pPr>
        <w:pStyle w:val="Compact"/>
        <w:numPr>
          <w:ilvl w:val="0"/>
          <w:numId w:val="1105"/>
        </w:numPr>
      </w:pPr>
      <w:r>
        <w:t xml:space="preserve">assignment documents.</w:t>
      </w:r>
    </w:p>
    <w:bookmarkEnd w:id="146"/>
    <w:bookmarkStart w:id="147" w:name="folder-2-technical"/>
    <w:p>
      <w:pPr>
        <w:pStyle w:val="Heading2"/>
      </w:pPr>
      <w:r>
        <w:t xml:space="preserve">Folder 2 — Technical</w:t>
      </w:r>
    </w:p>
    <w:p>
      <w:pPr>
        <w:pStyle w:val="Compact"/>
        <w:numPr>
          <w:ilvl w:val="0"/>
          <w:numId w:val="1106"/>
        </w:numPr>
      </w:pPr>
      <w:r>
        <w:t xml:space="preserve">composition rationale;</w:t>
      </w:r>
    </w:p>
    <w:p>
      <w:pPr>
        <w:pStyle w:val="Compact"/>
        <w:numPr>
          <w:ilvl w:val="0"/>
          <w:numId w:val="1106"/>
        </w:numPr>
      </w:pPr>
      <w:r>
        <w:t xml:space="preserve">modeling;</w:t>
      </w:r>
    </w:p>
    <w:p>
      <w:pPr>
        <w:pStyle w:val="Compact"/>
        <w:numPr>
          <w:ilvl w:val="0"/>
          <w:numId w:val="1106"/>
        </w:numPr>
      </w:pPr>
      <w:r>
        <w:t xml:space="preserve">phase diagrams;</w:t>
      </w:r>
    </w:p>
    <w:p>
      <w:pPr>
        <w:pStyle w:val="Compact"/>
        <w:numPr>
          <w:ilvl w:val="0"/>
          <w:numId w:val="1106"/>
        </w:numPr>
      </w:pPr>
      <w:r>
        <w:t xml:space="preserve">process plans;</w:t>
      </w:r>
    </w:p>
    <w:p>
      <w:pPr>
        <w:pStyle w:val="Compact"/>
        <w:numPr>
          <w:ilvl w:val="0"/>
          <w:numId w:val="1106"/>
        </w:numPr>
      </w:pPr>
      <w:r>
        <w:t xml:space="preserve">feedstock specifications;</w:t>
      </w:r>
    </w:p>
    <w:p>
      <w:pPr>
        <w:pStyle w:val="Compact"/>
        <w:numPr>
          <w:ilvl w:val="0"/>
          <w:numId w:val="1106"/>
        </w:numPr>
      </w:pPr>
      <w:r>
        <w:t xml:space="preserve">DED parameter matrix;</w:t>
      </w:r>
    </w:p>
    <w:p>
      <w:pPr>
        <w:pStyle w:val="Compact"/>
        <w:numPr>
          <w:ilvl w:val="0"/>
          <w:numId w:val="1106"/>
        </w:numPr>
      </w:pPr>
      <w:r>
        <w:t xml:space="preserve">heat-treatment plan.</w:t>
      </w:r>
    </w:p>
    <w:bookmarkEnd w:id="147"/>
    <w:bookmarkStart w:id="148" w:name="folder-3-experimental"/>
    <w:p>
      <w:pPr>
        <w:pStyle w:val="Heading2"/>
      </w:pPr>
      <w:r>
        <w:t xml:space="preserve">Folder 3 — Experimental</w:t>
      </w:r>
    </w:p>
    <w:p>
      <w:pPr>
        <w:pStyle w:val="Compact"/>
        <w:numPr>
          <w:ilvl w:val="0"/>
          <w:numId w:val="1107"/>
        </w:numPr>
      </w:pPr>
      <w:r>
        <w:t xml:space="preserve">coupon build records;</w:t>
      </w:r>
    </w:p>
    <w:p>
      <w:pPr>
        <w:pStyle w:val="Compact"/>
        <w:numPr>
          <w:ilvl w:val="0"/>
          <w:numId w:val="1107"/>
        </w:numPr>
      </w:pPr>
      <w:r>
        <w:t xml:space="preserve">microscopy;</w:t>
      </w:r>
    </w:p>
    <w:p>
      <w:pPr>
        <w:pStyle w:val="Compact"/>
        <w:numPr>
          <w:ilvl w:val="0"/>
          <w:numId w:val="1107"/>
        </w:numPr>
      </w:pPr>
      <w:r>
        <w:t xml:space="preserve">chemistry results;</w:t>
      </w:r>
    </w:p>
    <w:p>
      <w:pPr>
        <w:pStyle w:val="Compact"/>
        <w:numPr>
          <w:ilvl w:val="0"/>
          <w:numId w:val="1107"/>
        </w:numPr>
      </w:pPr>
      <w:r>
        <w:t xml:space="preserve">hardness maps;</w:t>
      </w:r>
    </w:p>
    <w:p>
      <w:pPr>
        <w:pStyle w:val="Compact"/>
        <w:numPr>
          <w:ilvl w:val="0"/>
          <w:numId w:val="1107"/>
        </w:numPr>
      </w:pPr>
      <w:r>
        <w:t xml:space="preserve">tensile data;</w:t>
      </w:r>
    </w:p>
    <w:p>
      <w:pPr>
        <w:pStyle w:val="Compact"/>
        <w:numPr>
          <w:ilvl w:val="0"/>
          <w:numId w:val="1107"/>
        </w:numPr>
      </w:pPr>
      <w:r>
        <w:t xml:space="preserve">thermal data;</w:t>
      </w:r>
    </w:p>
    <w:p>
      <w:pPr>
        <w:pStyle w:val="Compact"/>
        <w:numPr>
          <w:ilvl w:val="0"/>
          <w:numId w:val="1107"/>
        </w:numPr>
      </w:pPr>
      <w:r>
        <w:t xml:space="preserve">fatigue/corrosion data when available.</w:t>
      </w:r>
    </w:p>
    <w:bookmarkEnd w:id="148"/>
    <w:bookmarkStart w:id="149" w:name="folder-4-commercial"/>
    <w:p>
      <w:pPr>
        <w:pStyle w:val="Heading2"/>
      </w:pPr>
      <w:r>
        <w:t xml:space="preserve">Folder 4 — Commercial</w:t>
      </w:r>
    </w:p>
    <w:p>
      <w:pPr>
        <w:pStyle w:val="Compact"/>
        <w:numPr>
          <w:ilvl w:val="0"/>
          <w:numId w:val="1108"/>
        </w:numPr>
      </w:pPr>
      <w:r>
        <w:t xml:space="preserve">white paper;</w:t>
      </w:r>
    </w:p>
    <w:p>
      <w:pPr>
        <w:pStyle w:val="Compact"/>
        <w:numPr>
          <w:ilvl w:val="0"/>
          <w:numId w:val="1108"/>
        </w:numPr>
      </w:pPr>
      <w:r>
        <w:t xml:space="preserve">investor deck;</w:t>
      </w:r>
    </w:p>
    <w:p>
      <w:pPr>
        <w:pStyle w:val="Compact"/>
        <w:numPr>
          <w:ilvl w:val="0"/>
          <w:numId w:val="1108"/>
        </w:numPr>
      </w:pPr>
      <w:r>
        <w:t xml:space="preserve">use-case briefs;</w:t>
      </w:r>
    </w:p>
    <w:p>
      <w:pPr>
        <w:pStyle w:val="Compact"/>
        <w:numPr>
          <w:ilvl w:val="0"/>
          <w:numId w:val="1108"/>
        </w:numPr>
      </w:pPr>
      <w:r>
        <w:t xml:space="preserve">partner list;</w:t>
      </w:r>
    </w:p>
    <w:p>
      <w:pPr>
        <w:pStyle w:val="Compact"/>
        <w:numPr>
          <w:ilvl w:val="0"/>
          <w:numId w:val="1108"/>
        </w:numPr>
      </w:pPr>
      <w:r>
        <w:t xml:space="preserve">market notes;</w:t>
      </w:r>
    </w:p>
    <w:p>
      <w:pPr>
        <w:pStyle w:val="Compact"/>
        <w:numPr>
          <w:ilvl w:val="0"/>
          <w:numId w:val="1108"/>
        </w:numPr>
      </w:pPr>
      <w:r>
        <w:t xml:space="preserve">licensing model;</w:t>
      </w:r>
    </w:p>
    <w:p>
      <w:pPr>
        <w:pStyle w:val="Compact"/>
        <w:numPr>
          <w:ilvl w:val="0"/>
          <w:numId w:val="1108"/>
        </w:numPr>
      </w:pPr>
      <w:r>
        <w:t xml:space="preserve">valuation scenarios.</w:t>
      </w:r>
    </w:p>
    <w:bookmarkEnd w:id="149"/>
    <w:bookmarkStart w:id="150" w:name="folder-5-operations"/>
    <w:p>
      <w:pPr>
        <w:pStyle w:val="Heading2"/>
      </w:pPr>
      <w:r>
        <w:t xml:space="preserve">Folder 5 — Operations</w:t>
      </w:r>
    </w:p>
    <w:p>
      <w:pPr>
        <w:pStyle w:val="Compact"/>
        <w:numPr>
          <w:ilvl w:val="0"/>
          <w:numId w:val="1109"/>
        </w:numPr>
      </w:pPr>
      <w:r>
        <w:t xml:space="preserve">budget;</w:t>
      </w:r>
    </w:p>
    <w:p>
      <w:pPr>
        <w:pStyle w:val="Compact"/>
        <w:numPr>
          <w:ilvl w:val="0"/>
          <w:numId w:val="1109"/>
        </w:numPr>
      </w:pPr>
      <w:r>
        <w:t xml:space="preserve">timeline;</w:t>
      </w:r>
    </w:p>
    <w:p>
      <w:pPr>
        <w:pStyle w:val="Compact"/>
        <w:numPr>
          <w:ilvl w:val="0"/>
          <w:numId w:val="1109"/>
        </w:numPr>
      </w:pPr>
      <w:r>
        <w:t xml:space="preserve">vendors;</w:t>
      </w:r>
    </w:p>
    <w:p>
      <w:pPr>
        <w:pStyle w:val="Compact"/>
        <w:numPr>
          <w:ilvl w:val="0"/>
          <w:numId w:val="1109"/>
        </w:numPr>
      </w:pPr>
      <w:r>
        <w:t xml:space="preserve">labs;</w:t>
      </w:r>
    </w:p>
    <w:p>
      <w:pPr>
        <w:pStyle w:val="Compact"/>
        <w:numPr>
          <w:ilvl w:val="0"/>
          <w:numId w:val="1109"/>
        </w:numPr>
      </w:pPr>
      <w:r>
        <w:t xml:space="preserve">machine access;</w:t>
      </w:r>
    </w:p>
    <w:p>
      <w:pPr>
        <w:pStyle w:val="Compact"/>
        <w:numPr>
          <w:ilvl w:val="0"/>
          <w:numId w:val="1109"/>
        </w:numPr>
      </w:pPr>
      <w:r>
        <w:t xml:space="preserve">test facilities;</w:t>
      </w:r>
    </w:p>
    <w:p>
      <w:pPr>
        <w:pStyle w:val="Compact"/>
        <w:numPr>
          <w:ilvl w:val="0"/>
          <w:numId w:val="1109"/>
        </w:numPr>
      </w:pPr>
      <w:r>
        <w:t xml:space="preserve">partner pipeline.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Xebde8b7bf1c63402693d3b893e51423e4226a47"/>
    <w:p>
      <w:pPr>
        <w:pStyle w:val="Heading1"/>
      </w:pPr>
      <w:r>
        <w:t xml:space="preserve">Page 31 — Full Bloom Partner Outreach Narrative</w:t>
      </w:r>
    </w:p>
    <w:bookmarkStart w:id="152" w:name="short-partner-pitch"/>
    <w:p>
      <w:pPr>
        <w:pStyle w:val="Heading2"/>
      </w:pPr>
      <w:r>
        <w:t xml:space="preserve">Short Partner Pitch</w:t>
      </w:r>
    </w:p>
    <w:p>
      <w:pPr>
        <w:pStyle w:val="FirstParagraph"/>
      </w:pPr>
      <w:r>
        <w:t xml:space="preserve">WS–AlTi M1-MSZ-Prime is a programmable aluminum meta-alloy platform for directed-energy additive manufacturing. It combines titanium-aluminide reinforcement, Mg-strengthened aluminum matrix behavior, Sc/Zr stabilization, and local feed-ratio control to produce monolithic parts with hard nodes, tough skins, thermal corridors, and vibration-managed regions.</w:t>
      </w:r>
    </w:p>
    <w:bookmarkEnd w:id="152"/>
    <w:bookmarkStart w:id="153" w:name="technical-partner-hook"/>
    <w:p>
      <w:pPr>
        <w:pStyle w:val="Heading2"/>
      </w:pPr>
      <w:r>
        <w:t xml:space="preserve">Technical Partner Hook</w:t>
      </w:r>
    </w:p>
    <w:p>
      <w:pPr>
        <w:pStyle w:val="FirstParagraph"/>
      </w:pPr>
      <w:r>
        <w:t xml:space="preserve">Instead of forcing one aluminum alloy behavior throughout the entire part, the platform places local material states according to the part’s mechanical and thermal map.</w:t>
      </w:r>
    </w:p>
    <w:bookmarkEnd w:id="153"/>
    <w:bookmarkStart w:id="154" w:name="commercial-partner-hook"/>
    <w:p>
      <w:pPr>
        <w:pStyle w:val="Heading2"/>
      </w:pPr>
      <w:r>
        <w:t xml:space="preserve">Commercial Partner Hook</w:t>
      </w:r>
    </w:p>
    <w:p>
      <w:pPr>
        <w:pStyle w:val="FirstParagraph"/>
      </w:pPr>
      <w:r>
        <w:t xml:space="preserve">The platform may reduce overbuilding, improve high-value component performance, and create differentiated AM product lines for aerospace, robotics, thermal systems, and advanced mobility.</w:t>
      </w:r>
    </w:p>
    <w:bookmarkEnd w:id="154"/>
    <w:bookmarkStart w:id="155" w:name="ip-partner-hook"/>
    <w:p>
      <w:pPr>
        <w:pStyle w:val="Heading2"/>
      </w:pPr>
      <w:r>
        <w:t xml:space="preserve">IP Partner Hook</w:t>
      </w:r>
    </w:p>
    <w:p>
      <w:pPr>
        <w:pStyle w:val="FirstParagraph"/>
      </w:pPr>
      <w:r>
        <w:t xml:space="preserve">The provisional package protects not only composition, but also morphology, local zoning, dual-feed process control, and property-map-driven manufacturing.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page-32-full-bloom-investor-narrative"/>
    <w:p>
      <w:pPr>
        <w:pStyle w:val="Heading1"/>
      </w:pPr>
      <w:r>
        <w:t xml:space="preserve">Page 32 — Full Bloom Investor Narrative</w:t>
      </w:r>
    </w:p>
    <w:bookmarkStart w:id="157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High-performance aluminum AM alloys are powerful but mostly uniform. Complex parts need different local material behavior in different regions.</w:t>
      </w:r>
    </w:p>
    <w:bookmarkEnd w:id="157"/>
    <w:bookmarkStart w:id="158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A programmable Al–Ti–Mg–Sc–Zr meta-alloy platform that varies local titanium reinforcement and microstructure during DED manufacture.</w:t>
      </w:r>
    </w:p>
    <w:bookmarkEnd w:id="158"/>
    <w:bookmarkStart w:id="159" w:name="why-now"/>
    <w:p>
      <w:pPr>
        <w:pStyle w:val="Heading2"/>
      </w:pPr>
      <w:r>
        <w:t xml:space="preserve">Why Now</w:t>
      </w:r>
    </w:p>
    <w:p>
      <w:pPr>
        <w:pStyle w:val="Compact"/>
        <w:numPr>
          <w:ilvl w:val="0"/>
          <w:numId w:val="1110"/>
        </w:numPr>
      </w:pPr>
      <w:r>
        <w:t xml:space="preserve">AM hardware increasingly supports multi-feed processing;</w:t>
      </w:r>
    </w:p>
    <w:p>
      <w:pPr>
        <w:pStyle w:val="Compact"/>
        <w:numPr>
          <w:ilvl w:val="0"/>
          <w:numId w:val="1110"/>
        </w:numPr>
      </w:pPr>
      <w:r>
        <w:t xml:space="preserve">advanced alloy design is commercially relevant;</w:t>
      </w:r>
    </w:p>
    <w:p>
      <w:pPr>
        <w:pStyle w:val="Compact"/>
        <w:numPr>
          <w:ilvl w:val="0"/>
          <w:numId w:val="1110"/>
        </w:numPr>
      </w:pPr>
      <w:r>
        <w:t xml:space="preserve">aerospace, robotics, and thermal systems need lightweight multifunctional structures;</w:t>
      </w:r>
    </w:p>
    <w:p>
      <w:pPr>
        <w:pStyle w:val="Compact"/>
        <w:numPr>
          <w:ilvl w:val="0"/>
          <w:numId w:val="1110"/>
        </w:numPr>
      </w:pPr>
      <w:r>
        <w:t xml:space="preserve">digital manufacturing can translate simulations into local build instructions.</w:t>
      </w:r>
    </w:p>
    <w:bookmarkEnd w:id="159"/>
    <w:bookmarkStart w:id="160" w:name="moat"/>
    <w:p>
      <w:pPr>
        <w:pStyle w:val="Heading2"/>
      </w:pPr>
      <w:r>
        <w:t xml:space="preserve">Moat</w:t>
      </w:r>
    </w:p>
    <w:p>
      <w:pPr>
        <w:pStyle w:val="Compact"/>
        <w:numPr>
          <w:ilvl w:val="0"/>
          <w:numId w:val="1111"/>
        </w:numPr>
      </w:pPr>
      <w:r>
        <w:t xml:space="preserve">composition family;</w:t>
      </w:r>
    </w:p>
    <w:p>
      <w:pPr>
        <w:pStyle w:val="Compact"/>
        <w:numPr>
          <w:ilvl w:val="0"/>
          <w:numId w:val="1111"/>
        </w:numPr>
      </w:pPr>
      <w:r>
        <w:t xml:space="preserve">Ti-aluminide morphology control;</w:t>
      </w:r>
    </w:p>
    <w:p>
      <w:pPr>
        <w:pStyle w:val="Compact"/>
        <w:numPr>
          <w:ilvl w:val="0"/>
          <w:numId w:val="1111"/>
        </w:numPr>
      </w:pPr>
      <w:r>
        <w:t xml:space="preserve">Sc/Zr-stabilized matrix;</w:t>
      </w:r>
    </w:p>
    <w:p>
      <w:pPr>
        <w:pStyle w:val="Compact"/>
        <w:numPr>
          <w:ilvl w:val="0"/>
          <w:numId w:val="1111"/>
        </w:numPr>
      </w:pPr>
      <w:r>
        <w:t xml:space="preserve">graded monolithic articles;</w:t>
      </w:r>
    </w:p>
    <w:p>
      <w:pPr>
        <w:pStyle w:val="Compact"/>
        <w:numPr>
          <w:ilvl w:val="0"/>
          <w:numId w:val="1111"/>
        </w:numPr>
      </w:pPr>
      <w:r>
        <w:t xml:space="preserve">hardware-linked materials compiler;</w:t>
      </w:r>
    </w:p>
    <w:p>
      <w:pPr>
        <w:pStyle w:val="Compact"/>
        <w:numPr>
          <w:ilvl w:val="0"/>
          <w:numId w:val="1111"/>
        </w:numPr>
      </w:pPr>
      <w:r>
        <w:t xml:space="preserve">application-specific embodiments.</w:t>
      </w:r>
    </w:p>
    <w:bookmarkEnd w:id="160"/>
    <w:bookmarkStart w:id="161" w:name="milestone-ask"/>
    <w:p>
      <w:pPr>
        <w:pStyle w:val="Heading2"/>
      </w:pPr>
      <w:r>
        <w:t xml:space="preserve">Milestone Ask</w:t>
      </w:r>
    </w:p>
    <w:p>
      <w:pPr>
        <w:pStyle w:val="FirstParagraph"/>
      </w:pPr>
      <w:r>
        <w:t xml:space="preserve">Fund filing, modeling, feedstock procurement, coupon builds, and first demonstrator parts.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X36312dc2313ea634a33965959f04f275eee490b"/>
    <w:p>
      <w:pPr>
        <w:pStyle w:val="Heading1"/>
      </w:pPr>
      <w:r>
        <w:t xml:space="preserve">Page 33 — Full Bloom Technical Validation Matrix</w:t>
      </w:r>
    </w:p>
    <w:bookmarkStart w:id="163" w:name="composition-validation"/>
    <w:p>
      <w:pPr>
        <w:pStyle w:val="Heading2"/>
      </w:pPr>
      <w:r>
        <w:t xml:space="preserve">Composition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ICP/OES or equivalent</w:t>
            </w:r>
          </w:p>
        </w:tc>
        <w:tc>
          <w:tcPr/>
          <w:p>
            <w:pPr>
              <w:pStyle w:val="Compact"/>
            </w:pPr>
            <w:r>
              <w:t xml:space="preserve">confirm final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Oxygen/moisture analysis</w:t>
            </w:r>
          </w:p>
        </w:tc>
        <w:tc>
          <w:tcPr/>
          <w:p>
            <w:pPr>
              <w:pStyle w:val="Compact"/>
            </w:pPr>
            <w:r>
              <w:t xml:space="preserve">powder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EDS mapping</w:t>
            </w:r>
          </w:p>
        </w:tc>
        <w:tc>
          <w:tcPr/>
          <w:p>
            <w:pPr>
              <w:pStyle w:val="Compact"/>
            </w:pPr>
            <w:r>
              <w:t xml:space="preserve">local composition gradients</w:t>
            </w:r>
          </w:p>
        </w:tc>
      </w:tr>
    </w:tbl>
    <w:bookmarkEnd w:id="163"/>
    <w:bookmarkStart w:id="164" w:name="microstructure-validation"/>
    <w:p>
      <w:pPr>
        <w:pStyle w:val="Heading2"/>
      </w:pPr>
      <w:r>
        <w:t xml:space="preserve">Microstructure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XRD</w:t>
            </w:r>
          </w:p>
        </w:tc>
        <w:tc>
          <w:tcPr/>
          <w:p>
            <w:pPr>
              <w:pStyle w:val="Compact"/>
            </w:pPr>
            <w:r>
              <w:t xml:space="preserve">phase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</w:t>
            </w:r>
          </w:p>
        </w:tc>
        <w:tc>
          <w:tcPr/>
          <w:p>
            <w:pPr>
              <w:pStyle w:val="Compact"/>
            </w:pPr>
            <w:r>
              <w:t xml:space="preserve">reinforcement morphology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EBSD</w:t>
            </w:r>
          </w:p>
        </w:tc>
        <w:tc>
          <w:tcPr/>
          <w:p>
            <w:pPr>
              <w:pStyle w:val="Compact"/>
            </w:pPr>
            <w:r>
              <w:t xml:space="preserve">grain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</w:t>
            </w:r>
          </w:p>
        </w:tc>
        <w:tc>
          <w:tcPr/>
          <w:p>
            <w:pPr>
              <w:pStyle w:val="Compact"/>
            </w:pPr>
            <w:r>
              <w:t xml:space="preserve">precipitates and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porosity</w:t>
            </w:r>
          </w:p>
        </w:tc>
      </w:tr>
    </w:tbl>
    <w:bookmarkEnd w:id="164"/>
    <w:bookmarkStart w:id="165" w:name="mechanical-validation"/>
    <w:p>
      <w:pPr>
        <w:pStyle w:val="Heading2"/>
      </w:pPr>
      <w:r>
        <w:t xml:space="preserve">Mechanical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hardness</w:t>
            </w:r>
          </w:p>
        </w:tc>
        <w:tc>
          <w:tcPr/>
          <w:p>
            <w:pPr>
              <w:pStyle w:val="Compact"/>
            </w:pPr>
            <w:r>
              <w:t xml:space="preserve">local reinforcement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tensile</w:t>
            </w:r>
          </w:p>
        </w:tc>
        <w:tc>
          <w:tcPr/>
          <w:p>
            <w:pPr>
              <w:pStyle w:val="Compact"/>
            </w:pPr>
            <w:r>
              <w:t xml:space="preserve">strength/ductility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lattice/node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fracture screening</w:t>
            </w:r>
          </w:p>
        </w:tc>
        <w:tc>
          <w:tcPr/>
          <w:p>
            <w:pPr>
              <w:pStyle w:val="Compact"/>
            </w:pPr>
            <w:r>
              <w:t xml:space="preserve">crack response</w:t>
            </w:r>
          </w:p>
        </w:tc>
      </w:tr>
    </w:tbl>
    <w:bookmarkEnd w:id="165"/>
    <w:bookmarkStart w:id="166" w:name="thermal-validation"/>
    <w:p>
      <w:pPr>
        <w:pStyle w:val="Heading2"/>
      </w:pPr>
      <w:r>
        <w:t xml:space="preserve">Thermal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conductivity</w:t>
            </w:r>
          </w:p>
        </w:tc>
        <w:tc>
          <w:tcPr/>
          <w:p>
            <w:pPr>
              <w:pStyle w:val="Compact"/>
            </w:pPr>
            <w:r>
              <w:t xml:space="preserve">heat-routing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CTE</w:t>
            </w:r>
          </w:p>
        </w:tc>
        <w:tc>
          <w:tcPr/>
          <w:p>
            <w:pPr>
              <w:pStyle w:val="Compact"/>
            </w:pPr>
            <w:r>
              <w:t xml:space="preserve">dimensional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elevated-temp tensile</w:t>
            </w:r>
          </w:p>
        </w:tc>
        <w:tc>
          <w:tcPr/>
          <w:p>
            <w:pPr>
              <w:pStyle w:val="Compact"/>
            </w:pPr>
            <w:r>
              <w:t xml:space="preserve">high-temperature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 study</w:t>
            </w:r>
          </w:p>
        </w:tc>
        <w:tc>
          <w:tcPr/>
          <w:p>
            <w:pPr>
              <w:pStyle w:val="Compact"/>
            </w:pPr>
            <w:r>
              <w:t xml:space="preserve">Sc/Zr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3" w:name="page-34-full-bloom-milestone-timeline"/>
    <w:p>
      <w:pPr>
        <w:pStyle w:val="Heading1"/>
      </w:pPr>
      <w:r>
        <w:t xml:space="preserve">Page 34 — Full Bloom Milestone Timeline</w:t>
      </w:r>
    </w:p>
    <w:bookmarkStart w:id="168" w:name="days"/>
    <w:p>
      <w:pPr>
        <w:pStyle w:val="Heading2"/>
      </w:pPr>
      <w:r>
        <w:t xml:space="preserve">0–30 Days</w:t>
      </w:r>
    </w:p>
    <w:p>
      <w:pPr>
        <w:pStyle w:val="Compact"/>
        <w:numPr>
          <w:ilvl w:val="0"/>
          <w:numId w:val="1112"/>
        </w:numPr>
      </w:pPr>
      <w:r>
        <w:t xml:space="preserve">finalize provisional;</w:t>
      </w:r>
    </w:p>
    <w:p>
      <w:pPr>
        <w:pStyle w:val="Compact"/>
        <w:numPr>
          <w:ilvl w:val="0"/>
          <w:numId w:val="1112"/>
        </w:numPr>
      </w:pPr>
      <w:r>
        <w:t xml:space="preserve">prepare figures;</w:t>
      </w:r>
    </w:p>
    <w:p>
      <w:pPr>
        <w:pStyle w:val="Compact"/>
        <w:numPr>
          <w:ilvl w:val="0"/>
          <w:numId w:val="1112"/>
        </w:numPr>
      </w:pPr>
      <w:r>
        <w:t xml:space="preserve">file provisional;</w:t>
      </w:r>
    </w:p>
    <w:p>
      <w:pPr>
        <w:pStyle w:val="Compact"/>
        <w:numPr>
          <w:ilvl w:val="0"/>
          <w:numId w:val="1112"/>
        </w:numPr>
      </w:pPr>
      <w:r>
        <w:t xml:space="preserve">organize data room;</w:t>
      </w:r>
    </w:p>
    <w:p>
      <w:pPr>
        <w:pStyle w:val="Compact"/>
        <w:numPr>
          <w:ilvl w:val="0"/>
          <w:numId w:val="1112"/>
        </w:numPr>
      </w:pPr>
      <w:r>
        <w:t xml:space="preserve">initiate prior-art search.</w:t>
      </w:r>
    </w:p>
    <w:bookmarkEnd w:id="168"/>
    <w:bookmarkStart w:id="169" w:name="days-1"/>
    <w:p>
      <w:pPr>
        <w:pStyle w:val="Heading2"/>
      </w:pPr>
      <w:r>
        <w:t xml:space="preserve">30–90 Days</w:t>
      </w:r>
    </w:p>
    <w:p>
      <w:pPr>
        <w:pStyle w:val="Compact"/>
        <w:numPr>
          <w:ilvl w:val="0"/>
          <w:numId w:val="1113"/>
        </w:numPr>
      </w:pPr>
      <w:r>
        <w:t xml:space="preserve">complete prior-art landscape;</w:t>
      </w:r>
    </w:p>
    <w:p>
      <w:pPr>
        <w:pStyle w:val="Compact"/>
        <w:numPr>
          <w:ilvl w:val="0"/>
          <w:numId w:val="1113"/>
        </w:numPr>
      </w:pPr>
      <w:r>
        <w:t xml:space="preserve">run initial modeling;</w:t>
      </w:r>
    </w:p>
    <w:p>
      <w:pPr>
        <w:pStyle w:val="Compact"/>
        <w:numPr>
          <w:ilvl w:val="0"/>
          <w:numId w:val="1113"/>
        </w:numPr>
      </w:pPr>
      <w:r>
        <w:t xml:space="preserve">contact DED labs;</w:t>
      </w:r>
    </w:p>
    <w:p>
      <w:pPr>
        <w:pStyle w:val="Compact"/>
        <w:numPr>
          <w:ilvl w:val="0"/>
          <w:numId w:val="1113"/>
        </w:numPr>
      </w:pPr>
      <w:r>
        <w:t xml:space="preserve">quote powder/feedstock cost;</w:t>
      </w:r>
    </w:p>
    <w:p>
      <w:pPr>
        <w:pStyle w:val="Compact"/>
        <w:numPr>
          <w:ilvl w:val="0"/>
          <w:numId w:val="1113"/>
        </w:numPr>
      </w:pPr>
      <w:r>
        <w:t xml:space="preserve">prepare partner outreach brief.</w:t>
      </w:r>
    </w:p>
    <w:bookmarkEnd w:id="169"/>
    <w:bookmarkStart w:id="170" w:name="days-2"/>
    <w:p>
      <w:pPr>
        <w:pStyle w:val="Heading2"/>
      </w:pPr>
      <w:r>
        <w:t xml:space="preserve">90–180 Days</w:t>
      </w:r>
    </w:p>
    <w:p>
      <w:pPr>
        <w:pStyle w:val="Compact"/>
        <w:numPr>
          <w:ilvl w:val="0"/>
          <w:numId w:val="1114"/>
        </w:numPr>
      </w:pPr>
      <w:r>
        <w:t xml:space="preserve">procure feedstock;</w:t>
      </w:r>
    </w:p>
    <w:p>
      <w:pPr>
        <w:pStyle w:val="Compact"/>
        <w:numPr>
          <w:ilvl w:val="0"/>
          <w:numId w:val="1114"/>
        </w:numPr>
      </w:pPr>
      <w:r>
        <w:t xml:space="preserve">run first single-track trials;</w:t>
      </w:r>
    </w:p>
    <w:p>
      <w:pPr>
        <w:pStyle w:val="Compact"/>
        <w:numPr>
          <w:ilvl w:val="0"/>
          <w:numId w:val="1114"/>
        </w:numPr>
      </w:pPr>
      <w:r>
        <w:t xml:space="preserve">build cube coupons;</w:t>
      </w:r>
    </w:p>
    <w:p>
      <w:pPr>
        <w:pStyle w:val="Compact"/>
        <w:numPr>
          <w:ilvl w:val="0"/>
          <w:numId w:val="1114"/>
        </w:numPr>
      </w:pPr>
      <w:r>
        <w:t xml:space="preserve">perform first microstructure characterization;</w:t>
      </w:r>
    </w:p>
    <w:p>
      <w:pPr>
        <w:pStyle w:val="Compact"/>
        <w:numPr>
          <w:ilvl w:val="0"/>
          <w:numId w:val="1114"/>
        </w:numPr>
      </w:pPr>
      <w:r>
        <w:t xml:space="preserve">update claims and continuation strategy.</w:t>
      </w:r>
    </w:p>
    <w:bookmarkEnd w:id="170"/>
    <w:bookmarkStart w:id="171" w:name="days-3"/>
    <w:p>
      <w:pPr>
        <w:pStyle w:val="Heading2"/>
      </w:pPr>
      <w:r>
        <w:t xml:space="preserve">180–270 Days</w:t>
      </w:r>
    </w:p>
    <w:p>
      <w:pPr>
        <w:pStyle w:val="Compact"/>
        <w:numPr>
          <w:ilvl w:val="0"/>
          <w:numId w:val="1115"/>
        </w:numPr>
      </w:pPr>
      <w:r>
        <w:t xml:space="preserve">print tensile coupons;</w:t>
      </w:r>
    </w:p>
    <w:p>
      <w:pPr>
        <w:pStyle w:val="Compact"/>
        <w:numPr>
          <w:ilvl w:val="0"/>
          <w:numId w:val="1115"/>
        </w:numPr>
      </w:pPr>
      <w:r>
        <w:t xml:space="preserve">run hardness, tensile, and thermal tests;</w:t>
      </w:r>
    </w:p>
    <w:p>
      <w:pPr>
        <w:pStyle w:val="Compact"/>
        <w:numPr>
          <w:ilvl w:val="0"/>
          <w:numId w:val="1115"/>
        </w:numPr>
      </w:pPr>
      <w:r>
        <w:t xml:space="preserve">print first graded coupon;</w:t>
      </w:r>
    </w:p>
    <w:p>
      <w:pPr>
        <w:pStyle w:val="Compact"/>
        <w:numPr>
          <w:ilvl w:val="0"/>
          <w:numId w:val="1115"/>
        </w:numPr>
      </w:pPr>
      <w:r>
        <w:t xml:space="preserve">generate partner demonstrator data.</w:t>
      </w:r>
    </w:p>
    <w:bookmarkEnd w:id="171"/>
    <w:bookmarkStart w:id="172" w:name="days-4"/>
    <w:p>
      <w:pPr>
        <w:pStyle w:val="Heading2"/>
      </w:pPr>
      <w:r>
        <w:t xml:space="preserve">270–365 Days</w:t>
      </w:r>
    </w:p>
    <w:p>
      <w:pPr>
        <w:pStyle w:val="Compact"/>
        <w:numPr>
          <w:ilvl w:val="0"/>
          <w:numId w:val="1116"/>
        </w:numPr>
      </w:pPr>
      <w:r>
        <w:t xml:space="preserve">prepare nonprovisional;</w:t>
      </w:r>
    </w:p>
    <w:p>
      <w:pPr>
        <w:pStyle w:val="Compact"/>
        <w:numPr>
          <w:ilvl w:val="0"/>
          <w:numId w:val="1116"/>
        </w:numPr>
      </w:pPr>
      <w:r>
        <w:t xml:space="preserve">add experimental data;</w:t>
      </w:r>
    </w:p>
    <w:p>
      <w:pPr>
        <w:pStyle w:val="Compact"/>
        <w:numPr>
          <w:ilvl w:val="0"/>
          <w:numId w:val="1116"/>
        </w:numPr>
      </w:pPr>
      <w:r>
        <w:t xml:space="preserve">refine claims;</w:t>
      </w:r>
    </w:p>
    <w:p>
      <w:pPr>
        <w:pStyle w:val="Compact"/>
        <w:numPr>
          <w:ilvl w:val="0"/>
          <w:numId w:val="1116"/>
        </w:numPr>
      </w:pPr>
      <w:r>
        <w:t xml:space="preserve">negotiate JDA or license;</w:t>
      </w:r>
    </w:p>
    <w:p>
      <w:pPr>
        <w:pStyle w:val="Compact"/>
        <w:numPr>
          <w:ilvl w:val="0"/>
          <w:numId w:val="1116"/>
        </w:numPr>
      </w:pPr>
      <w:r>
        <w:t xml:space="preserve">decide whether to form company, license, or continue R&amp;D.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8" w:name="page-35-full-bloom-budget-framework"/>
    <w:p>
      <w:pPr>
        <w:pStyle w:val="Heading1"/>
      </w:pPr>
      <w:r>
        <w:t xml:space="preserve">Page 35 — Full Bloom Budget Framework</w:t>
      </w:r>
    </w:p>
    <w:bookmarkStart w:id="174" w:name="legal-ip"/>
    <w:p>
      <w:pPr>
        <w:pStyle w:val="Heading2"/>
      </w:pPr>
      <w:r>
        <w:t xml:space="preserve">Legal / IP</w:t>
      </w:r>
    </w:p>
    <w:p>
      <w:pPr>
        <w:pStyle w:val="FirstParagraph"/>
      </w:pPr>
      <w:r>
        <w:t xml:space="preserve">Estimated range:</w:t>
      </w:r>
    </w:p>
    <w:p>
      <w:pPr>
        <w:pStyle w:val="Compact"/>
        <w:numPr>
          <w:ilvl w:val="0"/>
          <w:numId w:val="1117"/>
        </w:numPr>
      </w:pPr>
      <w:r>
        <w:t xml:space="preserve">provisional cleanup and filing: $3k–$15k depending counsel;</w:t>
      </w:r>
    </w:p>
    <w:p>
      <w:pPr>
        <w:pStyle w:val="Compact"/>
        <w:numPr>
          <w:ilvl w:val="0"/>
          <w:numId w:val="1117"/>
        </w:numPr>
      </w:pPr>
      <w:r>
        <w:t xml:space="preserve">prior-art search: $3k–$20k;</w:t>
      </w:r>
    </w:p>
    <w:p>
      <w:pPr>
        <w:pStyle w:val="Compact"/>
        <w:numPr>
          <w:ilvl w:val="0"/>
          <w:numId w:val="1117"/>
        </w:numPr>
      </w:pPr>
      <w:r>
        <w:t xml:space="preserve">nonprovisional preparation: $15k–$50k+;</w:t>
      </w:r>
    </w:p>
    <w:p>
      <w:pPr>
        <w:pStyle w:val="Compact"/>
        <w:numPr>
          <w:ilvl w:val="0"/>
          <w:numId w:val="1117"/>
        </w:numPr>
      </w:pPr>
      <w:r>
        <w:t xml:space="preserve">continuation strategy: additional budget required.</w:t>
      </w:r>
    </w:p>
    <w:bookmarkEnd w:id="174"/>
    <w:bookmarkStart w:id="175" w:name="modeling"/>
    <w:p>
      <w:pPr>
        <w:pStyle w:val="Heading2"/>
      </w:pPr>
      <w:r>
        <w:t xml:space="preserve">Modeling</w:t>
      </w:r>
    </w:p>
    <w:p>
      <w:pPr>
        <w:pStyle w:val="FirstParagraph"/>
      </w:pPr>
      <w:r>
        <w:t xml:space="preserve">Estimated range:</w:t>
      </w:r>
    </w:p>
    <w:p>
      <w:pPr>
        <w:pStyle w:val="Compact"/>
        <w:numPr>
          <w:ilvl w:val="0"/>
          <w:numId w:val="1118"/>
        </w:numPr>
      </w:pPr>
      <w:r>
        <w:t xml:space="preserve">initial CALPHAD/Scheil: $5k–$30k;</w:t>
      </w:r>
    </w:p>
    <w:p>
      <w:pPr>
        <w:pStyle w:val="Compact"/>
        <w:numPr>
          <w:ilvl w:val="0"/>
          <w:numId w:val="1118"/>
        </w:numPr>
      </w:pPr>
      <w:r>
        <w:t xml:space="preserve">FEA / lattice modeling: $5k–$50k;</w:t>
      </w:r>
    </w:p>
    <w:p>
      <w:pPr>
        <w:pStyle w:val="Compact"/>
        <w:numPr>
          <w:ilvl w:val="0"/>
          <w:numId w:val="1118"/>
        </w:numPr>
      </w:pPr>
      <w:r>
        <w:t xml:space="preserve">materials compiler prototype: $25k–$250k depending scope.</w:t>
      </w:r>
    </w:p>
    <w:bookmarkEnd w:id="175"/>
    <w:bookmarkStart w:id="176" w:name="experimental"/>
    <w:p>
      <w:pPr>
        <w:pStyle w:val="Heading2"/>
      </w:pPr>
      <w:r>
        <w:t xml:space="preserve">Experimental</w:t>
      </w:r>
    </w:p>
    <w:p>
      <w:pPr>
        <w:pStyle w:val="FirstParagraph"/>
      </w:pPr>
      <w:r>
        <w:t xml:space="preserve">Estimated range:</w:t>
      </w:r>
    </w:p>
    <w:p>
      <w:pPr>
        <w:pStyle w:val="Compact"/>
        <w:numPr>
          <w:ilvl w:val="0"/>
          <w:numId w:val="1119"/>
        </w:numPr>
      </w:pPr>
      <w:r>
        <w:t xml:space="preserve">feedstock procurement: $10k–$100k+;</w:t>
      </w:r>
    </w:p>
    <w:p>
      <w:pPr>
        <w:pStyle w:val="Compact"/>
        <w:numPr>
          <w:ilvl w:val="0"/>
          <w:numId w:val="1119"/>
        </w:numPr>
      </w:pPr>
      <w:r>
        <w:t xml:space="preserve">DED trials: $25k–$250k;</w:t>
      </w:r>
    </w:p>
    <w:p>
      <w:pPr>
        <w:pStyle w:val="Compact"/>
        <w:numPr>
          <w:ilvl w:val="0"/>
          <w:numId w:val="1119"/>
        </w:numPr>
      </w:pPr>
      <w:r>
        <w:t xml:space="preserve">microscopy and chemistry: $10k–$100k;</w:t>
      </w:r>
    </w:p>
    <w:p>
      <w:pPr>
        <w:pStyle w:val="Compact"/>
        <w:numPr>
          <w:ilvl w:val="0"/>
          <w:numId w:val="1119"/>
        </w:numPr>
      </w:pPr>
      <w:r>
        <w:t xml:space="preserve">mechanical testing: $10k–$150k;</w:t>
      </w:r>
    </w:p>
    <w:p>
      <w:pPr>
        <w:pStyle w:val="Compact"/>
        <w:numPr>
          <w:ilvl w:val="0"/>
          <w:numId w:val="1119"/>
        </w:numPr>
      </w:pPr>
      <w:r>
        <w:t xml:space="preserve">prototype demonstrators: $50k–$500k.</w:t>
      </w:r>
    </w:p>
    <w:bookmarkEnd w:id="176"/>
    <w:bookmarkStart w:id="177" w:name="commercial-development"/>
    <w:p>
      <w:pPr>
        <w:pStyle w:val="Heading2"/>
      </w:pPr>
      <w:r>
        <w:t xml:space="preserve">Commercial Development</w:t>
      </w:r>
    </w:p>
    <w:p>
      <w:pPr>
        <w:pStyle w:val="FirstParagraph"/>
      </w:pPr>
      <w:r>
        <w:t xml:space="preserve">Estimated range:</w:t>
      </w:r>
    </w:p>
    <w:p>
      <w:pPr>
        <w:pStyle w:val="Compact"/>
        <w:numPr>
          <w:ilvl w:val="0"/>
          <w:numId w:val="1120"/>
        </w:numPr>
      </w:pPr>
      <w:r>
        <w:t xml:space="preserve">white paper / deck / outreach: $5k–$50k;</w:t>
      </w:r>
    </w:p>
    <w:p>
      <w:pPr>
        <w:pStyle w:val="Compact"/>
        <w:numPr>
          <w:ilvl w:val="0"/>
          <w:numId w:val="1120"/>
        </w:numPr>
      </w:pPr>
      <w:r>
        <w:t xml:space="preserve">partner diligence package: $10k–$100k;</w:t>
      </w:r>
    </w:p>
    <w:p>
      <w:pPr>
        <w:pStyle w:val="Compact"/>
        <w:numPr>
          <w:ilvl w:val="0"/>
          <w:numId w:val="1120"/>
        </w:numPr>
      </w:pPr>
      <w:r>
        <w:t xml:space="preserve">business formation and operations: variable.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page-36-full-bloom-risk-register"/>
    <w:p>
      <w:pPr>
        <w:pStyle w:val="Heading1"/>
      </w:pPr>
      <w:r>
        <w:t xml:space="preserve">Page 36 — Full Bloom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art overlaps composition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emphasize integrated platform and zoning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Ti-aluminide becomes brittle network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tune Ti level, powder size, energy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 loss in DED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chemistry verification, feed 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Sc/Zr too costly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only where performance justifies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 process not repeatable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partner with experienced lab, closed-loop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Ductility too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reduce global Ti, use low-Ti skins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 poor due to defects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density optimization, CT, surface finishing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Corrosion uncertain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test, coatings, local chemistry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slow to adopt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with prototypes and non-flight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Patent scope narrowed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continuation strategy and multiple claim families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4" w:name="page-37-full-bloom-strategic-options"/>
    <w:p>
      <w:pPr>
        <w:pStyle w:val="Heading1"/>
      </w:pPr>
      <w:r>
        <w:t xml:space="preserve">Page 37 — Full Bloom Strategic Options</w:t>
      </w:r>
    </w:p>
    <w:bookmarkStart w:id="180" w:name="option-1-license-early"/>
    <w:p>
      <w:pPr>
        <w:pStyle w:val="Heading2"/>
      </w:pPr>
      <w:r>
        <w:t xml:space="preserve">Option 1 — License Early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121"/>
        </w:numPr>
      </w:pPr>
      <w:r>
        <w:t xml:space="preserve">low capital requirement;</w:t>
      </w:r>
    </w:p>
    <w:p>
      <w:pPr>
        <w:pStyle w:val="Compact"/>
        <w:numPr>
          <w:ilvl w:val="0"/>
          <w:numId w:val="1121"/>
        </w:numPr>
      </w:pPr>
      <w:r>
        <w:t xml:space="preserve">faster monetization;</w:t>
      </w:r>
    </w:p>
    <w:p>
      <w:pPr>
        <w:pStyle w:val="Compact"/>
        <w:numPr>
          <w:ilvl w:val="0"/>
          <w:numId w:val="1121"/>
        </w:numPr>
      </w:pPr>
      <w:r>
        <w:t xml:space="preserve">partner handles validation.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122"/>
        </w:numPr>
      </w:pPr>
      <w:r>
        <w:t xml:space="preserve">lower upside;</w:t>
      </w:r>
    </w:p>
    <w:p>
      <w:pPr>
        <w:pStyle w:val="Compact"/>
        <w:numPr>
          <w:ilvl w:val="0"/>
          <w:numId w:val="1122"/>
        </w:numPr>
      </w:pPr>
      <w:r>
        <w:t xml:space="preserve">less control;</w:t>
      </w:r>
    </w:p>
    <w:p>
      <w:pPr>
        <w:pStyle w:val="Compact"/>
        <w:numPr>
          <w:ilvl w:val="0"/>
          <w:numId w:val="1122"/>
        </w:numPr>
      </w:pPr>
      <w:r>
        <w:t xml:space="preserve">weaker leverage before data.</w:t>
      </w:r>
    </w:p>
    <w:bookmarkEnd w:id="180"/>
    <w:bookmarkStart w:id="181" w:name="option-2-validate-before-licensing"/>
    <w:p>
      <w:pPr>
        <w:pStyle w:val="Heading2"/>
      </w:pPr>
      <w:r>
        <w:t xml:space="preserve">Option 2 — Validate Before Licensing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123"/>
        </w:numPr>
      </w:pPr>
      <w:r>
        <w:t xml:space="preserve">higher valuation;</w:t>
      </w:r>
    </w:p>
    <w:p>
      <w:pPr>
        <w:pStyle w:val="Compact"/>
        <w:numPr>
          <w:ilvl w:val="0"/>
          <w:numId w:val="1123"/>
        </w:numPr>
      </w:pPr>
      <w:r>
        <w:t xml:space="preserve">stronger claims;</w:t>
      </w:r>
    </w:p>
    <w:p>
      <w:pPr>
        <w:pStyle w:val="Compact"/>
        <w:numPr>
          <w:ilvl w:val="0"/>
          <w:numId w:val="1123"/>
        </w:numPr>
      </w:pPr>
      <w:r>
        <w:t xml:space="preserve">better negotiating power.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124"/>
        </w:numPr>
      </w:pPr>
      <w:r>
        <w:t xml:space="preserve">requires funding;</w:t>
      </w:r>
    </w:p>
    <w:p>
      <w:pPr>
        <w:pStyle w:val="Compact"/>
        <w:numPr>
          <w:ilvl w:val="0"/>
          <w:numId w:val="1124"/>
        </w:numPr>
      </w:pPr>
      <w:r>
        <w:t xml:space="preserve">technical risk remains with inventor/company.</w:t>
      </w:r>
    </w:p>
    <w:bookmarkEnd w:id="181"/>
    <w:bookmarkStart w:id="182" w:name="option-3-form-platform-company"/>
    <w:p>
      <w:pPr>
        <w:pStyle w:val="Heading2"/>
      </w:pPr>
      <w:r>
        <w:t xml:space="preserve">Option 3 — Form Platform Company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125"/>
        </w:numPr>
      </w:pPr>
      <w:r>
        <w:t xml:space="preserve">maximum upside;</w:t>
      </w:r>
    </w:p>
    <w:p>
      <w:pPr>
        <w:pStyle w:val="Compact"/>
        <w:numPr>
          <w:ilvl w:val="0"/>
          <w:numId w:val="1125"/>
        </w:numPr>
      </w:pPr>
      <w:r>
        <w:t xml:space="preserve">controls IP, process, software, and applications;</w:t>
      </w:r>
    </w:p>
    <w:p>
      <w:pPr>
        <w:pStyle w:val="Compact"/>
        <w:numPr>
          <w:ilvl w:val="0"/>
          <w:numId w:val="1125"/>
        </w:numPr>
      </w:pPr>
      <w:r>
        <w:t xml:space="preserve">can raise venture/strategic funding.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126"/>
        </w:numPr>
      </w:pPr>
      <w:r>
        <w:t xml:space="preserve">highest execution burden;</w:t>
      </w:r>
    </w:p>
    <w:p>
      <w:pPr>
        <w:pStyle w:val="Compact"/>
        <w:numPr>
          <w:ilvl w:val="0"/>
          <w:numId w:val="1126"/>
        </w:numPr>
      </w:pPr>
      <w:r>
        <w:t xml:space="preserve">requires team, lab access, capital, and partnerships.</w:t>
      </w:r>
    </w:p>
    <w:bookmarkEnd w:id="182"/>
    <w:bookmarkStart w:id="183" w:name="Xe9ed8e89c71dbdd4cfefddf4528a9e257ab0d97"/>
    <w:p>
      <w:pPr>
        <w:pStyle w:val="Heading2"/>
      </w:pPr>
      <w:r>
        <w:t xml:space="preserve">Option 4 — Sponsored Research / University Lab Path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127"/>
        </w:numPr>
      </w:pPr>
      <w:r>
        <w:t xml:space="preserve">lower technical cost;</w:t>
      </w:r>
    </w:p>
    <w:p>
      <w:pPr>
        <w:pStyle w:val="Compact"/>
        <w:numPr>
          <w:ilvl w:val="0"/>
          <w:numId w:val="1127"/>
        </w:numPr>
      </w:pPr>
      <w:r>
        <w:t xml:space="preserve">access to equipment and expertise;</w:t>
      </w:r>
    </w:p>
    <w:p>
      <w:pPr>
        <w:pStyle w:val="Compact"/>
        <w:numPr>
          <w:ilvl w:val="0"/>
          <w:numId w:val="1127"/>
        </w:numPr>
      </w:pPr>
      <w:r>
        <w:t xml:space="preserve">improves credibility.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128"/>
        </w:numPr>
      </w:pPr>
      <w:r>
        <w:t xml:space="preserve">IP ownership must be carefully negotiated;</w:t>
      </w:r>
    </w:p>
    <w:p>
      <w:pPr>
        <w:pStyle w:val="Compact"/>
        <w:numPr>
          <w:ilvl w:val="0"/>
          <w:numId w:val="1128"/>
        </w:numPr>
      </w:pPr>
      <w:r>
        <w:t xml:space="preserve">publication timing must be controlled.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1" w:name="page-38-full-bloom-recommended-path"/>
    <w:p>
      <w:pPr>
        <w:pStyle w:val="Heading1"/>
      </w:pPr>
      <w:r>
        <w:t xml:space="preserve">Page 38 — Full Bloom Recommended Path</w:t>
      </w:r>
    </w:p>
    <w:p>
      <w:pPr>
        <w:pStyle w:val="FirstParagraph"/>
      </w:pPr>
      <w:r>
        <w:t xml:space="preserve">The strongest path is a staged hybrid:</w:t>
      </w:r>
    </w:p>
    <w:bookmarkStart w:id="185" w:name="step-1-file-provisional"/>
    <w:p>
      <w:pPr>
        <w:pStyle w:val="Heading2"/>
      </w:pPr>
      <w:r>
        <w:t xml:space="preserve">Step 1 — File Provisional</w:t>
      </w:r>
    </w:p>
    <w:p>
      <w:pPr>
        <w:pStyle w:val="FirstParagraph"/>
      </w:pPr>
      <w:r>
        <w:t xml:space="preserve">Protect the architecture before broad outreach.</w:t>
      </w:r>
    </w:p>
    <w:bookmarkEnd w:id="185"/>
    <w:bookmarkStart w:id="186" w:name="step-2-prior-art-search"/>
    <w:p>
      <w:pPr>
        <w:pStyle w:val="Heading2"/>
      </w:pPr>
      <w:r>
        <w:t xml:space="preserve">Step 2 — Prior-Art Search</w:t>
      </w:r>
    </w:p>
    <w:p>
      <w:pPr>
        <w:pStyle w:val="FirstParagraph"/>
      </w:pPr>
      <w:r>
        <w:t xml:space="preserve">Clarify claim scope and white space.</w:t>
      </w:r>
    </w:p>
    <w:bookmarkEnd w:id="186"/>
    <w:bookmarkStart w:id="187" w:name="step-3-modeling-package"/>
    <w:p>
      <w:pPr>
        <w:pStyle w:val="Heading2"/>
      </w:pPr>
      <w:r>
        <w:t xml:space="preserve">Step 3 — Modeling Package</w:t>
      </w:r>
    </w:p>
    <w:p>
      <w:pPr>
        <w:pStyle w:val="FirstParagraph"/>
      </w:pPr>
      <w:r>
        <w:t xml:space="preserve">Generate technical credibility before expensive builds.</w:t>
      </w:r>
    </w:p>
    <w:bookmarkEnd w:id="187"/>
    <w:bookmarkStart w:id="188" w:name="step-4-sponsored-coupon-program"/>
    <w:p>
      <w:pPr>
        <w:pStyle w:val="Heading2"/>
      </w:pPr>
      <w:r>
        <w:t xml:space="preserve">Step 4 — Sponsored Coupon Program</w:t>
      </w:r>
    </w:p>
    <w:p>
      <w:pPr>
        <w:pStyle w:val="FirstParagraph"/>
      </w:pPr>
      <w:r>
        <w:t xml:space="preserve">Use partner/lab funding where possible.</w:t>
      </w:r>
    </w:p>
    <w:bookmarkEnd w:id="188"/>
    <w:bookmarkStart w:id="189" w:name="step-5-demonstrator-part"/>
    <w:p>
      <w:pPr>
        <w:pStyle w:val="Heading2"/>
      </w:pPr>
      <w:r>
        <w:t xml:space="preserve">Step 5 — Demonstrator Part</w:t>
      </w:r>
    </w:p>
    <w:p>
      <w:pPr>
        <w:pStyle w:val="FirstParagraph"/>
      </w:pPr>
      <w:r>
        <w:t xml:space="preserve">Build one simple part that makes the platform obvious:</w:t>
      </w:r>
    </w:p>
    <w:p>
      <w:pPr>
        <w:pStyle w:val="Compact"/>
        <w:numPr>
          <w:ilvl w:val="0"/>
          <w:numId w:val="1129"/>
        </w:numPr>
      </w:pPr>
      <w:r>
        <w:t xml:space="preserve">reinforced bolt node;</w:t>
      </w:r>
    </w:p>
    <w:p>
      <w:pPr>
        <w:pStyle w:val="Compact"/>
        <w:numPr>
          <w:ilvl w:val="0"/>
          <w:numId w:val="1129"/>
        </w:numPr>
      </w:pPr>
      <w:r>
        <w:t xml:space="preserve">low-Ti ductile skin;</w:t>
      </w:r>
    </w:p>
    <w:p>
      <w:pPr>
        <w:pStyle w:val="Compact"/>
        <w:numPr>
          <w:ilvl w:val="0"/>
          <w:numId w:val="1129"/>
        </w:numPr>
      </w:pPr>
      <w:r>
        <w:t xml:space="preserve">graded transition;</w:t>
      </w:r>
    </w:p>
    <w:p>
      <w:pPr>
        <w:pStyle w:val="Compact"/>
        <w:numPr>
          <w:ilvl w:val="0"/>
          <w:numId w:val="1129"/>
        </w:numPr>
      </w:pPr>
      <w:r>
        <w:t xml:space="preserve">thermal corridor.</w:t>
      </w:r>
    </w:p>
    <w:bookmarkEnd w:id="189"/>
    <w:bookmarkStart w:id="190" w:name="step-6-license-or-spin-out"/>
    <w:p>
      <w:pPr>
        <w:pStyle w:val="Heading2"/>
      </w:pPr>
      <w:r>
        <w:t xml:space="preserve">Step 6 — License or Spin Out</w:t>
      </w:r>
    </w:p>
    <w:p>
      <w:pPr>
        <w:pStyle w:val="FirstParagraph"/>
      </w:pPr>
      <w:r>
        <w:t xml:space="preserve">Choose commercialization path based on validation and partner response.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6" w:name="page-39-full-bloom-valuation-conclusion"/>
    <w:p>
      <w:pPr>
        <w:pStyle w:val="Heading1"/>
      </w:pPr>
      <w:r>
        <w:t xml:space="preserve">Page 39 — Full Bloom Valuation Conclusion</w:t>
      </w:r>
    </w:p>
    <w:p>
      <w:pPr>
        <w:pStyle w:val="FirstParagraph"/>
      </w:pPr>
      <w:r>
        <w:t xml:space="preserve">A fair valuation statement is:</w:t>
      </w:r>
    </w:p>
    <w:p>
      <w:pPr>
        <w:pStyle w:val="BlockText"/>
      </w:pPr>
      <w:r>
        <w:t xml:space="preserve">At the current stage, WS–AlTi M1-MSZ-Prime should be valued as an early-stage, patent-centered materials platform with significant but unvalidated upside. The near-term value lies in the provisional-ready disclosure, programmable architecture, and broad claim strategy. The major valuation inflection occurs only after modeling, coupon fabrication, and benchmark performance data.</w:t>
      </w:r>
    </w:p>
    <w:bookmarkStart w:id="192" w:name="conservative-view"/>
    <w:p>
      <w:pPr>
        <w:pStyle w:val="Heading2"/>
      </w:pPr>
      <w:r>
        <w:t xml:space="preserve">Conservative View</w:t>
      </w:r>
    </w:p>
    <w:p>
      <w:pPr>
        <w:pStyle w:val="FirstParagraph"/>
      </w:pPr>
      <w:r>
        <w:t xml:space="preserve">Value remains in the low-to-mid six figures until filing and diligence are complete.</w:t>
      </w:r>
    </w:p>
    <w:bookmarkEnd w:id="192"/>
    <w:bookmarkStart w:id="193" w:name="balanced-view"/>
    <w:p>
      <w:pPr>
        <w:pStyle w:val="Heading2"/>
      </w:pPr>
      <w:r>
        <w:t xml:space="preserve">Balanced View</w:t>
      </w:r>
    </w:p>
    <w:p>
      <w:pPr>
        <w:pStyle w:val="FirstParagraph"/>
      </w:pPr>
      <w:r>
        <w:t xml:space="preserve">With filing, prior-art support, and credible modeling, the platform may justify a low-seven-figure strategic valuation.</w:t>
      </w:r>
    </w:p>
    <w:bookmarkEnd w:id="193"/>
    <w:bookmarkStart w:id="194" w:name="upside-view"/>
    <w:p>
      <w:pPr>
        <w:pStyle w:val="Heading2"/>
      </w:pPr>
      <w:r>
        <w:t xml:space="preserve">Upside View</w:t>
      </w:r>
    </w:p>
    <w:p>
      <w:pPr>
        <w:pStyle w:val="FirstParagraph"/>
      </w:pPr>
      <w:r>
        <w:t xml:space="preserve">With validated coupons, prototype parts, and partner interest, the platform may justify multi-million to tens-of-millions valuation discussions.</w:t>
      </w:r>
    </w:p>
    <w:bookmarkEnd w:id="194"/>
    <w:bookmarkStart w:id="195" w:name="transformational-view"/>
    <w:p>
      <w:pPr>
        <w:pStyle w:val="Heading2"/>
      </w:pPr>
      <w:r>
        <w:t xml:space="preserve">Transformational View</w:t>
      </w:r>
    </w:p>
    <w:p>
      <w:pPr>
        <w:pStyle w:val="FirstParagraph"/>
      </w:pPr>
      <w:r>
        <w:t xml:space="preserve">With patents allowed, process qualification, software integration, and revenue-bearing partnerships, the platform could become a strategic acquisition or venture-scale advanced materials company.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5" w:name="X0f2961ef1515897d7084e6979a0f9a8ca0d09b5"/>
    <w:p>
      <w:pPr>
        <w:pStyle w:val="Heading1"/>
      </w:pPr>
      <w:r>
        <w:t xml:space="preserve">Page 40 — Full Bloom Final One-Page Positioning</w:t>
      </w:r>
    </w:p>
    <w:bookmarkStart w:id="197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WS–AlTi M1-MSZ-Prime</w:t>
      </w:r>
    </w:p>
    <w:bookmarkEnd w:id="197"/>
    <w:bookmarkStart w:id="198" w:name="category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Programmable deposited aluminum meta-alloy platform.</w:t>
      </w:r>
    </w:p>
    <w:bookmarkEnd w:id="198"/>
    <w:bookmarkStart w:id="199" w:name="core-composition"/>
    <w:p>
      <w:pPr>
        <w:pStyle w:val="Heading2"/>
      </w:pPr>
      <w:r>
        <w:t xml:space="preserve">Core Composition</w:t>
      </w:r>
    </w:p>
    <w:p>
      <w:pPr>
        <w:pStyle w:val="FirstParagraph"/>
      </w:pPr>
      <w:r>
        <w:t xml:space="preserve">Al–5.25Ti–2.25Mg–0.18Sc–0.45Zr, nominal wt%.</w:t>
      </w:r>
    </w:p>
    <w:bookmarkEnd w:id="199"/>
    <w:bookmarkStart w:id="200" w:name="core-innovation"/>
    <w:p>
      <w:pPr>
        <w:pStyle w:val="Heading2"/>
      </w:pPr>
      <w:r>
        <w:t xml:space="preserve">Core Innovation</w:t>
      </w:r>
    </w:p>
    <w:p>
      <w:pPr>
        <w:pStyle w:val="FirstParagraph"/>
      </w:pPr>
      <w:r>
        <w:t xml:space="preserve">Controlled titanium-aluminide reinforcement inside a Mg-strengthened, Sc/Zr-stabilized aluminum matrix, locally programmed during dual-feed DED manufacturing.</w:t>
      </w:r>
    </w:p>
    <w:bookmarkEnd w:id="200"/>
    <w:bookmarkStart w:id="201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Static alloys give every region of a part the same material behavior. This platform aims to give each region the material behavior it needs.</w:t>
      </w:r>
    </w:p>
    <w:bookmarkEnd w:id="201"/>
    <w:bookmarkStart w:id="202" w:name="primary-claims-of-value"/>
    <w:p>
      <w:pPr>
        <w:pStyle w:val="Heading2"/>
      </w:pPr>
      <w:r>
        <w:t xml:space="preserve">Primary Claims of Value</w:t>
      </w:r>
    </w:p>
    <w:p>
      <w:pPr>
        <w:pStyle w:val="Compact"/>
        <w:numPr>
          <w:ilvl w:val="0"/>
          <w:numId w:val="1130"/>
        </w:numPr>
      </w:pPr>
      <w:r>
        <w:t xml:space="preserve">hard nodes;</w:t>
      </w:r>
    </w:p>
    <w:p>
      <w:pPr>
        <w:pStyle w:val="Compact"/>
        <w:numPr>
          <w:ilvl w:val="0"/>
          <w:numId w:val="1130"/>
        </w:numPr>
      </w:pPr>
      <w:r>
        <w:t xml:space="preserve">tough skins;</w:t>
      </w:r>
    </w:p>
    <w:p>
      <w:pPr>
        <w:pStyle w:val="Compact"/>
        <w:numPr>
          <w:ilvl w:val="0"/>
          <w:numId w:val="1130"/>
        </w:numPr>
      </w:pPr>
      <w:r>
        <w:t xml:space="preserve">thermal corridors;</w:t>
      </w:r>
    </w:p>
    <w:p>
      <w:pPr>
        <w:pStyle w:val="Compact"/>
        <w:numPr>
          <w:ilvl w:val="0"/>
          <w:numId w:val="1130"/>
        </w:numPr>
      </w:pPr>
      <w:r>
        <w:t xml:space="preserve">crack-arrest bands;</w:t>
      </w:r>
    </w:p>
    <w:p>
      <w:pPr>
        <w:pStyle w:val="Compact"/>
        <w:numPr>
          <w:ilvl w:val="0"/>
          <w:numId w:val="1130"/>
        </w:numPr>
      </w:pPr>
      <w:r>
        <w:t xml:space="preserve">vibration-managed lattices;</w:t>
      </w:r>
    </w:p>
    <w:p>
      <w:pPr>
        <w:pStyle w:val="Compact"/>
        <w:numPr>
          <w:ilvl w:val="0"/>
          <w:numId w:val="1130"/>
        </w:numPr>
      </w:pPr>
      <w:r>
        <w:t xml:space="preserve">property-map-driven manufacturing;</w:t>
      </w:r>
    </w:p>
    <w:p>
      <w:pPr>
        <w:pStyle w:val="Compact"/>
        <w:numPr>
          <w:ilvl w:val="0"/>
          <w:numId w:val="1130"/>
        </w:numPr>
      </w:pPr>
      <w:r>
        <w:t xml:space="preserve">monolithic graded structures.</w:t>
      </w:r>
    </w:p>
    <w:bookmarkEnd w:id="202"/>
    <w:bookmarkStart w:id="203" w:name="first-customers-to-target"/>
    <w:p>
      <w:pPr>
        <w:pStyle w:val="Heading2"/>
      </w:pPr>
      <w:r>
        <w:t xml:space="preserve">First Customers to Target</w:t>
      </w:r>
    </w:p>
    <w:p>
      <w:pPr>
        <w:pStyle w:val="Compact"/>
        <w:numPr>
          <w:ilvl w:val="0"/>
          <w:numId w:val="1131"/>
        </w:numPr>
      </w:pPr>
      <w:r>
        <w:t xml:space="preserve">advanced AM labs;</w:t>
      </w:r>
    </w:p>
    <w:p>
      <w:pPr>
        <w:pStyle w:val="Compact"/>
        <w:numPr>
          <w:ilvl w:val="0"/>
          <w:numId w:val="1131"/>
        </w:numPr>
      </w:pPr>
      <w:r>
        <w:t xml:space="preserve">aerospace prototype groups;</w:t>
      </w:r>
    </w:p>
    <w:p>
      <w:pPr>
        <w:pStyle w:val="Compact"/>
        <w:numPr>
          <w:ilvl w:val="0"/>
          <w:numId w:val="1131"/>
        </w:numPr>
      </w:pPr>
      <w:r>
        <w:t xml:space="preserve">robotics companies;</w:t>
      </w:r>
    </w:p>
    <w:p>
      <w:pPr>
        <w:pStyle w:val="Compact"/>
        <w:numPr>
          <w:ilvl w:val="0"/>
          <w:numId w:val="1131"/>
        </w:numPr>
      </w:pPr>
      <w:r>
        <w:t xml:space="preserve">thermal-management hardware firms;</w:t>
      </w:r>
    </w:p>
    <w:p>
      <w:pPr>
        <w:pStyle w:val="Compact"/>
        <w:numPr>
          <w:ilvl w:val="0"/>
          <w:numId w:val="1131"/>
        </w:numPr>
      </w:pPr>
      <w:r>
        <w:t xml:space="preserve">defense materials programs;</w:t>
      </w:r>
    </w:p>
    <w:p>
      <w:pPr>
        <w:pStyle w:val="Compact"/>
        <w:numPr>
          <w:ilvl w:val="0"/>
          <w:numId w:val="1131"/>
        </w:numPr>
      </w:pPr>
      <w:r>
        <w:t xml:space="preserve">specialty powder and alloy companies.</w:t>
      </w:r>
    </w:p>
    <w:bookmarkEnd w:id="203"/>
    <w:bookmarkStart w:id="204" w:name="next-action"/>
    <w:p>
      <w:pPr>
        <w:pStyle w:val="Heading2"/>
      </w:pPr>
      <w:r>
        <w:t xml:space="preserve">Next Action</w:t>
      </w:r>
    </w:p>
    <w:p>
      <w:pPr>
        <w:pStyle w:val="FirstParagraph"/>
      </w:pPr>
      <w:r>
        <w:t xml:space="preserve">File provisional, model phase behavior, build coupons, prove microstructure, and demonstrate a graded bracket or thermal panel.</w:t>
      </w:r>
    </w:p>
    <w:bookmarkEnd w:id="204"/>
    <w:bookmarkEnd w:id="205"/>
    <w:bookmarkStart w:id="206" w:name="X2c6f13abe6700109ffe19eab4a26d1871054624"/>
    <w:p>
      <w:pPr>
        <w:pStyle w:val="Heading1"/>
      </w:pPr>
      <w:r>
        <w:t xml:space="preserve">End of Full Bloom White Paper and Valuation Brief</w:t>
      </w:r>
    </w:p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2026-05-20T21:05:10Z</dcterms:created>
  <dcterms:modified xsi:type="dcterms:W3CDTF">2026-05-20T21:05:10Z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