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Ingestion Platform - Technical Reference</w:t>
      </w:r>
    </w:p>
    <w:p>
      <w:pPr>
        <w:pStyle w:val="Heading2"/>
      </w:pPr>
      <w:r>
        <w:rPr>
          <w:b w:val="0"/>
        </w:rPr>
        <w:t>Overview</w:t>
      </w:r>
    </w:p>
    <w:p>
      <w:r>
        <w:rPr>
          <w:b w:val="0"/>
        </w:rPr>
        <w:t>The ingestion platform converts enterprise source material - slide decks, PDFs,</w:t>
      </w:r>
    </w:p>
    <w:p>
      <w:r>
        <w:rPr>
          <w:b w:val="0"/>
        </w:rPr>
        <w:t>and workspace documents - into publication-ready reference documentation. Source</w:t>
      </w:r>
    </w:p>
    <w:p>
      <w:r>
        <w:rPr>
          <w:b w:val="0"/>
        </w:rPr>
        <w:t>material is normalised into chunked text with slide-accurate figure extraction so</w:t>
      </w:r>
    </w:p>
    <w:p>
      <w:r>
        <w:rPr>
          <w:b w:val="0"/>
        </w:rPr>
        <w:t>that every generated statement remains traceable to its origin.</w:t>
      </w:r>
    </w:p>
    <w:p>
      <w:pPr>
        <w:pStyle w:val="Heading2"/>
      </w:pPr>
      <w:r>
        <w:rPr>
          <w:b w:val="0"/>
        </w:rPr>
        <w:t>Retrieval</w:t>
      </w:r>
    </w:p>
    <w:p>
      <w:r>
        <w:rPr>
          <w:b w:val="0"/>
        </w:rPr>
        <w:t>Chunks are ranked by a hybrid scorer that fuses BM25 lexical matching with</w:t>
      </w:r>
    </w:p>
    <w:p>
      <w:r>
        <w:rPr>
          <w:b w:val="0"/>
        </w:rPr>
        <w:t>embedding similarity. Lexical scoring preserves precision on exact identifiers</w:t>
      </w:r>
    </w:p>
    <w:p>
      <w:r>
        <w:rPr>
          <w:b w:val="0"/>
        </w:rPr>
        <w:t>such as model names and ticket references; embedding similarity recovers</w:t>
      </w:r>
    </w:p>
    <w:p>
      <w:r>
        <w:rPr>
          <w:b w:val="0"/>
        </w:rPr>
        <w:t>paraphrased intent. The fused ranking assembles the grounded context window that</w:t>
      </w:r>
    </w:p>
    <w:p>
      <w:r>
        <w:rPr>
          <w:b w:val="0"/>
        </w:rPr>
        <w:t>constrains generation.</w:t>
      </w:r>
    </w:p>
    <w:p>
      <w:pPr>
        <w:pStyle w:val="Heading2"/>
      </w:pPr>
      <w:r>
        <w:rPr>
          <w:b w:val="0"/>
        </w:rPr>
        <w:t>Generation</w:t>
      </w:r>
    </w:p>
    <w:p>
      <w:r>
        <w:rPr>
          <w:b w:val="0"/>
        </w:rPr>
        <w:t>Requests are routed to a fast, default, or strong model according to the</w:t>
      </w:r>
    </w:p>
    <w:p>
      <w:r>
        <w:rPr>
          <w:b w:val="0"/>
        </w:rPr>
        <w:t>requested detail level. When the inference tier is unavailable, a deterministic</w:t>
      </w:r>
    </w:p>
    <w:p>
      <w:r>
        <w:rPr>
          <w:b w:val="0"/>
        </w:rPr>
        <w:t>structure-preserving composer produces a grounded document from the retrieved</w:t>
      </w:r>
    </w:p>
    <w:p>
      <w:r>
        <w:rPr>
          <w:b w:val="0"/>
        </w:rPr>
        <w:t>context and the run is recorded as degraded rather than failed.</w:t>
      </w:r>
    </w:p>
    <w:p>
      <w:pPr>
        <w:pStyle w:val="Heading2"/>
      </w:pPr>
      <w:r>
        <w:rPr>
          <w:b w:val="0"/>
        </w:rPr>
        <w:t>Rendering</w:t>
      </w:r>
    </w:p>
    <w:p>
      <w:r>
        <w:rPr>
          <w:b w:val="0"/>
        </w:rPr>
        <w:t>Output is rendered to PDF and DOCX with section headings, figure captions, and</w:t>
      </w:r>
    </w:p>
    <w:p>
      <w:r>
        <w:rPr>
          <w:b w:val="0"/>
        </w:rPr>
        <w:t>tables. Presentation artefacts from the source - slide numbers, action items,</w:t>
      </w:r>
    </w:p>
    <w:p>
      <w:r>
        <w:rPr>
          <w:b w:val="0"/>
        </w:rPr>
        <w:t>and meeting chatter - are removed during post-processing.</w:t>
      </w:r>
    </w:p>
    <w:p>
      <w:pPr>
        <w:pStyle w:val="Heading2"/>
      </w:pPr>
      <w:r>
        <w:rPr>
          <w:b w:val="0"/>
        </w:rPr>
        <w:t>Measured 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Throughput (docs/min)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Median latency (s)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4.2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Tuned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1.8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Cached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1.1</w:t>
            </w:r>
          </w:p>
        </w:tc>
      </w:tr>
    </w:tbl>
    <w:p/>
    <w:p>
      <w:pPr>
        <w:pStyle w:val="Heading2"/>
      </w:pPr>
      <w:r>
        <w:rPr>
          <w:b w:val="0"/>
        </w:rPr>
        <w:t>Telemetry</w:t>
      </w:r>
    </w:p>
    <w:p>
      <w:r>
        <w:rPr>
          <w:b w:val="0"/>
        </w:rPr>
        <w:t>Every run emits a structured record of more than fifty KPIs covering retrieval</w:t>
      </w:r>
    </w:p>
    <w:p>
      <w:r>
        <w:rPr>
          <w:b w:val="0"/>
        </w:rPr>
        <w:t>quality, generation quality, content integrity, and operational cost. These</w:t>
      </w:r>
    </w:p>
    <w:p>
      <w:r>
        <w:rPr>
          <w:b w:val="0"/>
        </w:rPr>
        <w:t>records back both the live dashboard and the offline quality analysis.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0213A"/>
        <w:sz w:val="28"/>
      </w:rPr>
      <w:t xml:space="preserve">SIEMENS </w:t>
    </w:r>
    <w:r>
      <w:rPr>
        <w:b/>
        <w:color w:val="FF7A1A"/>
        <w:sz w:val="28"/>
      </w:rPr>
      <w:t>Healthineers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