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Franchise Partner Assessment Methods</w:t>
      </w:r>
    </w:p>
    <w:p>
      <w:pPr>
        <w:pStyle w:val="Subtitle"/>
      </w:pPr>
      <w:r>
        <w:t>Industry evidence  Proposed screening policy  Worked example</w:t>
      </w:r>
    </w:p>
    <w:p>
      <w:r>
        <w:rPr>
          <w:b/>
        </w:rPr>
        <w:t>Prepared for Ravi Teja Reddy and the AI x Ops Hackathon Case 1</w:t>
      </w:r>
    </w:p>
    <w:p>
      <w:r>
        <w:rPr>
          <w:b w:val="0"/>
        </w:rPr>
        <w:t>The sources reviewed support structured, brand-specific franchisee selection. They do not establish a universal numerical grading scale, universal weights, or the original 60/10/30 percentile model. The appropriate claim is an evidence-informed screening scorecard, with explicit assumptions, eligibility gates and separate verification before approval.</w:t>
      </w:r>
    </w:p>
    <w:p>
      <w:pPr>
        <w:pStyle w:val="Heading1"/>
      </w:pPr>
      <w:r>
        <w:t>What is accepted practice</w:t>
      </w:r>
    </w:p>
    <w:p>
      <w:r>
        <w:rPr>
          <w:b w:val="0"/>
        </w:rPr>
        <w:t>A defensible assessment starts with an ideal partner and store profile, assesses financial capacity and operating capability, checks site suitability, and verifies claims through due diligence. WIPO stresses that money alone is insufficient. BDC guidance recommends interviews, background assessment, trial work and verification of disclosed finances. These are process principles, not a certified scoring formula. [1, 2]</w:t>
      </w:r>
    </w:p>
    <w:tbl>
      <w:tblPr>
        <w:tblStyle w:val="TableGrid"/>
        <w:tblW w:type="auto" w:w="0"/>
        <w:tblLayout w:type="fixed"/>
        <w:tblLook w:firstColumn="1" w:firstRow="1" w:lastColumn="0" w:lastRow="0" w:noHBand="0" w:noVBand="1" w:val="04A0"/>
      </w:tblPr>
      <w:tblGrid>
        <w:gridCol w:w="2016"/>
        <w:gridCol w:w="3816"/>
        <w:gridCol w:w="3888"/>
      </w:tblGrid>
      <w:tr>
        <w:trPr>
          <w:cantSplit/>
          <w:tblHeader/>
        </w:trPr>
        <w:tc>
          <w:tcPr>
            <w:tcW w:type="dxa" w:w="2016"/>
            <w:shd w:fill="EDF1F2"/>
          </w:tcPr>
          <w:p>
            <w:pPr>
              <w:spacing w:after="80" w:before="80"/>
            </w:pPr>
            <w:r>
              <w:rPr>
                <w:b/>
                <w:color w:val="000000"/>
                <w:sz w:val="18"/>
              </w:rPr>
              <w:t>Evidence category</w:t>
            </w:r>
          </w:p>
        </w:tc>
        <w:tc>
          <w:tcPr>
            <w:tcW w:type="dxa" w:w="3816"/>
            <w:shd w:fill="EDF1F2"/>
          </w:tcPr>
          <w:p>
            <w:pPr>
              <w:spacing w:after="80" w:before="80"/>
            </w:pPr>
            <w:r>
              <w:rPr>
                <w:b/>
                <w:color w:val="000000"/>
                <w:sz w:val="18"/>
              </w:rPr>
              <w:t>What it establishes</w:t>
            </w:r>
          </w:p>
        </w:tc>
        <w:tc>
          <w:tcPr>
            <w:tcW w:type="dxa" w:w="3888"/>
            <w:shd w:fill="EDF1F2"/>
          </w:tcPr>
          <w:p>
            <w:pPr>
              <w:spacing w:after="80" w:before="80"/>
            </w:pPr>
            <w:r>
              <w:rPr>
                <w:b/>
                <w:color w:val="000000"/>
                <w:sz w:val="18"/>
              </w:rPr>
              <w:t>What it does not establish</w:t>
            </w:r>
          </w:p>
        </w:tc>
      </w:tr>
      <w:tr>
        <w:trPr>
          <w:cantSplit/>
        </w:trPr>
        <w:tc>
          <w:tcPr>
            <w:tcW w:type="dxa" w:w="2016"/>
          </w:tcPr>
          <w:p>
            <w:pPr>
              <w:spacing w:after="80" w:before="80"/>
            </w:pPr>
            <w:r>
              <w:rPr>
                <w:b w:val="0"/>
                <w:color w:val="000000"/>
                <w:sz w:val="18"/>
              </w:rPr>
              <w:t>Institutional guidance</w:t>
            </w:r>
          </w:p>
        </w:tc>
        <w:tc>
          <w:tcPr>
            <w:tcW w:type="dxa" w:w="3816"/>
          </w:tcPr>
          <w:p>
            <w:pPr>
              <w:spacing w:after="80" w:before="80"/>
            </w:pPr>
            <w:r>
              <w:rPr>
                <w:b w:val="0"/>
                <w:color w:val="000000"/>
                <w:sz w:val="18"/>
              </w:rPr>
              <w:t>Structured selection, due diligence and partner fit</w:t>
            </w:r>
          </w:p>
        </w:tc>
        <w:tc>
          <w:tcPr>
            <w:tcW w:type="dxa" w:w="3888"/>
          </w:tcPr>
          <w:p>
            <w:pPr>
              <w:spacing w:after="80" w:before="80"/>
            </w:pPr>
            <w:r>
              <w:rPr>
                <w:b w:val="0"/>
                <w:color w:val="000000"/>
                <w:sz w:val="18"/>
              </w:rPr>
              <w:t>A mandatory global score or weighting</w:t>
            </w:r>
          </w:p>
        </w:tc>
      </w:tr>
      <w:tr>
        <w:trPr>
          <w:cantSplit/>
        </w:trPr>
        <w:tc>
          <w:tcPr>
            <w:tcW w:type="dxa" w:w="2016"/>
          </w:tcPr>
          <w:p>
            <w:pPr>
              <w:spacing w:after="80" w:before="80"/>
            </w:pPr>
            <w:r>
              <w:rPr>
                <w:b w:val="0"/>
                <w:color w:val="000000"/>
                <w:sz w:val="18"/>
              </w:rPr>
              <w:t>Official brand criteria</w:t>
            </w:r>
          </w:p>
        </w:tc>
        <w:tc>
          <w:tcPr>
            <w:tcW w:type="dxa" w:w="3816"/>
          </w:tcPr>
          <w:p>
            <w:pPr>
              <w:spacing w:after="80" w:before="80"/>
            </w:pPr>
            <w:r>
              <w:rPr>
                <w:b w:val="0"/>
                <w:color w:val="000000"/>
                <w:sz w:val="18"/>
              </w:rPr>
              <w:t>Requirements for a named format and market</w:t>
            </w:r>
          </w:p>
        </w:tc>
        <w:tc>
          <w:tcPr>
            <w:tcW w:type="dxa" w:w="3888"/>
          </w:tcPr>
          <w:p>
            <w:pPr>
              <w:spacing w:after="80" w:before="80"/>
            </w:pPr>
            <w:r>
              <w:rPr>
                <w:b w:val="0"/>
                <w:color w:val="000000"/>
                <w:sz w:val="18"/>
              </w:rPr>
              <w:t>Rules transferable to every retail franchise</w:t>
            </w:r>
          </w:p>
        </w:tc>
      </w:tr>
      <w:tr>
        <w:trPr>
          <w:cantSplit/>
        </w:trPr>
        <w:tc>
          <w:tcPr>
            <w:tcW w:type="dxa" w:w="2016"/>
          </w:tcPr>
          <w:p>
            <w:pPr>
              <w:spacing w:after="80" w:before="80"/>
            </w:pPr>
            <w:r>
              <w:rPr>
                <w:b w:val="0"/>
                <w:color w:val="000000"/>
                <w:sz w:val="18"/>
              </w:rPr>
              <w:t>Peer reviewed research</w:t>
            </w:r>
          </w:p>
        </w:tc>
        <w:tc>
          <w:tcPr>
            <w:tcW w:type="dxa" w:w="3816"/>
          </w:tcPr>
          <w:p>
            <w:pPr>
              <w:spacing w:after="80" w:before="80"/>
            </w:pPr>
            <w:r>
              <w:rPr>
                <w:b w:val="0"/>
                <w:color w:val="000000"/>
                <w:sz w:val="18"/>
              </w:rPr>
              <w:t>Relevant criteria and multi-criteria decision methods</w:t>
            </w:r>
          </w:p>
        </w:tc>
        <w:tc>
          <w:tcPr>
            <w:tcW w:type="dxa" w:w="3888"/>
          </w:tcPr>
          <w:p>
            <w:pPr>
              <w:spacing w:after="80" w:before="80"/>
            </w:pPr>
            <w:r>
              <w:rPr>
                <w:b w:val="0"/>
                <w:color w:val="000000"/>
                <w:sz w:val="18"/>
              </w:rPr>
              <w:t>Validated prediction for this unnamed Indian brand</w:t>
            </w:r>
          </w:p>
        </w:tc>
      </w:tr>
      <w:tr>
        <w:trPr>
          <w:cantSplit/>
        </w:trPr>
        <w:tc>
          <w:tcPr>
            <w:tcW w:type="dxa" w:w="2016"/>
          </w:tcPr>
          <w:p>
            <w:pPr>
              <w:spacing w:after="80" w:before="80"/>
            </w:pPr>
            <w:r>
              <w:rPr>
                <w:b w:val="0"/>
                <w:color w:val="000000"/>
                <w:sz w:val="18"/>
              </w:rPr>
              <w:t>Our proposed policy</w:t>
            </w:r>
          </w:p>
        </w:tc>
        <w:tc>
          <w:tcPr>
            <w:tcW w:type="dxa" w:w="3816"/>
          </w:tcPr>
          <w:p>
            <w:pPr>
              <w:spacing w:after="80" w:before="80"/>
            </w:pPr>
            <w:r>
              <w:rPr>
                <w:b w:val="0"/>
                <w:color w:val="000000"/>
                <w:sz w:val="18"/>
              </w:rPr>
              <w:t>A reproducible way to prioritise this dataset</w:t>
            </w:r>
          </w:p>
        </w:tc>
        <w:tc>
          <w:tcPr>
            <w:tcW w:type="dxa" w:w="3888"/>
          </w:tcPr>
          <w:p>
            <w:pPr>
              <w:spacing w:after="80" w:before="80"/>
            </w:pPr>
            <w:r>
              <w:rPr>
                <w:b w:val="0"/>
                <w:color w:val="000000"/>
                <w:sz w:val="18"/>
              </w:rPr>
              <w:t>Industry endorsement or a probability of success</w:t>
            </w:r>
          </w:p>
        </w:tc>
      </w:tr>
    </w:tbl>
    <w:p>
      <w:pPr>
        <w:pStyle w:val="Heading1"/>
      </w:pPr>
      <w:r>
        <w:t>Scope and evidence boundary</w:t>
      </w:r>
    </w:p>
    <w:p>
      <w:r>
        <w:rPr>
          <w:b w:val="0"/>
        </w:rPr>
        <w:t>This document concerns initial screening of retail franchise applicants in the supplied Karnataka dataset. It uses official brand pages, institutional guidance and accessible primary research. Where full articles are restricted, conclusions are limited to the available publisher abstract. US and Canadian material informs process design and is not presented as Indian law. All prototype applicants used in the worked rescoring are fictional.</w:t>
      </w:r>
    </w:p>
    <w:p>
      <w:r>
        <w:rPr>
          <w:b/>
        </w:rPr>
        <w:t>The revised score is a fit screen using recorded application inputs. It must be shown beside decision status and verification progress. An A grade with a failed mandatory requirement remains on hold.</w:t>
      </w:r>
    </w:p>
    <w:p>
      <w:r>
        <w:br w:type="page"/>
      </w:r>
    </w:p>
    <w:p>
      <w:pPr>
        <w:pStyle w:val="Heading1"/>
      </w:pPr>
      <w:r>
        <w:t>Published requirements differ by brand</w:t>
      </w:r>
    </w:p>
    <w:tbl>
      <w:tblPr>
        <w:tblStyle w:val="TableGrid"/>
        <w:tblW w:type="auto" w:w="0"/>
        <w:tblLayout w:type="fixed"/>
        <w:tblLook w:firstColumn="1" w:firstRow="1" w:lastColumn="0" w:lastRow="0" w:noHBand="0" w:noVBand="1" w:val="04A0"/>
      </w:tblPr>
      <w:tblGrid>
        <w:gridCol w:w="1800"/>
        <w:gridCol w:w="4104"/>
        <w:gridCol w:w="3816"/>
      </w:tblGrid>
      <w:tr>
        <w:trPr>
          <w:cantSplit/>
          <w:tblHeader/>
        </w:trPr>
        <w:tc>
          <w:tcPr>
            <w:tcW w:type="dxa" w:w="1800"/>
            <w:shd w:fill="EDF1F2"/>
          </w:tcPr>
          <w:p>
            <w:pPr>
              <w:spacing w:after="80" w:before="80"/>
            </w:pPr>
            <w:r>
              <w:rPr>
                <w:b/>
                <w:color w:val="000000"/>
                <w:sz w:val="18"/>
              </w:rPr>
              <w:t>Official source</w:t>
            </w:r>
          </w:p>
        </w:tc>
        <w:tc>
          <w:tcPr>
            <w:tcW w:type="dxa" w:w="4104"/>
            <w:shd w:fill="EDF1F2"/>
          </w:tcPr>
          <w:p>
            <w:pPr>
              <w:spacing w:after="80" w:before="80"/>
            </w:pPr>
            <w:r>
              <w:rPr>
                <w:b/>
                <w:color w:val="000000"/>
                <w:sz w:val="18"/>
              </w:rPr>
              <w:t>Published example reviewed</w:t>
            </w:r>
          </w:p>
        </w:tc>
        <w:tc>
          <w:tcPr>
            <w:tcW w:type="dxa" w:w="3816"/>
            <w:shd w:fill="EDF1F2"/>
          </w:tcPr>
          <w:p>
            <w:pPr>
              <w:spacing w:after="80" w:before="80"/>
            </w:pPr>
            <w:r>
              <w:rPr>
                <w:b/>
                <w:color w:val="000000"/>
                <w:sz w:val="18"/>
              </w:rPr>
              <w:t>Implication for this build</w:t>
            </w:r>
          </w:p>
        </w:tc>
      </w:tr>
      <w:tr>
        <w:trPr>
          <w:cantSplit/>
        </w:trPr>
        <w:tc>
          <w:tcPr>
            <w:tcW w:type="dxa" w:w="1800"/>
          </w:tcPr>
          <w:p>
            <w:pPr>
              <w:spacing w:after="80" w:before="80"/>
            </w:pPr>
            <w:r>
              <w:rPr>
                <w:b w:val="0"/>
                <w:color w:val="000000"/>
                <w:sz w:val="18"/>
              </w:rPr>
              <w:t>Lenskart India [3]</w:t>
            </w:r>
          </w:p>
        </w:tc>
        <w:tc>
          <w:tcPr>
            <w:tcW w:type="dxa" w:w="4104"/>
          </w:tcPr>
          <w:p>
            <w:pPr>
              <w:spacing w:after="80" w:before="80"/>
            </w:pPr>
            <w:r>
              <w:rPr>
                <w:b w:val="0"/>
                <w:color w:val="000000"/>
                <w:sz w:val="18"/>
              </w:rPr>
              <w:t>Its partner enquiry form accepts owned and rented or leased property. The reviewed page does not publish a numeric selection score.</w:t>
            </w:r>
          </w:p>
        </w:tc>
        <w:tc>
          <w:tcPr>
            <w:tcW w:type="dxa" w:w="3816"/>
          </w:tcPr>
          <w:p>
            <w:pPr>
              <w:spacing w:after="80" w:before="80"/>
            </w:pPr>
            <w:r>
              <w:rPr>
                <w:b w:val="0"/>
                <w:color w:val="000000"/>
                <w:sz w:val="18"/>
              </w:rPr>
              <w:t>Do not award an automatic ownership premium or attribute invented minimums to Lenskart.</w:t>
            </w:r>
          </w:p>
        </w:tc>
      </w:tr>
      <w:tr>
        <w:trPr>
          <w:cantSplit/>
        </w:trPr>
        <w:tc>
          <w:tcPr>
            <w:tcW w:type="dxa" w:w="1800"/>
          </w:tcPr>
          <w:p>
            <w:pPr>
              <w:spacing w:after="80" w:before="80"/>
            </w:pPr>
            <w:r>
              <w:rPr>
                <w:b w:val="0"/>
                <w:color w:val="000000"/>
                <w:sz w:val="18"/>
              </w:rPr>
              <w:t>Amul India [4]</w:t>
            </w:r>
          </w:p>
        </w:tc>
        <w:tc>
          <w:tcPr>
            <w:tcW w:type="dxa" w:w="4104"/>
          </w:tcPr>
          <w:p>
            <w:pPr>
              <w:spacing w:after="80" w:before="80"/>
            </w:pPr>
            <w:r>
              <w:rPr>
                <w:b w:val="0"/>
                <w:color w:val="000000"/>
                <w:sz w:val="18"/>
              </w:rPr>
              <w:t>Its current overview describes outlets typically spanning 100–400 sq ft, across different locations and formats.</w:t>
            </w:r>
          </w:p>
        </w:tc>
        <w:tc>
          <w:tcPr>
            <w:tcW w:type="dxa" w:w="3816"/>
          </w:tcPr>
          <w:p>
            <w:pPr>
              <w:spacing w:after="80" w:before="80"/>
            </w:pPr>
            <w:r>
              <w:rPr>
                <w:b w:val="0"/>
                <w:color w:val="000000"/>
                <w:sz w:val="18"/>
              </w:rPr>
              <w:t>Area requirements are format-specific; larger space is not automatically a better site.</w:t>
            </w:r>
          </w:p>
        </w:tc>
      </w:tr>
      <w:tr>
        <w:trPr>
          <w:cantSplit/>
        </w:trPr>
        <w:tc>
          <w:tcPr>
            <w:tcW w:type="dxa" w:w="1800"/>
          </w:tcPr>
          <w:p>
            <w:pPr>
              <w:spacing w:after="80" w:before="80"/>
            </w:pPr>
            <w:r>
              <w:rPr>
                <w:b w:val="0"/>
                <w:color w:val="000000"/>
                <w:sz w:val="18"/>
              </w:rPr>
              <w:t>McDonald’s US [5]</w:t>
            </w:r>
          </w:p>
        </w:tc>
        <w:tc>
          <w:tcPr>
            <w:tcW w:type="dxa" w:w="4104"/>
          </w:tcPr>
          <w:p>
            <w:pPr>
              <w:spacing w:after="80" w:before="80"/>
            </w:pPr>
            <w:r>
              <w:rPr>
                <w:b w:val="0"/>
                <w:color w:val="000000"/>
                <w:sz w:val="18"/>
              </w:rPr>
              <w:t>Current costs page describes a typical $750,000 net non-borrowed funds requirement and recommends additional working capital.</w:t>
            </w:r>
          </w:p>
        </w:tc>
        <w:tc>
          <w:tcPr>
            <w:tcW w:type="dxa" w:w="3816"/>
          </w:tcPr>
          <w:p>
            <w:pPr>
              <w:spacing w:after="80" w:before="80"/>
            </w:pPr>
            <w:r>
              <w:rPr>
                <w:b w:val="0"/>
                <w:color w:val="000000"/>
                <w:sz w:val="18"/>
              </w:rPr>
              <w:t>Assess usable funding and operating reserve against the specific opportunity; do not import US dollar thresholds into India.</w:t>
            </w:r>
          </w:p>
        </w:tc>
      </w:tr>
      <w:tr>
        <w:trPr>
          <w:cantSplit/>
        </w:trPr>
        <w:tc>
          <w:tcPr>
            <w:tcW w:type="dxa" w:w="1800"/>
          </w:tcPr>
          <w:p>
            <w:pPr>
              <w:spacing w:after="80" w:before="80"/>
            </w:pPr>
            <w:r>
              <w:rPr>
                <w:b w:val="0"/>
                <w:color w:val="000000"/>
                <w:sz w:val="18"/>
              </w:rPr>
              <w:t>Subway US [6]</w:t>
            </w:r>
          </w:p>
        </w:tc>
        <w:tc>
          <w:tcPr>
            <w:tcW w:type="dxa" w:w="4104"/>
          </w:tcPr>
          <w:p>
            <w:pPr>
              <w:spacing w:after="80" w:before="80"/>
            </w:pPr>
            <w:r>
              <w:rPr>
                <w:b w:val="0"/>
                <w:color w:val="000000"/>
                <w:sz w:val="18"/>
              </w:rPr>
              <w:t>FAQ distinguishes net worth from liquid assets and states that requirements can be higher by territory. It also describes site-dependent launch duration and required training.</w:t>
            </w:r>
          </w:p>
        </w:tc>
        <w:tc>
          <w:tcPr>
            <w:tcW w:type="dxa" w:w="3816"/>
          </w:tcPr>
          <w:p>
            <w:pPr>
              <w:spacing w:after="80" w:before="80"/>
            </w:pPr>
            <w:r>
              <w:rPr>
                <w:b w:val="0"/>
                <w:color w:val="000000"/>
                <w:sz w:val="18"/>
              </w:rPr>
              <w:t>Separate liquidity, total project cost, site constraints and training; a faster stated launch is not proof of readiness.</w:t>
            </w:r>
          </w:p>
        </w:tc>
      </w:tr>
    </w:tbl>
    <w:p>
      <w:r>
        <w:rPr>
          <w:b w:val="0"/>
        </w:rPr>
        <w:t>These examples support brand and format configuration. They do not support one universal investment amount, area threshold, ground-floor preference, experience cutoff or grade boundary. The live demonstration settings in this report are our assumptions, not requirements taken from any of these brands.</w:t>
      </w:r>
    </w:p>
    <w:p>
      <w:pPr>
        <w:pStyle w:val="Heading1"/>
      </w:pPr>
      <w:r>
        <w:t>Financial diligence is broader than proof of funds</w:t>
      </w:r>
    </w:p>
    <w:p>
      <w:r>
        <w:rPr>
          <w:b w:val="0"/>
        </w:rPr>
        <w:t>BDC specifically recommends verifying financial disclosures using banking and investment statements. The FTC guide distinguishes initial investment, operating costs, financing and possible performance representations; it also cautions that a loan approval does not itself establish a good investment. [2, 7]</w:t>
      </w:r>
    </w:p>
    <w:p>
      <w:r>
        <w:rPr>
          <w:b w:val="0"/>
        </w:rPr>
        <w:t>For an actual rollout, reconcile sources and uses: available personal funds, permitted financing, fees, fit-out, deposits, inventory, opening expenses and working capital. A conditional sanction, informal borrowing plan and released usable funds are different evidence states. Record conditions and expiry; do not mark funds verified from the application amount alone. This evidence workflow is a proposed implementation of diligence principles, not a claim that one document is universally required.</w:t>
      </w:r>
    </w:p>
    <w:p>
      <w:r>
        <w:br w:type="page"/>
      </w:r>
    </w:p>
    <w:p>
      <w:pPr>
        <w:pStyle w:val="Heading1"/>
      </w:pPr>
      <w:r>
        <w:t>Research behind structured selection</w:t>
      </w:r>
    </w:p>
    <w:p>
      <w:pPr>
        <w:pStyle w:val="Heading2"/>
      </w:pPr>
      <w:r>
        <w:t>Criteria should relate to outcomes</w:t>
      </w:r>
    </w:p>
    <w:p>
      <w:r>
        <w:rPr>
          <w:b w:val="0"/>
        </w:rPr>
        <w:t>Saraogi’s 2009 study explicitly examines the Indian context and relates franchisee selection criteria to desired behavioural outcomes, including cooperation and reduced opportunism. This supports choosing criteria for a reason and validating them against outcomes. The accessible abstract does not provide a usable universal scoring table, and no sample size, coefficient or weight is inferred here. [8]</w:t>
      </w:r>
    </w:p>
    <w:p>
      <w:pPr>
        <w:pStyle w:val="Heading2"/>
      </w:pPr>
      <w:r>
        <w:t>Finances alone are not enough</w:t>
      </w:r>
    </w:p>
    <w:p>
      <w:r>
        <w:rPr>
          <w:b w:val="0"/>
        </w:rPr>
        <w:t>Clarkin and Swavely’s 2006 publisher abstract describes secondary survey data from 1,043 franchisors and six selection criteria. It provides a basis for considering finances alongside business and industry experience, personal characteristics and interviews. Reported importance is different from prospective predictive accuracy. It does not establish the weights used in our prototype. [9]</w:t>
      </w:r>
    </w:p>
    <w:p>
      <w:pPr>
        <w:pStyle w:val="Heading2"/>
      </w:pPr>
      <w:r>
        <w:t>Expert weighting has a methodological precedent</w:t>
      </w:r>
    </w:p>
    <w:p>
      <w:r>
        <w:rPr>
          <w:b w:val="0"/>
        </w:rPr>
        <w:t>Hsu and Chen’s 2008 durable-goods study used modified Delphi criteria selection, expert input, analytic hierarchy process and entropy-based weighting. The accessible abstract concerns Taiwan and highlights finance, business ability and location considerations such as purchasing power, passing traffic and parking. It supports a transparent multi-criteria process; it does not justify transferring those sector-specific weights to Indian retail. [10]</w:t>
      </w:r>
    </w:p>
    <w:p>
      <w:pPr>
        <w:pStyle w:val="Heading1"/>
      </w:pPr>
      <w:r>
        <w:t>What follows for the methodology</w:t>
      </w:r>
    </w:p>
    <w:p>
      <w:r>
        <w:rPr>
          <w:b w:val="0"/>
        </w:rPr>
        <w:t>Use a transparent expert scorecard until there is outcome data. Document why each factor is included, obtain structured views from expansion, finance and operations, and resolve overlapping criteria. Expert pairwise weighting or a simpler agreed allocation can establish pilot weights. Neither method makes unvalidated weights an industry standard.</w:t>
      </w:r>
    </w:p>
    <w:p>
      <w:r>
        <w:rPr>
          <w:b w:val="0"/>
        </w:rPr>
        <w:t>This prototype lacks evidence on coachability, operating commitment, references, local demand, visibility, parking, rent economics and detailed working capital. These factors belong in the subsequent assessment, not in invented values generated from notes. Retail years and business history are narrow proxies; they cannot establish management quality or brand fit.</w:t>
      </w:r>
    </w:p>
    <w:p>
      <w:pPr>
        <w:pStyle w:val="Heading1"/>
      </w:pPr>
      <w:r>
        <w:t>Why the original percentile policy was revised</w:t>
      </w:r>
    </w:p>
    <w:p>
      <w:r>
        <w:rPr>
          <w:b w:val="0"/>
        </w:rPr>
        <w:t>Applicant-relative percentiles measure position in an upload, rather than adequacy for a particular store. A candidate can rank highly in a weak pool while still being underfunded. Excess area can add cost. Property ownership is not inherently superior to an adequate lease. An aggressive launch target can be infeasible. The original policy remains available for comparison, but these issues motivate the revised screen.</w:t>
      </w:r>
    </w:p>
    <w:p>
      <w:r>
        <w:br w:type="page"/>
      </w:r>
    </w:p>
    <w:p>
      <w:pPr>
        <w:pStyle w:val="Heading1"/>
      </w:pPr>
      <w:r>
        <w:t>Proposed screening methodology</w:t>
      </w:r>
    </w:p>
    <w:p>
      <w:r>
        <w:rPr>
          <w:b w:val="0"/>
        </w:rPr>
        <w:t>Version 2 uses 35% financial adequacy, 30% premises readiness, 25% operator experience and 10% launch feasibility. These weights, anchors and grades are proposed pilot decisions. They require brand approval and outcome validation; the research informs the dimensions, not these exact numbers.</w:t>
      </w:r>
    </w:p>
    <w:tbl>
      <w:tblPr>
        <w:tblStyle w:val="TableGrid"/>
        <w:tblW w:type="auto" w:w="0"/>
        <w:tblLayout w:type="fixed"/>
        <w:tblLook w:firstColumn="1" w:firstRow="1" w:lastColumn="0" w:lastRow="0" w:noHBand="0" w:noVBand="1" w:val="04A0"/>
      </w:tblPr>
      <w:tblGrid>
        <w:gridCol w:w="2304"/>
        <w:gridCol w:w="936"/>
        <w:gridCol w:w="6480"/>
      </w:tblGrid>
      <w:tr>
        <w:trPr>
          <w:cantSplit/>
          <w:tblHeader/>
        </w:trPr>
        <w:tc>
          <w:tcPr>
            <w:tcW w:type="dxa" w:w="2304"/>
            <w:shd w:fill="EDF1F2"/>
          </w:tcPr>
          <w:p>
            <w:pPr>
              <w:spacing w:after="80" w:before="80"/>
            </w:pPr>
            <w:r>
              <w:rPr>
                <w:b/>
                <w:color w:val="000000"/>
                <w:sz w:val="18"/>
              </w:rPr>
              <w:t>Component</w:t>
            </w:r>
          </w:p>
        </w:tc>
        <w:tc>
          <w:tcPr>
            <w:tcW w:type="dxa" w:w="936"/>
            <w:shd w:fill="EDF1F2"/>
          </w:tcPr>
          <w:p>
            <w:pPr>
              <w:spacing w:after="80" w:before="80"/>
            </w:pPr>
            <w:r>
              <w:rPr>
                <w:b/>
                <w:color w:val="000000"/>
                <w:sz w:val="18"/>
              </w:rPr>
              <w:t>Max</w:t>
            </w:r>
          </w:p>
        </w:tc>
        <w:tc>
          <w:tcPr>
            <w:tcW w:type="dxa" w:w="6480"/>
            <w:shd w:fill="EDF1F2"/>
          </w:tcPr>
          <w:p>
            <w:pPr>
              <w:spacing w:after="80" w:before="80"/>
            </w:pPr>
            <w:r>
              <w:rPr>
                <w:b/>
                <w:color w:val="000000"/>
                <w:sz w:val="18"/>
              </w:rPr>
              <w:t>Pilot scoring rule</w:t>
            </w:r>
          </w:p>
        </w:tc>
      </w:tr>
      <w:tr>
        <w:trPr>
          <w:cantSplit/>
        </w:trPr>
        <w:tc>
          <w:tcPr>
            <w:tcW w:type="dxa" w:w="2304"/>
          </w:tcPr>
          <w:p>
            <w:pPr>
              <w:spacing w:after="80" w:before="80"/>
            </w:pPr>
            <w:r>
              <w:rPr>
                <w:b w:val="0"/>
                <w:color w:val="000000"/>
                <w:sz w:val="18"/>
              </w:rPr>
              <w:t>Declared funding adequacy</w:t>
            </w:r>
          </w:p>
        </w:tc>
        <w:tc>
          <w:tcPr>
            <w:tcW w:type="dxa" w:w="936"/>
          </w:tcPr>
          <w:p>
            <w:pPr>
              <w:spacing w:after="80" w:before="80"/>
            </w:pPr>
            <w:r>
              <w:rPr>
                <w:b w:val="0"/>
                <w:color w:val="000000"/>
                <w:sz w:val="18"/>
              </w:rPr>
              <w:t>35</w:t>
            </w:r>
          </w:p>
        </w:tc>
        <w:tc>
          <w:tcPr>
            <w:tcW w:type="dxa" w:w="6480"/>
          </w:tcPr>
          <w:p>
            <w:pPr>
              <w:spacing w:after="80" w:before="80"/>
            </w:pPr>
            <w:r>
              <w:rPr>
                <w:b w:val="0"/>
                <w:color w:val="000000"/>
                <w:sz w:val="18"/>
              </w:rPr>
              <w:t>35 × min(investment capacity ÷ required investment, 1)</w:t>
            </w:r>
          </w:p>
        </w:tc>
      </w:tr>
      <w:tr>
        <w:trPr>
          <w:cantSplit/>
        </w:trPr>
        <w:tc>
          <w:tcPr>
            <w:tcW w:type="dxa" w:w="2304"/>
          </w:tcPr>
          <w:p>
            <w:pPr>
              <w:spacing w:after="80" w:before="80"/>
            </w:pPr>
            <w:r>
              <w:rPr>
                <w:b w:val="0"/>
                <w:color w:val="000000"/>
                <w:sz w:val="18"/>
              </w:rPr>
              <w:t>Identified premises</w:t>
            </w:r>
          </w:p>
        </w:tc>
        <w:tc>
          <w:tcPr>
            <w:tcW w:type="dxa" w:w="936"/>
          </w:tcPr>
          <w:p>
            <w:pPr>
              <w:spacing w:after="80" w:before="80"/>
            </w:pPr>
            <w:r>
              <w:rPr>
                <w:b w:val="0"/>
                <w:color w:val="000000"/>
                <w:sz w:val="18"/>
              </w:rPr>
              <w:t>15</w:t>
            </w:r>
          </w:p>
        </w:tc>
        <w:tc>
          <w:tcPr>
            <w:tcW w:type="dxa" w:w="6480"/>
          </w:tcPr>
          <w:p>
            <w:pPr>
              <w:spacing w:after="80" w:before="80"/>
            </w:pPr>
            <w:r>
              <w:rPr>
                <w:b w:val="0"/>
                <w:color w:val="000000"/>
                <w:sz w:val="18"/>
              </w:rPr>
              <w:t>15 for an identified owned or rented site; 0 if not identified</w:t>
            </w:r>
          </w:p>
        </w:tc>
      </w:tr>
      <w:tr>
        <w:trPr>
          <w:cantSplit/>
        </w:trPr>
        <w:tc>
          <w:tcPr>
            <w:tcW w:type="dxa" w:w="2304"/>
          </w:tcPr>
          <w:p>
            <w:pPr>
              <w:spacing w:after="80" w:before="80"/>
            </w:pPr>
            <w:r>
              <w:rPr>
                <w:b w:val="0"/>
                <w:color w:val="000000"/>
                <w:sz w:val="18"/>
              </w:rPr>
              <w:t>Area adequacy</w:t>
            </w:r>
          </w:p>
        </w:tc>
        <w:tc>
          <w:tcPr>
            <w:tcW w:type="dxa" w:w="936"/>
          </w:tcPr>
          <w:p>
            <w:pPr>
              <w:spacing w:after="80" w:before="80"/>
            </w:pPr>
            <w:r>
              <w:rPr>
                <w:b w:val="0"/>
                <w:color w:val="000000"/>
                <w:sz w:val="18"/>
              </w:rPr>
              <w:t>15</w:t>
            </w:r>
          </w:p>
        </w:tc>
        <w:tc>
          <w:tcPr>
            <w:tcW w:type="dxa" w:w="6480"/>
          </w:tcPr>
          <w:p>
            <w:pPr>
              <w:spacing w:after="80" w:before="80"/>
            </w:pPr>
            <w:r>
              <w:rPr>
                <w:b w:val="0"/>
                <w:color w:val="000000"/>
                <w:sz w:val="18"/>
              </w:rPr>
              <w:t>15 × min(usable area ÷ configured minimum area, 1)</w:t>
            </w:r>
          </w:p>
        </w:tc>
      </w:tr>
      <w:tr>
        <w:trPr>
          <w:cantSplit/>
        </w:trPr>
        <w:tc>
          <w:tcPr>
            <w:tcW w:type="dxa" w:w="2304"/>
          </w:tcPr>
          <w:p>
            <w:pPr>
              <w:spacing w:after="80" w:before="80"/>
            </w:pPr>
            <w:r>
              <w:rPr>
                <w:b w:val="0"/>
                <w:color w:val="000000"/>
                <w:sz w:val="18"/>
              </w:rPr>
              <w:t>Retail experience</w:t>
            </w:r>
          </w:p>
        </w:tc>
        <w:tc>
          <w:tcPr>
            <w:tcW w:type="dxa" w:w="936"/>
          </w:tcPr>
          <w:p>
            <w:pPr>
              <w:spacing w:after="80" w:before="80"/>
            </w:pPr>
            <w:r>
              <w:rPr>
                <w:b w:val="0"/>
                <w:color w:val="000000"/>
                <w:sz w:val="18"/>
              </w:rPr>
              <w:t>20</w:t>
            </w:r>
          </w:p>
        </w:tc>
        <w:tc>
          <w:tcPr>
            <w:tcW w:type="dxa" w:w="6480"/>
          </w:tcPr>
          <w:p>
            <w:pPr>
              <w:spacing w:after="80" w:before="80"/>
            </w:pPr>
            <w:r>
              <w:rPr>
                <w:b w:val="0"/>
                <w:color w:val="000000"/>
                <w:sz w:val="18"/>
              </w:rPr>
              <w:t>0 years: 0; &gt;0 to &lt;1: 5; 1 to &lt;3: 10; 3 to &lt;5: 15; 5 or more: 20</w:t>
            </w:r>
          </w:p>
        </w:tc>
      </w:tr>
      <w:tr>
        <w:trPr>
          <w:cantSplit/>
        </w:trPr>
        <w:tc>
          <w:tcPr>
            <w:tcW w:type="dxa" w:w="2304"/>
          </w:tcPr>
          <w:p>
            <w:pPr>
              <w:spacing w:after="80" w:before="80"/>
            </w:pPr>
            <w:r>
              <w:rPr>
                <w:b w:val="0"/>
                <w:color w:val="000000"/>
                <w:sz w:val="18"/>
              </w:rPr>
              <w:t>Previous business operation</w:t>
            </w:r>
          </w:p>
        </w:tc>
        <w:tc>
          <w:tcPr>
            <w:tcW w:type="dxa" w:w="936"/>
          </w:tcPr>
          <w:p>
            <w:pPr>
              <w:spacing w:after="80" w:before="80"/>
            </w:pPr>
            <w:r>
              <w:rPr>
                <w:b w:val="0"/>
                <w:color w:val="000000"/>
                <w:sz w:val="18"/>
              </w:rPr>
              <w:t>5</w:t>
            </w:r>
          </w:p>
        </w:tc>
        <w:tc>
          <w:tcPr>
            <w:tcW w:type="dxa" w:w="6480"/>
          </w:tcPr>
          <w:p>
            <w:pPr>
              <w:spacing w:after="80" w:before="80"/>
            </w:pPr>
            <w:r>
              <w:rPr>
                <w:b w:val="0"/>
                <w:color w:val="000000"/>
                <w:sz w:val="18"/>
              </w:rPr>
              <w:t>5 for explicit prior ownership or operation; 0 for explicit none; otherwise unknown</w:t>
            </w:r>
          </w:p>
        </w:tc>
      </w:tr>
      <w:tr>
        <w:trPr>
          <w:cantSplit/>
        </w:trPr>
        <w:tc>
          <w:tcPr>
            <w:tcW w:type="dxa" w:w="2304"/>
          </w:tcPr>
          <w:p>
            <w:pPr>
              <w:spacing w:after="80" w:before="80"/>
            </w:pPr>
            <w:r>
              <w:rPr>
                <w:b w:val="0"/>
                <w:color w:val="000000"/>
                <w:sz w:val="18"/>
              </w:rPr>
              <w:t>Feasible target launch</w:t>
            </w:r>
          </w:p>
        </w:tc>
        <w:tc>
          <w:tcPr>
            <w:tcW w:type="dxa" w:w="936"/>
          </w:tcPr>
          <w:p>
            <w:pPr>
              <w:spacing w:after="80" w:before="80"/>
            </w:pPr>
            <w:r>
              <w:rPr>
                <w:b w:val="0"/>
                <w:color w:val="000000"/>
                <w:sz w:val="18"/>
              </w:rPr>
              <w:t>10</w:t>
            </w:r>
          </w:p>
        </w:tc>
        <w:tc>
          <w:tcPr>
            <w:tcW w:type="dxa" w:w="6480"/>
          </w:tcPr>
          <w:p>
            <w:pPr>
              <w:spacing w:after="80" w:before="80"/>
            </w:pPr>
            <w:r>
              <w:rPr>
                <w:b w:val="0"/>
                <w:color w:val="000000"/>
                <w:sz w:val="18"/>
              </w:rPr>
              <w:t>10 inside configured window; 5 later; 0 earlier, with timeline review</w:t>
            </w:r>
          </w:p>
        </w:tc>
      </w:tr>
    </w:tbl>
    <w:p>
      <w:r>
        <w:rPr>
          <w:b w:val="0"/>
        </w:rPr>
        <w:t>Demonstration profile: required investment ₹30 lakh, minimum usable area 400 sq ft and feasible target launch 3–6 months. The investment requirement is assumed to cover setup and an initial reserve. The template cannot verify this assumption. Replace the profile with a signed-off, format-specific budget and timeline before real selection.</w:t>
      </w:r>
    </w:p>
    <w:p>
      <w:pPr>
        <w:pStyle w:val="Heading2"/>
      </w:pPr>
      <w:r>
        <w:t>Eligibility gates and score ranges</w:t>
      </w:r>
    </w:p>
    <w:p>
      <w:r>
        <w:rPr>
          <w:b w:val="0"/>
        </w:rPr>
        <w:t>Retain incomplete rows. Resolve conflicting facts and proposed cleaning before allocation. Known funding or area shortfalls trigger a requirements hold. A launch earlier than the minimum triggers timeline review. Unknown site or floor, uncovered or overlapping territory, existing-store pin and exhausted slots each have their own status. One recommended partner per pin code and territory capacity remain mandatory case rules.</w:t>
      </w:r>
    </w:p>
    <w:p>
      <w:r>
        <w:rPr>
          <w:b w:val="0"/>
        </w:rPr>
        <w:t>Unknown scored inputs are not treated as confirmed zero and are not removed from the denominator. Show a lower score from recorded inputs and an upper score assuming the unresolved components reach their maximum. Grade U flags an unresolved scored input. A complete numerical score can still coexist with missing identity or contradictory notes; the clarification gate overrides the grade.</w:t>
      </w:r>
    </w:p>
    <w:tbl>
      <w:tblPr>
        <w:tblStyle w:val="TableGrid"/>
        <w:tblW w:type="auto" w:w="0"/>
        <w:tblLayout w:type="fixed"/>
        <w:tblLook w:firstColumn="1" w:firstRow="1" w:lastColumn="0" w:lastRow="0" w:noHBand="0" w:noVBand="1" w:val="04A0"/>
      </w:tblPr>
      <w:tblGrid>
        <w:gridCol w:w="1440"/>
        <w:gridCol w:w="1800"/>
        <w:gridCol w:w="6480"/>
      </w:tblGrid>
      <w:tr>
        <w:trPr>
          <w:cantSplit/>
          <w:tblHeader/>
        </w:trPr>
        <w:tc>
          <w:tcPr>
            <w:tcW w:type="dxa" w:w="1440"/>
            <w:shd w:fill="EDF1F2"/>
          </w:tcPr>
          <w:p>
            <w:pPr>
              <w:spacing w:after="80" w:before="80"/>
            </w:pPr>
            <w:r>
              <w:rPr>
                <w:b/>
                <w:color w:val="000000"/>
                <w:sz w:val="18"/>
              </w:rPr>
              <w:t>Proposed grade</w:t>
            </w:r>
          </w:p>
        </w:tc>
        <w:tc>
          <w:tcPr>
            <w:tcW w:type="dxa" w:w="1800"/>
            <w:shd w:fill="EDF1F2"/>
          </w:tcPr>
          <w:p>
            <w:pPr>
              <w:spacing w:after="80" w:before="80"/>
            </w:pPr>
            <w:r>
              <w:rPr>
                <w:b/>
                <w:color w:val="000000"/>
                <w:sz w:val="18"/>
              </w:rPr>
              <w:t>Score</w:t>
            </w:r>
          </w:p>
        </w:tc>
        <w:tc>
          <w:tcPr>
            <w:tcW w:type="dxa" w:w="6480"/>
            <w:shd w:fill="EDF1F2"/>
          </w:tcPr>
          <w:p>
            <w:pPr>
              <w:spacing w:after="80" w:before="80"/>
            </w:pPr>
            <w:r>
              <w:rPr>
                <w:b/>
                <w:color w:val="000000"/>
                <w:sz w:val="18"/>
              </w:rPr>
              <w:t>Use</w:t>
            </w:r>
          </w:p>
        </w:tc>
      </w:tr>
      <w:tr>
        <w:trPr>
          <w:cantSplit/>
        </w:trPr>
        <w:tc>
          <w:tcPr>
            <w:tcW w:type="dxa" w:w="1440"/>
          </w:tcPr>
          <w:p>
            <w:pPr>
              <w:spacing w:after="80" w:before="80"/>
            </w:pPr>
            <w:r>
              <w:rPr>
                <w:b w:val="0"/>
                <w:color w:val="000000"/>
                <w:sz w:val="18"/>
              </w:rPr>
              <w:t>A</w:t>
            </w:r>
          </w:p>
        </w:tc>
        <w:tc>
          <w:tcPr>
            <w:tcW w:type="dxa" w:w="1800"/>
          </w:tcPr>
          <w:p>
            <w:pPr>
              <w:spacing w:after="80" w:before="80"/>
            </w:pPr>
            <w:r>
              <w:rPr>
                <w:b w:val="0"/>
                <w:color w:val="000000"/>
                <w:sz w:val="18"/>
              </w:rPr>
              <w:t>80–100</w:t>
            </w:r>
          </w:p>
        </w:tc>
        <w:tc>
          <w:tcPr>
            <w:tcW w:type="dxa" w:w="6480"/>
          </w:tcPr>
          <w:p>
            <w:pPr>
              <w:spacing w:after="80" w:before="80"/>
            </w:pPr>
            <w:r>
              <w:rPr>
                <w:b w:val="0"/>
                <w:color w:val="000000"/>
                <w:sz w:val="18"/>
              </w:rPr>
              <w:t>Prioritise diligence if all gates pass</w:t>
            </w:r>
          </w:p>
        </w:tc>
      </w:tr>
      <w:tr>
        <w:trPr>
          <w:cantSplit/>
        </w:trPr>
        <w:tc>
          <w:tcPr>
            <w:tcW w:type="dxa" w:w="1440"/>
          </w:tcPr>
          <w:p>
            <w:pPr>
              <w:spacing w:after="80" w:before="80"/>
            </w:pPr>
            <w:r>
              <w:rPr>
                <w:b w:val="0"/>
                <w:color w:val="000000"/>
                <w:sz w:val="18"/>
              </w:rPr>
              <w:t>B</w:t>
            </w:r>
          </w:p>
        </w:tc>
        <w:tc>
          <w:tcPr>
            <w:tcW w:type="dxa" w:w="1800"/>
          </w:tcPr>
          <w:p>
            <w:pPr>
              <w:spacing w:after="80" w:before="80"/>
            </w:pPr>
            <w:r>
              <w:rPr>
                <w:b w:val="0"/>
                <w:color w:val="000000"/>
                <w:sz w:val="18"/>
              </w:rPr>
              <w:t>65 to &lt;80</w:t>
            </w:r>
          </w:p>
        </w:tc>
        <w:tc>
          <w:tcPr>
            <w:tcW w:type="dxa" w:w="6480"/>
          </w:tcPr>
          <w:p>
            <w:pPr>
              <w:spacing w:after="80" w:before="80"/>
            </w:pPr>
            <w:r>
              <w:rPr>
                <w:b w:val="0"/>
                <w:color w:val="000000"/>
                <w:sz w:val="18"/>
              </w:rPr>
              <w:t>Consider with targeted assessment</w:t>
            </w:r>
          </w:p>
        </w:tc>
      </w:tr>
      <w:tr>
        <w:trPr>
          <w:cantSplit/>
        </w:trPr>
        <w:tc>
          <w:tcPr>
            <w:tcW w:type="dxa" w:w="1440"/>
          </w:tcPr>
          <w:p>
            <w:pPr>
              <w:spacing w:after="80" w:before="80"/>
            </w:pPr>
            <w:r>
              <w:rPr>
                <w:b w:val="0"/>
                <w:color w:val="000000"/>
                <w:sz w:val="18"/>
              </w:rPr>
              <w:t>C</w:t>
            </w:r>
          </w:p>
        </w:tc>
        <w:tc>
          <w:tcPr>
            <w:tcW w:type="dxa" w:w="1800"/>
          </w:tcPr>
          <w:p>
            <w:pPr>
              <w:spacing w:after="80" w:before="80"/>
            </w:pPr>
            <w:r>
              <w:rPr>
                <w:b w:val="0"/>
                <w:color w:val="000000"/>
                <w:sz w:val="18"/>
              </w:rPr>
              <w:t>50 to &lt;65</w:t>
            </w:r>
          </w:p>
        </w:tc>
        <w:tc>
          <w:tcPr>
            <w:tcW w:type="dxa" w:w="6480"/>
          </w:tcPr>
          <w:p>
            <w:pPr>
              <w:spacing w:after="80" w:before="80"/>
            </w:pPr>
            <w:r>
              <w:rPr>
                <w:b w:val="0"/>
                <w:color w:val="000000"/>
                <w:sz w:val="18"/>
              </w:rPr>
              <w:t>Development or later pipeline</w:t>
            </w:r>
          </w:p>
        </w:tc>
      </w:tr>
      <w:tr>
        <w:trPr>
          <w:cantSplit/>
        </w:trPr>
        <w:tc>
          <w:tcPr>
            <w:tcW w:type="dxa" w:w="1440"/>
          </w:tcPr>
          <w:p>
            <w:pPr>
              <w:spacing w:after="80" w:before="80"/>
            </w:pPr>
            <w:r>
              <w:rPr>
                <w:b w:val="0"/>
                <w:color w:val="000000"/>
                <w:sz w:val="18"/>
              </w:rPr>
              <w:t>D</w:t>
            </w:r>
          </w:p>
        </w:tc>
        <w:tc>
          <w:tcPr>
            <w:tcW w:type="dxa" w:w="1800"/>
          </w:tcPr>
          <w:p>
            <w:pPr>
              <w:spacing w:after="80" w:before="80"/>
            </w:pPr>
            <w:r>
              <w:rPr>
                <w:b w:val="0"/>
                <w:color w:val="000000"/>
                <w:sz w:val="18"/>
              </w:rPr>
              <w:t>Below 50</w:t>
            </w:r>
          </w:p>
        </w:tc>
        <w:tc>
          <w:tcPr>
            <w:tcW w:type="dxa" w:w="6480"/>
          </w:tcPr>
          <w:p>
            <w:pPr>
              <w:spacing w:after="80" w:before="80"/>
            </w:pPr>
            <w:r>
              <w:rPr>
                <w:b w:val="0"/>
                <w:color w:val="000000"/>
                <w:sz w:val="18"/>
              </w:rPr>
              <w:t>Low screening fit under this profile</w:t>
            </w:r>
          </w:p>
        </w:tc>
      </w:tr>
      <w:tr>
        <w:trPr>
          <w:cantSplit/>
        </w:trPr>
        <w:tc>
          <w:tcPr>
            <w:tcW w:type="dxa" w:w="1440"/>
          </w:tcPr>
          <w:p>
            <w:pPr>
              <w:spacing w:after="80" w:before="80"/>
            </w:pPr>
            <w:r>
              <w:rPr>
                <w:b w:val="0"/>
                <w:color w:val="000000"/>
                <w:sz w:val="18"/>
              </w:rPr>
              <w:t>U</w:t>
            </w:r>
          </w:p>
        </w:tc>
        <w:tc>
          <w:tcPr>
            <w:tcW w:type="dxa" w:w="1800"/>
          </w:tcPr>
          <w:p>
            <w:pPr>
              <w:spacing w:after="80" w:before="80"/>
            </w:pPr>
            <w:r>
              <w:rPr>
                <w:b w:val="0"/>
                <w:color w:val="000000"/>
                <w:sz w:val="18"/>
              </w:rPr>
              <w:t>Unresolved scored input</w:t>
            </w:r>
          </w:p>
        </w:tc>
        <w:tc>
          <w:tcPr>
            <w:tcW w:type="dxa" w:w="6480"/>
          </w:tcPr>
          <w:p>
            <w:pPr>
              <w:spacing w:after="80" w:before="80"/>
            </w:pPr>
            <w:r>
              <w:rPr>
                <w:b w:val="0"/>
                <w:color w:val="000000"/>
                <w:sz w:val="18"/>
              </w:rPr>
              <w:t>Request clarification; show score range</w:t>
            </w:r>
          </w:p>
        </w:tc>
      </w:tr>
    </w:tbl>
    <w:p>
      <w:r>
        <w:br w:type="page"/>
      </w:r>
    </w:p>
    <w:p>
      <w:pPr>
        <w:pStyle w:val="Heading1"/>
      </w:pPr>
      <w:r>
        <w:t>Worked example and eligibility override</w:t>
      </w:r>
    </w:p>
    <w:p>
      <w:r>
        <w:rPr>
          <w:b w:val="0"/>
        </w:rPr>
        <w:t>Fictional APP-105 declares ₹30 lakh, four years of retail experience, prior operation of a footwear store, a rented 450 sq ft ground-floor site in a valid unoccupied pin, and a launch in five months. Assume a territory slot is available. The profile is ₹30 lakh, 400 sq ft and 3–6 months.</w:t>
      </w:r>
    </w:p>
    <w:tbl>
      <w:tblPr>
        <w:tblStyle w:val="TableGrid"/>
        <w:tblW w:type="auto" w:w="0"/>
        <w:tblLayout w:type="fixed"/>
        <w:tblLook w:firstColumn="1" w:firstRow="1" w:lastColumn="0" w:lastRow="0" w:noHBand="0" w:noVBand="1" w:val="04A0"/>
      </w:tblPr>
      <w:tblGrid>
        <w:gridCol w:w="2016"/>
        <w:gridCol w:w="6120"/>
        <w:gridCol w:w="1584"/>
      </w:tblGrid>
      <w:tr>
        <w:trPr>
          <w:cantSplit/>
          <w:tblHeader/>
        </w:trPr>
        <w:tc>
          <w:tcPr>
            <w:tcW w:type="dxa" w:w="2016"/>
            <w:shd w:fill="EDF1F2"/>
          </w:tcPr>
          <w:p>
            <w:pPr>
              <w:spacing w:after="80" w:before="80"/>
            </w:pPr>
            <w:r>
              <w:rPr>
                <w:b/>
                <w:color w:val="000000"/>
                <w:sz w:val="18"/>
              </w:rPr>
              <w:t>Component</w:t>
            </w:r>
          </w:p>
        </w:tc>
        <w:tc>
          <w:tcPr>
            <w:tcW w:type="dxa" w:w="6120"/>
            <w:shd w:fill="EDF1F2"/>
          </w:tcPr>
          <w:p>
            <w:pPr>
              <w:spacing w:after="80" w:before="80"/>
            </w:pPr>
            <w:r>
              <w:rPr>
                <w:b/>
                <w:color w:val="000000"/>
                <w:sz w:val="18"/>
              </w:rPr>
              <w:t>Calculation</w:t>
            </w:r>
          </w:p>
        </w:tc>
        <w:tc>
          <w:tcPr>
            <w:tcW w:type="dxa" w:w="1584"/>
            <w:shd w:fill="EDF1F2"/>
          </w:tcPr>
          <w:p>
            <w:pPr>
              <w:spacing w:after="80" w:before="80"/>
            </w:pPr>
            <w:r>
              <w:rPr>
                <w:b/>
                <w:color w:val="000000"/>
                <w:sz w:val="18"/>
              </w:rPr>
              <w:t>Points</w:t>
            </w:r>
          </w:p>
        </w:tc>
      </w:tr>
      <w:tr>
        <w:trPr>
          <w:cantSplit/>
        </w:trPr>
        <w:tc>
          <w:tcPr>
            <w:tcW w:type="dxa" w:w="2016"/>
          </w:tcPr>
          <w:p>
            <w:pPr>
              <w:spacing w:after="80" w:before="80"/>
            </w:pPr>
            <w:r>
              <w:rPr>
                <w:b w:val="0"/>
                <w:color w:val="000000"/>
                <w:sz w:val="18"/>
              </w:rPr>
              <w:t>Funding</w:t>
            </w:r>
          </w:p>
        </w:tc>
        <w:tc>
          <w:tcPr>
            <w:tcW w:type="dxa" w:w="6120"/>
          </w:tcPr>
          <w:p>
            <w:pPr>
              <w:spacing w:after="80" w:before="80"/>
            </w:pPr>
            <w:r>
              <w:rPr>
                <w:b w:val="0"/>
                <w:color w:val="000000"/>
                <w:sz w:val="18"/>
              </w:rPr>
              <w:t>35 × min(30 ÷ 30, 1)</w:t>
            </w:r>
          </w:p>
        </w:tc>
        <w:tc>
          <w:tcPr>
            <w:tcW w:type="dxa" w:w="1584"/>
          </w:tcPr>
          <w:p>
            <w:pPr>
              <w:spacing w:after="80" w:before="80"/>
            </w:pPr>
            <w:r>
              <w:rPr>
                <w:b w:val="0"/>
                <w:color w:val="000000"/>
                <w:sz w:val="18"/>
              </w:rPr>
              <w:t>35</w:t>
            </w:r>
          </w:p>
        </w:tc>
      </w:tr>
      <w:tr>
        <w:trPr>
          <w:cantSplit/>
        </w:trPr>
        <w:tc>
          <w:tcPr>
            <w:tcW w:type="dxa" w:w="2016"/>
          </w:tcPr>
          <w:p>
            <w:pPr>
              <w:spacing w:after="80" w:before="80"/>
            </w:pPr>
            <w:r>
              <w:rPr>
                <w:b w:val="0"/>
                <w:color w:val="000000"/>
                <w:sz w:val="18"/>
              </w:rPr>
              <w:t>Premises identified</w:t>
            </w:r>
          </w:p>
        </w:tc>
        <w:tc>
          <w:tcPr>
            <w:tcW w:type="dxa" w:w="6120"/>
          </w:tcPr>
          <w:p>
            <w:pPr>
              <w:spacing w:after="80" w:before="80"/>
            </w:pPr>
            <w:r>
              <w:rPr>
                <w:b w:val="0"/>
                <w:color w:val="000000"/>
                <w:sz w:val="18"/>
              </w:rPr>
              <w:t>Rented site identified; no ownership penalty</w:t>
            </w:r>
          </w:p>
        </w:tc>
        <w:tc>
          <w:tcPr>
            <w:tcW w:type="dxa" w:w="1584"/>
          </w:tcPr>
          <w:p>
            <w:pPr>
              <w:spacing w:after="80" w:before="80"/>
            </w:pPr>
            <w:r>
              <w:rPr>
                <w:b w:val="0"/>
                <w:color w:val="000000"/>
                <w:sz w:val="18"/>
              </w:rPr>
              <w:t>15</w:t>
            </w:r>
          </w:p>
        </w:tc>
      </w:tr>
      <w:tr>
        <w:trPr>
          <w:cantSplit/>
        </w:trPr>
        <w:tc>
          <w:tcPr>
            <w:tcW w:type="dxa" w:w="2016"/>
          </w:tcPr>
          <w:p>
            <w:pPr>
              <w:spacing w:after="80" w:before="80"/>
            </w:pPr>
            <w:r>
              <w:rPr>
                <w:b w:val="0"/>
                <w:color w:val="000000"/>
                <w:sz w:val="18"/>
              </w:rPr>
              <w:t>Area</w:t>
            </w:r>
          </w:p>
        </w:tc>
        <w:tc>
          <w:tcPr>
            <w:tcW w:type="dxa" w:w="6120"/>
          </w:tcPr>
          <w:p>
            <w:pPr>
              <w:spacing w:after="80" w:before="80"/>
            </w:pPr>
            <w:r>
              <w:rPr>
                <w:b w:val="0"/>
                <w:color w:val="000000"/>
                <w:sz w:val="18"/>
              </w:rPr>
              <w:t>15 × min(450 ÷ 400, 1)</w:t>
            </w:r>
          </w:p>
        </w:tc>
        <w:tc>
          <w:tcPr>
            <w:tcW w:type="dxa" w:w="1584"/>
          </w:tcPr>
          <w:p>
            <w:pPr>
              <w:spacing w:after="80" w:before="80"/>
            </w:pPr>
            <w:r>
              <w:rPr>
                <w:b w:val="0"/>
                <w:color w:val="000000"/>
                <w:sz w:val="18"/>
              </w:rPr>
              <w:t>15</w:t>
            </w:r>
          </w:p>
        </w:tc>
      </w:tr>
      <w:tr>
        <w:trPr>
          <w:cantSplit/>
        </w:trPr>
        <w:tc>
          <w:tcPr>
            <w:tcW w:type="dxa" w:w="2016"/>
          </w:tcPr>
          <w:p>
            <w:pPr>
              <w:spacing w:after="80" w:before="80"/>
            </w:pPr>
            <w:r>
              <w:rPr>
                <w:b w:val="0"/>
                <w:color w:val="000000"/>
                <w:sz w:val="18"/>
              </w:rPr>
              <w:t>Retail experience</w:t>
            </w:r>
          </w:p>
        </w:tc>
        <w:tc>
          <w:tcPr>
            <w:tcW w:type="dxa" w:w="6120"/>
          </w:tcPr>
          <w:p>
            <w:pPr>
              <w:spacing w:after="80" w:before="80"/>
            </w:pPr>
            <w:r>
              <w:rPr>
                <w:b w:val="0"/>
                <w:color w:val="000000"/>
                <w:sz w:val="18"/>
              </w:rPr>
              <w:t>Four years falls in the 3 to &lt;5 band</w:t>
            </w:r>
          </w:p>
        </w:tc>
        <w:tc>
          <w:tcPr>
            <w:tcW w:type="dxa" w:w="1584"/>
          </w:tcPr>
          <w:p>
            <w:pPr>
              <w:spacing w:after="80" w:before="80"/>
            </w:pPr>
            <w:r>
              <w:rPr>
                <w:b w:val="0"/>
                <w:color w:val="000000"/>
                <w:sz w:val="18"/>
              </w:rPr>
              <w:t>15</w:t>
            </w:r>
          </w:p>
        </w:tc>
      </w:tr>
      <w:tr>
        <w:trPr>
          <w:cantSplit/>
        </w:trPr>
        <w:tc>
          <w:tcPr>
            <w:tcW w:type="dxa" w:w="2016"/>
          </w:tcPr>
          <w:p>
            <w:pPr>
              <w:spacing w:after="80" w:before="80"/>
            </w:pPr>
            <w:r>
              <w:rPr>
                <w:b w:val="0"/>
                <w:color w:val="000000"/>
                <w:sz w:val="18"/>
              </w:rPr>
              <w:t>Previous business</w:t>
            </w:r>
          </w:p>
        </w:tc>
        <w:tc>
          <w:tcPr>
            <w:tcW w:type="dxa" w:w="6120"/>
          </w:tcPr>
          <w:p>
            <w:pPr>
              <w:spacing w:after="80" w:before="80"/>
            </w:pPr>
            <w:r>
              <w:rPr>
                <w:b w:val="0"/>
                <w:color w:val="000000"/>
                <w:sz w:val="18"/>
              </w:rPr>
              <w:t>Explicit footwear-store operation</w:t>
            </w:r>
          </w:p>
        </w:tc>
        <w:tc>
          <w:tcPr>
            <w:tcW w:type="dxa" w:w="1584"/>
          </w:tcPr>
          <w:p>
            <w:pPr>
              <w:spacing w:after="80" w:before="80"/>
            </w:pPr>
            <w:r>
              <w:rPr>
                <w:b w:val="0"/>
                <w:color w:val="000000"/>
                <w:sz w:val="18"/>
              </w:rPr>
              <w:t>5</w:t>
            </w:r>
          </w:p>
        </w:tc>
      </w:tr>
      <w:tr>
        <w:trPr>
          <w:cantSplit/>
        </w:trPr>
        <w:tc>
          <w:tcPr>
            <w:tcW w:type="dxa" w:w="2016"/>
          </w:tcPr>
          <w:p>
            <w:pPr>
              <w:spacing w:after="80" w:before="80"/>
            </w:pPr>
            <w:r>
              <w:rPr>
                <w:b w:val="0"/>
                <w:color w:val="000000"/>
                <w:sz w:val="18"/>
              </w:rPr>
              <w:t>Launch</w:t>
            </w:r>
          </w:p>
        </w:tc>
        <w:tc>
          <w:tcPr>
            <w:tcW w:type="dxa" w:w="6120"/>
          </w:tcPr>
          <w:p>
            <w:pPr>
              <w:spacing w:after="80" w:before="80"/>
            </w:pPr>
            <w:r>
              <w:rPr>
                <w:b w:val="0"/>
                <w:color w:val="000000"/>
                <w:sz w:val="18"/>
              </w:rPr>
              <w:t>Five months is inside 3–6 months</w:t>
            </w:r>
          </w:p>
        </w:tc>
        <w:tc>
          <w:tcPr>
            <w:tcW w:type="dxa" w:w="1584"/>
          </w:tcPr>
          <w:p>
            <w:pPr>
              <w:spacing w:after="80" w:before="80"/>
            </w:pPr>
            <w:r>
              <w:rPr>
                <w:b w:val="0"/>
                <w:color w:val="000000"/>
                <w:sz w:val="18"/>
              </w:rPr>
              <w:t>10</w:t>
            </w:r>
          </w:p>
        </w:tc>
      </w:tr>
      <w:tr>
        <w:trPr>
          <w:cantSplit/>
        </w:trPr>
        <w:tc>
          <w:tcPr>
            <w:tcW w:type="dxa" w:w="2016"/>
          </w:tcPr>
          <w:p>
            <w:pPr>
              <w:spacing w:after="80" w:before="80"/>
            </w:pPr>
            <w:r>
              <w:rPr>
                <w:b w:val="0"/>
                <w:color w:val="000000"/>
                <w:sz w:val="18"/>
              </w:rPr>
              <w:t>Total</w:t>
            </w:r>
          </w:p>
        </w:tc>
        <w:tc>
          <w:tcPr>
            <w:tcW w:type="dxa" w:w="6120"/>
          </w:tcPr>
          <w:p>
            <w:pPr>
              <w:spacing w:after="80" w:before="80"/>
            </w:pPr>
            <w:r>
              <w:rPr>
                <w:b w:val="0"/>
                <w:color w:val="000000"/>
                <w:sz w:val="18"/>
              </w:rPr>
              <w:t>35 + 15 + 15 + 15 + 5 + 10</w:t>
            </w:r>
          </w:p>
        </w:tc>
        <w:tc>
          <w:tcPr>
            <w:tcW w:type="dxa" w:w="1584"/>
          </w:tcPr>
          <w:p>
            <w:pPr>
              <w:spacing w:after="80" w:before="80"/>
            </w:pPr>
            <w:r>
              <w:rPr>
                <w:b w:val="0"/>
                <w:color w:val="000000"/>
                <w:sz w:val="18"/>
              </w:rPr>
              <w:t>95 of 100</w:t>
            </w:r>
          </w:p>
        </w:tc>
      </w:tr>
    </w:tbl>
    <w:p>
      <w:r>
        <w:rPr>
          <w:b w:val="0"/>
        </w:rPr>
        <w:t>Result: grade A and a provisional recommendation for verification. It is not proof of genuine funds, a commercially viable catchment or an approved franchise. Raising declared investment from ₹30 lakh to ₹100 lakh, or area from 450 to 1,000 sq ft, adds no points once adequacy is met. Switching from rented to owned adds no points.</w:t>
      </w:r>
    </w:p>
    <w:p>
      <w:pPr>
        <w:pStyle w:val="Heading2"/>
      </w:pPr>
      <w:r>
        <w:t>High grade with failed funding</w:t>
      </w:r>
    </w:p>
    <w:p>
      <w:r>
        <w:rPr>
          <w:b w:val="0"/>
        </w:rPr>
        <w:t>Change the applicant to ₹20 lakh and at least five years of retail experience. The score is 23.3 funding + 30 premises + 20 experience + 5 previous business + 10 launch = 88.3. Although the numerical band is A, the funding requirement fails, so the decision is Requirements not met. A compensatory weighted score cannot cancel a mandatory requirement.</w:t>
      </w:r>
    </w:p>
    <w:p>
      <w:pPr>
        <w:pStyle w:val="Heading2"/>
      </w:pPr>
      <w:r>
        <w:t>Missing amount and cleaning</w:t>
      </w:r>
    </w:p>
    <w:p>
      <w:r>
        <w:rPr>
          <w:b w:val="0"/>
        </w:rPr>
        <w:t>If investment is missing, the original worked example shows 60–95 and grade U; it requires clarification. A text value of ₹25,00,000 must be proposed as ₹25 lakh for confirmation, not 25,00,000 lakh. After confirmation it is a known shortfall against the ₹30 lakh example requirement. A range such as 20–30 lakh requires one confirmed usable amount; the app must not choose the midpoint or upper bound.</w:t>
      </w:r>
    </w:p>
    <w:p>
      <w:pPr>
        <w:pStyle w:val="Heading2"/>
      </w:pPr>
      <w:r>
        <w:t>Evidence needed before an offer</w:t>
      </w:r>
    </w:p>
    <w:p>
      <w:r>
        <w:rPr>
          <w:b w:val="0"/>
        </w:rPr>
        <w:t>Verify funding sources and conditions; confirm legal premises control, area and actual floor; examine demand, rent and operating economics; interview the operator against brand standards; agree responsibilities and training. Record the reviewer, date, evidence and unresolved conditions. The app’s checklist records operator attestations, not independent verification.</w:t>
      </w:r>
    </w:p>
    <w:p>
      <w:r>
        <w:br w:type="page"/>
      </w:r>
    </w:p>
    <w:p>
      <w:pPr>
        <w:pStyle w:val="Heading1"/>
      </w:pPr>
      <w:r>
        <w:t>Rescoring the synthetic test workbook</w:t>
      </w:r>
    </w:p>
    <w:p>
      <w:r>
        <w:rPr>
          <w:b w:val="0"/>
        </w:rPr>
        <w:t>All 39 fictional applications were rescored with the same confirmed-input cleaning and protected territory rules. The legacy comparator is a recomputation of the original 60/10/30 policy after parsing fixes, not a record of the earlier buggy output. The revised scores are not on the same calibration scale as the old scores; compare explanations and decisions, not percentage improvement.</w:t>
      </w:r>
    </w:p>
    <w:tbl>
      <w:tblPr>
        <w:tblStyle w:val="TableGrid"/>
        <w:tblW w:type="auto" w:w="0"/>
        <w:tblLayout w:type="fixed"/>
        <w:tblLook w:firstColumn="1" w:firstRow="1" w:lastColumn="0" w:lastRow="0" w:noHBand="0" w:noVBand="1" w:val="04A0"/>
      </w:tblPr>
      <w:tblGrid>
        <w:gridCol w:w="4896"/>
        <w:gridCol w:w="2304"/>
        <w:gridCol w:w="2520"/>
      </w:tblGrid>
      <w:tr>
        <w:trPr>
          <w:cantSplit/>
          <w:tblHeader/>
        </w:trPr>
        <w:tc>
          <w:tcPr>
            <w:tcW w:type="dxa" w:w="4896"/>
            <w:shd w:fill="EDF1F2"/>
          </w:tcPr>
          <w:p>
            <w:pPr>
              <w:spacing w:after="80" w:before="80"/>
            </w:pPr>
            <w:r>
              <w:rPr>
                <w:b/>
                <w:color w:val="000000"/>
                <w:sz w:val="18"/>
              </w:rPr>
              <w:t>Decision status</w:t>
            </w:r>
          </w:p>
        </w:tc>
        <w:tc>
          <w:tcPr>
            <w:tcW w:type="dxa" w:w="2304"/>
            <w:shd w:fill="EDF1F2"/>
          </w:tcPr>
          <w:p>
            <w:pPr>
              <w:spacing w:after="80" w:before="80"/>
            </w:pPr>
            <w:r>
              <w:rPr>
                <w:b/>
                <w:color w:val="000000"/>
                <w:sz w:val="18"/>
              </w:rPr>
              <w:t>Legacy policy</w:t>
            </w:r>
          </w:p>
        </w:tc>
        <w:tc>
          <w:tcPr>
            <w:tcW w:type="dxa" w:w="2520"/>
            <w:shd w:fill="EDF1F2"/>
          </w:tcPr>
          <w:p>
            <w:pPr>
              <w:spacing w:after="80" w:before="80"/>
            </w:pPr>
            <w:r>
              <w:rPr>
                <w:b/>
                <w:color w:val="000000"/>
                <w:sz w:val="18"/>
              </w:rPr>
              <w:t>Revised profile</w:t>
            </w:r>
          </w:p>
        </w:tc>
      </w:tr>
      <w:tr>
        <w:trPr>
          <w:cantSplit/>
        </w:trPr>
        <w:tc>
          <w:tcPr>
            <w:tcW w:type="dxa" w:w="4896"/>
          </w:tcPr>
          <w:p>
            <w:pPr>
              <w:spacing w:after="80" w:before="80"/>
            </w:pPr>
            <w:r>
              <w:rPr>
                <w:b w:val="0"/>
                <w:color w:val="000000"/>
                <w:sz w:val="18"/>
              </w:rPr>
              <w:t>Recommended</w:t>
            </w:r>
          </w:p>
        </w:tc>
        <w:tc>
          <w:tcPr>
            <w:tcW w:type="dxa" w:w="2304"/>
          </w:tcPr>
          <w:p>
            <w:pPr>
              <w:spacing w:after="80" w:before="80"/>
            </w:pPr>
            <w:r>
              <w:rPr>
                <w:b w:val="0"/>
                <w:color w:val="000000"/>
                <w:sz w:val="18"/>
              </w:rPr>
              <w:t>3</w:t>
            </w:r>
          </w:p>
        </w:tc>
        <w:tc>
          <w:tcPr>
            <w:tcW w:type="dxa" w:w="2520"/>
          </w:tcPr>
          <w:p>
            <w:pPr>
              <w:spacing w:after="80" w:before="80"/>
            </w:pPr>
            <w:r>
              <w:rPr>
                <w:b w:val="0"/>
                <w:color w:val="000000"/>
                <w:sz w:val="18"/>
              </w:rPr>
              <w:t>3</w:t>
            </w:r>
          </w:p>
        </w:tc>
      </w:tr>
      <w:tr>
        <w:trPr>
          <w:cantSplit/>
        </w:trPr>
        <w:tc>
          <w:tcPr>
            <w:tcW w:type="dxa" w:w="4896"/>
          </w:tcPr>
          <w:p>
            <w:pPr>
              <w:spacing w:after="80" w:before="80"/>
            </w:pPr>
            <w:r>
              <w:rPr>
                <w:b w:val="0"/>
                <w:color w:val="000000"/>
                <w:sz w:val="18"/>
              </w:rPr>
              <w:t>Waitlisted</w:t>
            </w:r>
          </w:p>
        </w:tc>
        <w:tc>
          <w:tcPr>
            <w:tcW w:type="dxa" w:w="2304"/>
          </w:tcPr>
          <w:p>
            <w:pPr>
              <w:spacing w:after="80" w:before="80"/>
            </w:pPr>
            <w:r>
              <w:rPr>
                <w:b w:val="0"/>
                <w:color w:val="000000"/>
                <w:sz w:val="18"/>
              </w:rPr>
              <w:t>15</w:t>
            </w:r>
          </w:p>
        </w:tc>
        <w:tc>
          <w:tcPr>
            <w:tcW w:type="dxa" w:w="2520"/>
          </w:tcPr>
          <w:p>
            <w:pPr>
              <w:spacing w:after="80" w:before="80"/>
            </w:pPr>
            <w:r>
              <w:rPr>
                <w:b w:val="0"/>
                <w:color w:val="000000"/>
                <w:sz w:val="18"/>
              </w:rPr>
              <w:t>9</w:t>
            </w:r>
          </w:p>
        </w:tc>
      </w:tr>
      <w:tr>
        <w:trPr>
          <w:cantSplit/>
        </w:trPr>
        <w:tc>
          <w:tcPr>
            <w:tcW w:type="dxa" w:w="4896"/>
          </w:tcPr>
          <w:p>
            <w:pPr>
              <w:spacing w:after="80" w:before="80"/>
            </w:pPr>
            <w:r>
              <w:rPr>
                <w:b w:val="0"/>
                <w:color w:val="000000"/>
                <w:sz w:val="18"/>
              </w:rPr>
              <w:t>Clarification needed</w:t>
            </w:r>
          </w:p>
        </w:tc>
        <w:tc>
          <w:tcPr>
            <w:tcW w:type="dxa" w:w="2304"/>
          </w:tcPr>
          <w:p>
            <w:pPr>
              <w:spacing w:after="80" w:before="80"/>
            </w:pPr>
            <w:r>
              <w:rPr>
                <w:b w:val="0"/>
                <w:color w:val="000000"/>
                <w:sz w:val="18"/>
              </w:rPr>
              <w:t>14</w:t>
            </w:r>
          </w:p>
        </w:tc>
        <w:tc>
          <w:tcPr>
            <w:tcW w:type="dxa" w:w="2520"/>
          </w:tcPr>
          <w:p>
            <w:pPr>
              <w:spacing w:after="80" w:before="80"/>
            </w:pPr>
            <w:r>
              <w:rPr>
                <w:b w:val="0"/>
                <w:color w:val="000000"/>
                <w:sz w:val="18"/>
              </w:rPr>
              <w:t>14</w:t>
            </w:r>
          </w:p>
        </w:tc>
      </w:tr>
      <w:tr>
        <w:trPr>
          <w:cantSplit/>
        </w:trPr>
        <w:tc>
          <w:tcPr>
            <w:tcW w:type="dxa" w:w="4896"/>
          </w:tcPr>
          <w:p>
            <w:pPr>
              <w:spacing w:after="80" w:before="80"/>
            </w:pPr>
            <w:r>
              <w:rPr>
                <w:b w:val="0"/>
                <w:color w:val="000000"/>
                <w:sz w:val="18"/>
              </w:rPr>
              <w:t>Site needed</w:t>
            </w:r>
          </w:p>
        </w:tc>
        <w:tc>
          <w:tcPr>
            <w:tcW w:type="dxa" w:w="2304"/>
          </w:tcPr>
          <w:p>
            <w:pPr>
              <w:spacing w:after="80" w:before="80"/>
            </w:pPr>
            <w:r>
              <w:rPr>
                <w:b w:val="0"/>
                <w:color w:val="000000"/>
                <w:sz w:val="18"/>
              </w:rPr>
              <w:t>3</w:t>
            </w:r>
          </w:p>
        </w:tc>
        <w:tc>
          <w:tcPr>
            <w:tcW w:type="dxa" w:w="2520"/>
          </w:tcPr>
          <w:p>
            <w:pPr>
              <w:spacing w:after="80" w:before="80"/>
            </w:pPr>
            <w:r>
              <w:rPr>
                <w:b w:val="0"/>
                <w:color w:val="000000"/>
                <w:sz w:val="18"/>
              </w:rPr>
              <w:t>3</w:t>
            </w:r>
          </w:p>
        </w:tc>
      </w:tr>
      <w:tr>
        <w:trPr>
          <w:cantSplit/>
        </w:trPr>
        <w:tc>
          <w:tcPr>
            <w:tcW w:type="dxa" w:w="4896"/>
          </w:tcPr>
          <w:p>
            <w:pPr>
              <w:spacing w:after="80" w:before="80"/>
            </w:pPr>
            <w:r>
              <w:rPr>
                <w:b w:val="0"/>
                <w:color w:val="000000"/>
                <w:sz w:val="18"/>
              </w:rPr>
              <w:t>Location unavailable</w:t>
            </w:r>
          </w:p>
        </w:tc>
        <w:tc>
          <w:tcPr>
            <w:tcW w:type="dxa" w:w="2304"/>
          </w:tcPr>
          <w:p>
            <w:pPr>
              <w:spacing w:after="80" w:before="80"/>
            </w:pPr>
            <w:r>
              <w:rPr>
                <w:b w:val="0"/>
                <w:color w:val="000000"/>
                <w:sz w:val="18"/>
              </w:rPr>
              <w:t>1</w:t>
            </w:r>
          </w:p>
        </w:tc>
        <w:tc>
          <w:tcPr>
            <w:tcW w:type="dxa" w:w="2520"/>
          </w:tcPr>
          <w:p>
            <w:pPr>
              <w:spacing w:after="80" w:before="80"/>
            </w:pPr>
            <w:r>
              <w:rPr>
                <w:b w:val="0"/>
                <w:color w:val="000000"/>
                <w:sz w:val="18"/>
              </w:rPr>
              <w:t>1</w:t>
            </w:r>
          </w:p>
        </w:tc>
      </w:tr>
      <w:tr>
        <w:trPr>
          <w:cantSplit/>
        </w:trPr>
        <w:tc>
          <w:tcPr>
            <w:tcW w:type="dxa" w:w="4896"/>
          </w:tcPr>
          <w:p>
            <w:pPr>
              <w:spacing w:after="80" w:before="80"/>
            </w:pPr>
            <w:r>
              <w:rPr>
                <w:b w:val="0"/>
                <w:color w:val="000000"/>
                <w:sz w:val="18"/>
              </w:rPr>
              <w:t>Territory review</w:t>
            </w:r>
          </w:p>
        </w:tc>
        <w:tc>
          <w:tcPr>
            <w:tcW w:type="dxa" w:w="2304"/>
          </w:tcPr>
          <w:p>
            <w:pPr>
              <w:spacing w:after="80" w:before="80"/>
            </w:pPr>
            <w:r>
              <w:rPr>
                <w:b w:val="0"/>
                <w:color w:val="000000"/>
                <w:sz w:val="18"/>
              </w:rPr>
              <w:t>3</w:t>
            </w:r>
          </w:p>
        </w:tc>
        <w:tc>
          <w:tcPr>
            <w:tcW w:type="dxa" w:w="2520"/>
          </w:tcPr>
          <w:p>
            <w:pPr>
              <w:spacing w:after="80" w:before="80"/>
            </w:pPr>
            <w:r>
              <w:rPr>
                <w:b w:val="0"/>
                <w:color w:val="000000"/>
                <w:sz w:val="18"/>
              </w:rPr>
              <w:t>3</w:t>
            </w:r>
          </w:p>
        </w:tc>
      </w:tr>
      <w:tr>
        <w:trPr>
          <w:cantSplit/>
        </w:trPr>
        <w:tc>
          <w:tcPr>
            <w:tcW w:type="dxa" w:w="4896"/>
          </w:tcPr>
          <w:p>
            <w:pPr>
              <w:spacing w:after="80" w:before="80"/>
            </w:pPr>
            <w:r>
              <w:rPr>
                <w:b w:val="0"/>
                <w:color w:val="000000"/>
                <w:sz w:val="18"/>
              </w:rPr>
              <w:t>Requirements not met</w:t>
            </w:r>
          </w:p>
        </w:tc>
        <w:tc>
          <w:tcPr>
            <w:tcW w:type="dxa" w:w="2304"/>
          </w:tcPr>
          <w:p>
            <w:pPr>
              <w:spacing w:after="80" w:before="80"/>
            </w:pPr>
            <w:r>
              <w:rPr>
                <w:b w:val="0"/>
                <w:color w:val="000000"/>
                <w:sz w:val="18"/>
              </w:rPr>
              <w:t>0</w:t>
            </w:r>
          </w:p>
        </w:tc>
        <w:tc>
          <w:tcPr>
            <w:tcW w:type="dxa" w:w="2520"/>
          </w:tcPr>
          <w:p>
            <w:pPr>
              <w:spacing w:after="80" w:before="80"/>
            </w:pPr>
            <w:r>
              <w:rPr>
                <w:b w:val="0"/>
                <w:color w:val="000000"/>
                <w:sz w:val="18"/>
              </w:rPr>
              <w:t>4</w:t>
            </w:r>
          </w:p>
        </w:tc>
      </w:tr>
      <w:tr>
        <w:trPr>
          <w:cantSplit/>
        </w:trPr>
        <w:tc>
          <w:tcPr>
            <w:tcW w:type="dxa" w:w="4896"/>
          </w:tcPr>
          <w:p>
            <w:pPr>
              <w:spacing w:after="80" w:before="80"/>
            </w:pPr>
            <w:r>
              <w:rPr>
                <w:b w:val="0"/>
                <w:color w:val="000000"/>
                <w:sz w:val="18"/>
              </w:rPr>
              <w:t>Timeline review</w:t>
            </w:r>
          </w:p>
        </w:tc>
        <w:tc>
          <w:tcPr>
            <w:tcW w:type="dxa" w:w="2304"/>
          </w:tcPr>
          <w:p>
            <w:pPr>
              <w:spacing w:after="80" w:before="80"/>
            </w:pPr>
            <w:r>
              <w:rPr>
                <w:b w:val="0"/>
                <w:color w:val="000000"/>
                <w:sz w:val="18"/>
              </w:rPr>
              <w:t>0</w:t>
            </w:r>
          </w:p>
        </w:tc>
        <w:tc>
          <w:tcPr>
            <w:tcW w:type="dxa" w:w="2520"/>
          </w:tcPr>
          <w:p>
            <w:pPr>
              <w:spacing w:after="80" w:before="80"/>
            </w:pPr>
            <w:r>
              <w:rPr>
                <w:b w:val="0"/>
                <w:color w:val="000000"/>
                <w:sz w:val="18"/>
              </w:rPr>
              <w:t>2</w:t>
            </w:r>
          </w:p>
        </w:tc>
      </w:tr>
      <w:tr>
        <w:trPr>
          <w:cantSplit/>
        </w:trPr>
        <w:tc>
          <w:tcPr>
            <w:tcW w:type="dxa" w:w="4896"/>
          </w:tcPr>
          <w:p>
            <w:pPr>
              <w:spacing w:after="80" w:before="80"/>
            </w:pPr>
            <w:r>
              <w:rPr>
                <w:b w:val="0"/>
                <w:color w:val="000000"/>
                <w:sz w:val="18"/>
              </w:rPr>
              <w:t>Total</w:t>
            </w:r>
          </w:p>
        </w:tc>
        <w:tc>
          <w:tcPr>
            <w:tcW w:type="dxa" w:w="2304"/>
          </w:tcPr>
          <w:p>
            <w:pPr>
              <w:spacing w:after="80" w:before="80"/>
            </w:pPr>
            <w:r>
              <w:rPr>
                <w:b w:val="0"/>
                <w:color w:val="000000"/>
                <w:sz w:val="18"/>
              </w:rPr>
              <w:t>39</w:t>
            </w:r>
          </w:p>
        </w:tc>
        <w:tc>
          <w:tcPr>
            <w:tcW w:type="dxa" w:w="2520"/>
          </w:tcPr>
          <w:p>
            <w:pPr>
              <w:spacing w:after="80" w:before="80"/>
            </w:pPr>
            <w:r>
              <w:rPr>
                <w:b w:val="0"/>
                <w:color w:val="000000"/>
                <w:sz w:val="18"/>
              </w:rPr>
              <w:t>39</w:t>
            </w:r>
          </w:p>
        </w:tc>
      </w:tr>
    </w:tbl>
    <w:tbl>
      <w:tblPr>
        <w:tblStyle w:val="TableGrid"/>
        <w:tblW w:type="auto" w:w="0"/>
        <w:tblLayout w:type="fixed"/>
        <w:tblLook w:firstColumn="1" w:firstRow="1" w:lastColumn="0" w:lastRow="0" w:noHBand="0" w:noVBand="1" w:val="04A0"/>
      </w:tblPr>
      <w:tblGrid>
        <w:gridCol w:w="1656"/>
        <w:gridCol w:w="3888"/>
        <w:gridCol w:w="4176"/>
      </w:tblGrid>
      <w:tr>
        <w:trPr>
          <w:cantSplit/>
          <w:tblHeader/>
        </w:trPr>
        <w:tc>
          <w:tcPr>
            <w:tcW w:type="dxa" w:w="1656"/>
            <w:shd w:fill="EDF1F2"/>
          </w:tcPr>
          <w:p>
            <w:pPr>
              <w:spacing w:after="80" w:before="80"/>
            </w:pPr>
            <w:r>
              <w:rPr>
                <w:b/>
                <w:color w:val="000000"/>
                <w:sz w:val="18"/>
              </w:rPr>
              <w:t>Applicant</w:t>
            </w:r>
          </w:p>
        </w:tc>
        <w:tc>
          <w:tcPr>
            <w:tcW w:type="dxa" w:w="3888"/>
            <w:shd w:fill="EDF1F2"/>
          </w:tcPr>
          <w:p>
            <w:pPr>
              <w:spacing w:after="80" w:before="80"/>
            </w:pPr>
            <w:r>
              <w:rPr>
                <w:b/>
                <w:color w:val="000000"/>
                <w:sz w:val="18"/>
              </w:rPr>
              <w:t>Legacy result</w:t>
            </w:r>
          </w:p>
        </w:tc>
        <w:tc>
          <w:tcPr>
            <w:tcW w:type="dxa" w:w="4176"/>
            <w:shd w:fill="EDF1F2"/>
          </w:tcPr>
          <w:p>
            <w:pPr>
              <w:spacing w:after="80" w:before="80"/>
            </w:pPr>
            <w:r>
              <w:rPr>
                <w:b/>
                <w:color w:val="000000"/>
                <w:sz w:val="18"/>
              </w:rPr>
              <w:t>Revised result</w:t>
            </w:r>
          </w:p>
        </w:tc>
      </w:tr>
      <w:tr>
        <w:trPr>
          <w:cantSplit/>
        </w:trPr>
        <w:tc>
          <w:tcPr>
            <w:tcW w:type="dxa" w:w="1656"/>
          </w:tcPr>
          <w:p>
            <w:pPr>
              <w:spacing w:after="80" w:before="80"/>
            </w:pPr>
            <w:r>
              <w:rPr>
                <w:b w:val="0"/>
                <w:color w:val="000000"/>
                <w:sz w:val="18"/>
              </w:rPr>
              <w:t>APP-105</w:t>
            </w:r>
          </w:p>
        </w:tc>
        <w:tc>
          <w:tcPr>
            <w:tcW w:type="dxa" w:w="3888"/>
          </w:tcPr>
          <w:p>
            <w:pPr>
              <w:spacing w:after="80" w:before="80"/>
            </w:pPr>
            <w:r>
              <w:rPr>
                <w:b w:val="0"/>
                <w:color w:val="000000"/>
                <w:sz w:val="18"/>
              </w:rPr>
              <w:t>35; waitlisted</w:t>
            </w:r>
          </w:p>
        </w:tc>
        <w:tc>
          <w:tcPr>
            <w:tcW w:type="dxa" w:w="4176"/>
          </w:tcPr>
          <w:p>
            <w:pPr>
              <w:spacing w:after="80" w:before="80"/>
            </w:pPr>
            <w:r>
              <w:rPr>
                <w:b w:val="0"/>
                <w:color w:val="000000"/>
                <w:sz w:val="18"/>
              </w:rPr>
              <w:t>95; A; recommended</w:t>
            </w:r>
          </w:p>
        </w:tc>
      </w:tr>
      <w:tr>
        <w:trPr>
          <w:cantSplit/>
        </w:trPr>
        <w:tc>
          <w:tcPr>
            <w:tcW w:type="dxa" w:w="1656"/>
          </w:tcPr>
          <w:p>
            <w:pPr>
              <w:spacing w:after="80" w:before="80"/>
            </w:pPr>
            <w:r>
              <w:rPr>
                <w:b w:val="0"/>
                <w:color w:val="000000"/>
                <w:sz w:val="18"/>
              </w:rPr>
              <w:t>APP-106</w:t>
            </w:r>
          </w:p>
        </w:tc>
        <w:tc>
          <w:tcPr>
            <w:tcW w:type="dxa" w:w="3888"/>
          </w:tcPr>
          <w:p>
            <w:pPr>
              <w:spacing w:after="80" w:before="80"/>
            </w:pPr>
            <w:r>
              <w:rPr>
                <w:b w:val="0"/>
                <w:color w:val="000000"/>
                <w:sz w:val="18"/>
              </w:rPr>
              <w:t>55; waitlisted</w:t>
            </w:r>
          </w:p>
        </w:tc>
        <w:tc>
          <w:tcPr>
            <w:tcW w:type="dxa" w:w="4176"/>
          </w:tcPr>
          <w:p>
            <w:pPr>
              <w:spacing w:after="80" w:before="80"/>
            </w:pPr>
            <w:r>
              <w:rPr>
                <w:b w:val="0"/>
                <w:color w:val="000000"/>
                <w:sz w:val="18"/>
              </w:rPr>
              <w:t>100; A; recommended</w:t>
            </w:r>
          </w:p>
        </w:tc>
      </w:tr>
      <w:tr>
        <w:trPr>
          <w:cantSplit/>
        </w:trPr>
        <w:tc>
          <w:tcPr>
            <w:tcW w:type="dxa" w:w="1656"/>
          </w:tcPr>
          <w:p>
            <w:pPr>
              <w:spacing w:after="80" w:before="80"/>
            </w:pPr>
            <w:r>
              <w:rPr>
                <w:b w:val="0"/>
                <w:color w:val="000000"/>
                <w:sz w:val="18"/>
              </w:rPr>
              <w:t>APP-107</w:t>
            </w:r>
          </w:p>
        </w:tc>
        <w:tc>
          <w:tcPr>
            <w:tcW w:type="dxa" w:w="3888"/>
          </w:tcPr>
          <w:p>
            <w:pPr>
              <w:spacing w:after="80" w:before="80"/>
            </w:pPr>
            <w:r>
              <w:rPr>
                <w:b w:val="0"/>
                <w:color w:val="000000"/>
                <w:sz w:val="18"/>
              </w:rPr>
              <w:t>70; waitlisted</w:t>
            </w:r>
          </w:p>
        </w:tc>
        <w:tc>
          <w:tcPr>
            <w:tcW w:type="dxa" w:w="4176"/>
          </w:tcPr>
          <w:p>
            <w:pPr>
              <w:spacing w:after="80" w:before="80"/>
            </w:pPr>
            <w:r>
              <w:rPr>
                <w:b w:val="0"/>
                <w:color w:val="000000"/>
                <w:sz w:val="18"/>
              </w:rPr>
              <w:t>95; A; waitlisted on capacity</w:t>
            </w:r>
          </w:p>
        </w:tc>
      </w:tr>
      <w:tr>
        <w:trPr>
          <w:cantSplit/>
        </w:trPr>
        <w:tc>
          <w:tcPr>
            <w:tcW w:type="dxa" w:w="1656"/>
          </w:tcPr>
          <w:p>
            <w:pPr>
              <w:spacing w:after="80" w:before="80"/>
            </w:pPr>
            <w:r>
              <w:rPr>
                <w:b w:val="0"/>
                <w:color w:val="000000"/>
                <w:sz w:val="18"/>
              </w:rPr>
              <w:t>APP-218</w:t>
            </w:r>
          </w:p>
        </w:tc>
        <w:tc>
          <w:tcPr>
            <w:tcW w:type="dxa" w:w="3888"/>
          </w:tcPr>
          <w:p>
            <w:pPr>
              <w:spacing w:after="80" w:before="80"/>
            </w:pPr>
            <w:r>
              <w:rPr>
                <w:b w:val="0"/>
                <w:color w:val="000000"/>
                <w:sz w:val="18"/>
              </w:rPr>
              <w:t>100; recommended</w:t>
            </w:r>
          </w:p>
        </w:tc>
        <w:tc>
          <w:tcPr>
            <w:tcW w:type="dxa" w:w="4176"/>
          </w:tcPr>
          <w:p>
            <w:pPr>
              <w:spacing w:after="80" w:before="80"/>
            </w:pPr>
            <w:r>
              <w:rPr>
                <w:b w:val="0"/>
                <w:color w:val="000000"/>
                <w:sz w:val="18"/>
              </w:rPr>
              <w:t>90; A; timeline review</w:t>
            </w:r>
          </w:p>
        </w:tc>
      </w:tr>
      <w:tr>
        <w:trPr>
          <w:cantSplit/>
        </w:trPr>
        <w:tc>
          <w:tcPr>
            <w:tcW w:type="dxa" w:w="1656"/>
          </w:tcPr>
          <w:p>
            <w:pPr>
              <w:spacing w:after="80" w:before="80"/>
            </w:pPr>
            <w:r>
              <w:rPr>
                <w:b w:val="0"/>
                <w:color w:val="000000"/>
                <w:sz w:val="18"/>
              </w:rPr>
              <w:t>APP-202</w:t>
            </w:r>
          </w:p>
        </w:tc>
        <w:tc>
          <w:tcPr>
            <w:tcW w:type="dxa" w:w="3888"/>
          </w:tcPr>
          <w:p>
            <w:pPr>
              <w:spacing w:after="80" w:before="80"/>
            </w:pPr>
            <w:r>
              <w:rPr>
                <w:b w:val="0"/>
                <w:color w:val="000000"/>
                <w:sz w:val="18"/>
              </w:rPr>
              <w:t>41.7–64.2; clarification</w:t>
            </w:r>
          </w:p>
        </w:tc>
        <w:tc>
          <w:tcPr>
            <w:tcW w:type="dxa" w:w="4176"/>
          </w:tcPr>
          <w:p>
            <w:pPr>
              <w:spacing w:after="80" w:before="80"/>
            </w:pPr>
            <w:r>
              <w:rPr>
                <w:b w:val="0"/>
                <w:color w:val="000000"/>
                <w:sz w:val="18"/>
              </w:rPr>
              <w:t>60–95; U; clarification</w:t>
            </w:r>
          </w:p>
        </w:tc>
      </w:tr>
    </w:tbl>
    <w:p>
      <w:r>
        <w:rPr>
          <w:b w:val="0"/>
        </w:rPr>
        <w:t>APP-218’s one-month target is earlier than the illustrative three-month minimum. Its strong experience and capital no longer cancel that execution constraint. APP-107 remains waitlisted despite a high score because capacity and tie-breaks apply. The third revised recommendation is APP-227, the deliberately untrusted-name fixture: its name remains inert text and its numeric fit does not establish a real identity. Identity verification is still required for every recommendation.</w:t>
      </w:r>
    </w:p>
    <w:p>
      <w:pPr>
        <w:pStyle w:val="Heading2"/>
      </w:pPr>
      <w:r>
        <w:t>How to validate before adoption</w:t>
      </w:r>
    </w:p>
    <w:p>
      <w:r>
        <w:rPr>
          <w:b w:val="0"/>
        </w:rPr>
        <w:t>Have finance, expansion and operations agree criteria, budgets, anchors and failure gates. Independently assess the same sample, reconcile disagreements and record overrides. During a shadow pilot, compare human and model decisions and test sensitivity to changing weights and requirements. Track opening completion, delay, early cash shortfall, compliance and later store performance. Include a documented review process for candidates initially held, to reduce selection bias.</w:t>
      </w:r>
    </w:p>
    <w:p>
      <w:r>
        <w:rPr>
          <w:b w:val="0"/>
        </w:rPr>
        <w:t>Estimate calibration or predictive performance only after obtaining sufficient, representative outcome data. Split evaluation by time and test stability across formats and city tiers. Until then, call this a screening scorecard, not a validated success model. The proposed experience anchors and grade boundaries should be the first items challenged in the pilot.</w:t>
      </w:r>
    </w:p>
    <w:p>
      <w:r>
        <w:br w:type="page"/>
      </w:r>
    </w:p>
    <w:p>
      <w:pPr>
        <w:pStyle w:val="Heading1"/>
      </w:pPr>
      <w:r>
        <w:t>Sources and evidence limits</w:t>
      </w:r>
    </w:p>
    <w:p>
      <w:r>
        <w:rPr>
          <w:b w:val="0"/>
        </w:rPr>
        <w:t>Official and institutional sources were reviewed on 25 October 2026. Brand pages can change. Published figures below describe the named market, not the fictional Karnataka brand. Numbered references support the practice or finding beside them; no source endorses our exact weighting or grades.</w:t>
      </w:r>
    </w:p>
    <w:p>
      <w:pPr>
        <w:spacing w:after="40"/>
      </w:pPr>
      <w:r>
        <w:rPr>
          <w:b w:val="0"/>
        </w:rPr>
        <w:t>[1] World Intellectual Property Organization. In Good Company: Managing Intellectual Property Issues in Franchising, 2019 edition, discussion of franchisee recruitment and selection.</w:t>
      </w:r>
    </w:p>
    <w:p>
      <w:pPr>
        <w:spacing w:after="180"/>
      </w:pPr>
      <w:r>
        <w:rPr>
          <w:b w:val="0"/>
          <w:sz w:val="17"/>
        </w:rPr>
        <w:t>https://www.wipo.int/edocs/pubdocs/en/sme/1035/wipo_pub_1035.pdf</w:t>
      </w:r>
    </w:p>
    <w:p>
      <w:pPr>
        <w:spacing w:after="40"/>
      </w:pPr>
      <w:r>
        <w:rPr>
          <w:b w:val="0"/>
        </w:rPr>
        <w:t>[2] Business Development Bank of Canada. How to choose the right franchisees. Guidance featuring the Canadian Franchise Association.</w:t>
      </w:r>
    </w:p>
    <w:p>
      <w:pPr>
        <w:spacing w:after="180"/>
      </w:pPr>
      <w:r>
        <w:rPr>
          <w:b w:val="0"/>
          <w:sz w:val="17"/>
        </w:rPr>
        <w:t>https://www.bdc.ca/en/articles-tools/business-strategy-planning/manage-growth/how-select-potential-franchisees</w:t>
      </w:r>
    </w:p>
    <w:p>
      <w:pPr>
        <w:spacing w:after="40"/>
      </w:pPr>
      <w:r>
        <w:rPr>
          <w:b w:val="0"/>
        </w:rPr>
        <w:t>[3] Lenskart. Official franchise partner enquiry page. Reviewed for property-type choices; no numerical selection score was published on the reviewed page.</w:t>
      </w:r>
    </w:p>
    <w:p>
      <w:pPr>
        <w:spacing w:after="180"/>
      </w:pPr>
      <w:r>
        <w:rPr>
          <w:b w:val="0"/>
          <w:sz w:val="17"/>
        </w:rPr>
        <w:t>https://partners.lenskart.com/</w:t>
      </w:r>
    </w:p>
    <w:p>
      <w:pPr>
        <w:spacing w:after="40"/>
      </w:pPr>
      <w:r>
        <w:rPr>
          <w:b w:val="0"/>
        </w:rPr>
        <w:t>[4] Amul. About Amul Parlour. Current overview of formats and typical outlet sizes.</w:t>
      </w:r>
    </w:p>
    <w:p>
      <w:pPr>
        <w:spacing w:after="180"/>
      </w:pPr>
      <w:r>
        <w:rPr>
          <w:b w:val="0"/>
          <w:sz w:val="17"/>
        </w:rPr>
        <w:t>https://amul.com/about-amul-franchise</w:t>
      </w:r>
    </w:p>
    <w:p>
      <w:pPr>
        <w:spacing w:after="40"/>
      </w:pPr>
      <w:r>
        <w:rPr>
          <w:b w:val="0"/>
        </w:rPr>
        <w:t>[5] McDonald’s United States. The cost of franchise ownership. Current costs page; older FAQs can contain different historical figures.</w:t>
      </w:r>
    </w:p>
    <w:p>
      <w:pPr>
        <w:spacing w:after="180"/>
      </w:pPr>
      <w:r>
        <w:rPr>
          <w:b w:val="0"/>
          <w:sz w:val="17"/>
        </w:rPr>
        <w:t>https://www.mcdonalds.com/us/en-us/us-franchising/costs.html</w:t>
      </w:r>
    </w:p>
    <w:p>
      <w:pPr>
        <w:spacing w:after="40"/>
      </w:pPr>
      <w:r>
        <w:rPr>
          <w:b w:val="0"/>
        </w:rPr>
        <w:t>[6] Subway United States. Frequently Asked Questions. Financial criteria, site-dependent timeline and training.</w:t>
      </w:r>
    </w:p>
    <w:p>
      <w:pPr>
        <w:spacing w:after="180"/>
      </w:pPr>
      <w:r>
        <w:rPr>
          <w:b w:val="0"/>
          <w:sz w:val="17"/>
        </w:rPr>
        <w:t>https://www.subwayfranchise.com/en-us/faqs</w:t>
      </w:r>
    </w:p>
    <w:p>
      <w:pPr>
        <w:spacing w:after="40"/>
      </w:pPr>
      <w:r>
        <w:rPr>
          <w:b w:val="0"/>
        </w:rPr>
        <w:t>[7] US Federal Trade Commission. A Consumer’s Guide to Buying a Franchise. US disclosure and due-diligence guidance.</w:t>
      </w:r>
    </w:p>
    <w:p>
      <w:pPr>
        <w:spacing w:after="180"/>
      </w:pPr>
      <w:r>
        <w:rPr>
          <w:b w:val="0"/>
          <w:sz w:val="17"/>
        </w:rPr>
        <w:t>https://www.ftc.gov/business-guidance/resources/consumers-guide-buying-franchise</w:t>
      </w:r>
    </w:p>
    <w:p>
      <w:pPr>
        <w:spacing w:after="40"/>
      </w:pPr>
      <w:r>
        <w:rPr>
          <w:b w:val="0"/>
        </w:rPr>
        <w:t>[8] Saraogi, A. (2009). Exploring Franchisor Franchisee Relationship: Building a Predictive Model of Franchisee Performance. Vision, 13(1), 31–58. Publisher abstract reviewed; full text restricted.</w:t>
      </w:r>
    </w:p>
    <w:p>
      <w:pPr>
        <w:spacing w:after="180"/>
      </w:pPr>
      <w:r>
        <w:rPr>
          <w:b w:val="0"/>
          <w:sz w:val="17"/>
        </w:rPr>
        <w:t>https://doi.org/10.1177/097226290901300104</w:t>
      </w:r>
    </w:p>
    <w:p>
      <w:pPr>
        <w:spacing w:after="40"/>
      </w:pPr>
      <w:r>
        <w:rPr>
          <w:b w:val="0"/>
        </w:rPr>
        <w:t>[9] Clarkin, J. E., and Swavely, S. M. (2006). The importance of personal characteristics in franchisee selection. Journal of Retailing and Consumer Services, 13(2), 133–142. Publisher abstract and bibliographic record reviewed.</w:t>
      </w:r>
    </w:p>
    <w:p>
      <w:pPr>
        <w:spacing w:after="180"/>
      </w:pPr>
      <w:r>
        <w:rPr>
          <w:b w:val="0"/>
          <w:sz w:val="17"/>
        </w:rPr>
        <w:t>https://doi.org/10.1016/j.jretconser.2005.08.008</w:t>
      </w:r>
    </w:p>
    <w:p>
      <w:pPr>
        <w:spacing w:after="40"/>
      </w:pPr>
      <w:r>
        <w:rPr>
          <w:b w:val="0"/>
        </w:rPr>
        <w:t>[10] Hsu, P.-F., and Chen, B.-Y. (2008). Integrated analytic hierarchy process and entropy to develop a durable goods chain store franchisee selection model. Asia Pacific Journal of Marketing and Logistics, 20(1), 44–54. Accessible publisher abstract reviewed.</w:t>
      </w:r>
    </w:p>
    <w:p>
      <w:pPr>
        <w:spacing w:after="180"/>
      </w:pPr>
      <w:r>
        <w:rPr>
          <w:b w:val="0"/>
          <w:sz w:val="17"/>
        </w:rPr>
        <w:t>https://doi.org/10.1108/13555850810844869</w:t>
      </w:r>
    </w:p>
    <w:p>
      <w:r>
        <w:rPr>
          <w:b w:val="0"/>
        </w:rPr>
        <w:t>Research limitation: this was a targeted evidence review, not a systematic review of every franchise standard worldwide. “Not established by the sources reviewed” is the defensible conclusion about universal numerical grading. Private franchisor scorecards may exist but were not assumed or invented.</w:t>
      </w:r>
    </w:p>
    <w:sectPr w:rsidR="00FC693F" w:rsidRPr="0006063C" w:rsidSect="00034616">
      <w:headerReference w:type="default" r:id="rId9"/>
      <w:footerReference w:type="default" r:id="rId10"/>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FRANCHISEOS    RESEARCH AND ASSESSMENT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