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131"/>
        <w:gridCol w:w="1131"/>
        <w:gridCol w:w="1131"/>
        <w:gridCol w:w="1131"/>
        <w:gridCol w:w="1131"/>
        <w:gridCol w:w="1131"/>
        <w:gridCol w:w="1131"/>
      </w:tblGrid>
      <w:tr>
        <w:trPr>
          <w:tblHeader w:val="on"/>
        </w:trPr>
        <w:tc>
          <w:tcPr/>
          <w:p>
            <w:pPr>
              <w:pStyle w:val="Compact"/>
              <w:jc w:val="left"/>
            </w:pPr>
            <w:r>
              <w:rPr>
                <w:b/>
                <w:bCs/>
              </w:rPr>
              <w:t xml:space="preserve">Scheme</w:t>
            </w:r>
          </w:p>
        </w:tc>
        <w:tc>
          <w:tcPr/>
          <w:p>
            <w:pPr>
              <w:pStyle w:val="Compact"/>
              <w:jc w:val="left"/>
            </w:pPr>
            <w:r>
              <w:rPr>
                <w:b/>
                <w:bCs/>
              </w:rPr>
              <w:t xml:space="preserve">WM</w:t>
            </w:r>
          </w:p>
        </w:tc>
        <w:tc>
          <w:tcPr/>
          <w:p>
            <w:pPr>
              <w:pStyle w:val="Compact"/>
              <w:jc w:val="center"/>
            </w:pPr>
            <w:r>
              <w:rPr>
                <w:b/>
                <w:bCs/>
              </w:rPr>
              <w:t xml:space="preserve">Encryption</w:t>
            </w:r>
          </w:p>
        </w:tc>
        <w:tc>
          <w:tcPr/>
          <w:p>
            <w:pPr>
              <w:pStyle w:val="Compact"/>
              <w:jc w:val="center"/>
            </w:pPr>
            <w:r>
              <w:rPr>
                <w:b/>
                <w:bCs/>
              </w:rPr>
              <w:t xml:space="preserve">Integrity</w:t>
            </w:r>
          </w:p>
        </w:tc>
        <w:tc>
          <w:tcPr/>
          <w:p>
            <w:pPr>
              <w:pStyle w:val="Compact"/>
              <w:jc w:val="center"/>
            </w:pPr>
            <w:r>
              <w:rPr>
                <w:b/>
                <w:bCs/>
              </w:rPr>
              <w:t xml:space="preserve">Edge-Ready</w:t>
            </w:r>
          </w:p>
        </w:tc>
        <w:tc>
          <w:tcPr/>
          <w:p>
            <w:pPr>
              <w:pStyle w:val="Compact"/>
              <w:jc w:val="center"/>
            </w:pPr>
            <w:r>
              <w:rPr>
                <w:b/>
                <w:bCs/>
              </w:rPr>
              <w:t xml:space="preserve">Freshness Check</w:t>
            </w:r>
          </w:p>
        </w:tc>
        <w:tc>
          <w:tcPr/>
          <w:p>
            <w:pPr>
              <w:pStyle w:val="Compact"/>
            </w:pPr>
          </w:p>
        </w:tc>
      </w:tr>
      <w:tr>
        <w:tc>
          <w:tcPr/>
          <w:p>
            <w:pPr>
              <w:pStyle w:val="Compact"/>
              <w:jc w:val="left"/>
            </w:pPr>
            <w:r>
              <w:t xml:space="preserve">Memon &amp; Alzahrani</w:t>
            </w:r>
            <w:r>
              <w:t xml:space="preserve"> </w:t>
            </w:r>
            <w:r>
              <w:t xml:space="preserve">[</w:t>
            </w:r>
            <w:r>
              <w:t xml:space="preserve">1</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Anand &amp; Singh</w:t>
            </w:r>
            <w:r>
              <w:t xml:space="preserve"> </w:t>
            </w:r>
            <w:r>
              <w:t xml:space="preserve">[</w:t>
            </w:r>
            <w:r>
              <w:t xml:space="preserve">2</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Gull et al.</w:t>
            </w:r>
            <w:r>
              <w:t xml:space="preserve"> </w:t>
            </w:r>
            <w:r>
              <w:t xml:space="preserve">[</w:t>
            </w:r>
            <w:r>
              <w:t xml:space="preserve">4</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Singh et al.</w:t>
            </w:r>
            <w:r>
              <w:t xml:space="preserve"> </w:t>
            </w:r>
            <w:r>
              <w:t xml:space="preserve">[</w:t>
            </w:r>
            <w:r>
              <w:t xml:space="preserve">5</w:t>
            </w:r>
            <w:r>
              <w:t xml:space="preserve">]</w:t>
            </w:r>
          </w:p>
        </w:tc>
        <w:tc>
          <w:tcPr/>
          <w:p>
            <w:pPr>
              <w:pStyle w:val="Compact"/>
              <w:jc w:val="left"/>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pPr>
          </w:p>
        </w:tc>
      </w:tr>
      <w:tr>
        <w:tc>
          <w:tcPr/>
          <w:p>
            <w:pPr>
              <w:pStyle w:val="Compact"/>
              <w:jc w:val="left"/>
            </w:pPr>
            <w:r>
              <w:rPr>
                <w:b/>
                <w:bCs/>
              </w:rPr>
              <w:t xml:space="preserve">SecureMark-Med</w:t>
            </w:r>
          </w:p>
        </w:tc>
        <w:tc>
          <w:tcPr/>
          <w:p>
            <w:pPr>
              <w:pStyle w:val="Compact"/>
              <w:jc w:val="left"/>
            </w:pPr>
            <m:oMath>
              <m:r>
                <m:rPr>
                  <m:sty m:val="p"/>
                </m:rPr>
                <m:t>✓</m:t>
              </m:r>
            </m:oMath>
            <w:r>
              <w:t xml:space="preserve">​</w:t>
            </w:r>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pPr>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533900" cy="1509166"/>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4533900" cy="1646065"/>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533900" cy="1646065"/>
                    </a:xfrm>
                    <a:prstGeom prst="rect">
                      <a:avLst/>
                    </a:prstGeom>
                    <a:noFill/>
                    <a:ln w="9525">
                      <a:noFill/>
                      <a:headEnd/>
                      <a:tailEnd/>
                    </a:ln>
                  </pic:spPr>
                </pic:pic>
              </a:graphicData>
            </a:graphic>
          </wp:inline>
        </w:drawing>
      </w:r>
    </w:p>
    <w:p>
      <w:pPr>
        <w:pStyle w:val="ImageCaption"/>
      </w:pPr>
      <w:r>
        <w:t xml:space="preserve">Visual fidelity comparison on a separate, illustrative</w:t>
      </w:r>
      <w:r>
        <w:t xml:space="preserve"> </w:t>
      </w:r>
      <m:oMath>
        <m:r>
          <m:t>128</m:t>
        </m:r>
        <m:r>
          <m:rPr>
            <m:sty m:val="p"/>
          </m:rPr>
          <m:t>×</m:t>
        </m:r>
        <m:r>
          <m:t>128</m:t>
        </m:r>
      </m:oMath>
      <w:r>
        <w:t xml:space="preserve"> </w:t>
      </w:r>
      <w:r>
        <w:t xml:space="preserve">sample demonstrating (a) original matrix, (b) watermarked slice with embedded provenance, and (c) an amplified difference residual map (</w:t>
      </w:r>
      <m:oMath>
        <m:r>
          <m:rPr>
            <m:sty m:val="p"/>
          </m:rPr>
          <m:t>|</m:t>
        </m:r>
        <m:r>
          <m:t>​</m:t>
        </m:r>
        <m:r>
          <m:t>I</m:t>
        </m:r>
        <m:r>
          <m:rPr>
            <m:sty m:val="p"/>
          </m:rPr>
          <m:t>−</m:t>
        </m:r>
        <m:sSub>
          <m:e>
            <m:r>
              <m:t>I</m:t>
            </m:r>
          </m:e>
          <m:sub>
            <m:r>
              <m:t>w</m:t>
            </m:r>
          </m:sub>
        </m:sSub>
        <m:r>
          <m:rPr>
            <m:sty m:val="p"/>
          </m:rPr>
          <m:t>|</m:t>
        </m:r>
        <m:r>
          <m:t>​</m:t>
        </m:r>
        <m:r>
          <m:rPr>
            <m:sty m:val="p"/>
          </m:rPr>
          <m:t>×</m:t>
        </m:r>
        <m:r>
          <m:t>100</m:t>
        </m:r>
      </m:oMath>
      <w:r>
        <w:t xml:space="preserve">). Note that the localized</w:t>
      </w:r>
      <w:r>
        <w:t xml:space="preserve"> </w:t>
      </w:r>
      <m:oMath>
        <m:r>
          <m:t>88.17</m:t>
        </m:r>
        <m:r>
          <m:t> </m:t>
        </m:r>
        <m:r>
          <m:rPr>
            <m:nor/>
            <m:sty m:val="p"/>
          </m:rPr>
          <m:t>dB</m:t>
        </m:r>
      </m:oMath>
      <w:r>
        <w:t xml:space="preserve"> </w:t>
      </w:r>
      <w:r>
        <w:t xml:space="preserve">PSNR shown here differs from the full-scale</w:t>
      </w:r>
      <w:r>
        <w:t xml:space="preserve"> </w:t>
      </w:r>
      <m:oMath>
        <m:r>
          <m:t>512</m:t>
        </m:r>
        <m:r>
          <m:rPr>
            <m:sty m:val="p"/>
          </m:rPr>
          <m:t>×</m:t>
        </m:r>
        <m:r>
          <m:t>512</m:t>
        </m:r>
      </m:oMath>
      <w:r>
        <w:t xml:space="preserve"> </w:t>
      </w:r>
      <w:r>
        <w:t xml:space="preserve">dataset evaluations in Table </w:t>
      </w:r>
      <w:hyperlink w:anchor="tab:dataset_fidelity">
        <w:r>
          <w:rPr>
            <w:rStyle w:val="Hyperlink"/>
          </w:rPr>
          <w:t xml:space="preserve">2</w:t>
        </w:r>
      </w:hyperlink>
      <w:r>
        <w:t xml:space="preserve">.</w:t>
      </w:r>
    </w:p>
    <w:bookmarkEnd w:id="28"/>
    <w:p>
      <w:pPr>
        <w:pStyle w:val="BodyText"/>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533900" cy="1509166"/>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2026-09-18T17:20:17Z</dcterms:created>
  <dcterms:modified xsi:type="dcterms:W3CDTF">2026-09-18T17:20:17Z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