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SecureMark-Med: A Lightweight Watermark-Assisted Cryptographic</w:t>
      </w:r>
      <w:r>
        <w:t xml:space="preserve"> </w:t>
      </w:r>
      <w:r>
        <w:t xml:space="preserve">Framework for Provenance-Preserving Medical Telemetry in 5G Healthcare</w:t>
      </w:r>
      <w:r>
        <w:t xml:space="preserve"> </w:t>
      </w:r>
      <w:r>
        <w:t xml:space="preserve">Networks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When a 5G-connected ambulance streams a trauma patient’s CT scan to a</w:t>
      </w:r>
      <w:r>
        <w:t xml:space="preserve"> </w:t>
      </w:r>
      <w:r>
        <w:t xml:space="preserve">hospital’s PACS server, the image usually arrives encrypted—but stripped</w:t>
      </w:r>
      <w:r>
        <w:t xml:space="preserve"> </w:t>
      </w:r>
      <w:r>
        <w:t xml:space="preserve">of any way to prove, after decryption, that it is the same image the</w:t>
      </w:r>
      <w:r>
        <w:t xml:space="preserve"> </w:t>
      </w:r>
      <w:r>
        <w:t xml:space="preserve">ambulance sent. A single flipped bit, an injected artifact, or a delayed</w:t>
      </w:r>
      <w:r>
        <w:t xml:space="preserve"> </w:t>
      </w:r>
      <w:r>
        <w:t xml:space="preserve">replay can silently reach the reading radiologist, and classical AES/SHA</w:t>
      </w:r>
      <w:r>
        <w:t xml:space="preserve"> </w:t>
      </w:r>
      <w:r>
        <w:t xml:space="preserve">pipelines have no mechanism left to catch it once the cryptographic envelope</w:t>
      </w:r>
      <w:r>
        <w:t xml:space="preserve"> </w:t>
      </w:r>
      <w:r>
        <w:t xml:space="preserve">is removed. This paper introduces</w:t>
      </w:r>
      <w:r>
        <w:t xml:space="preserve"> </w:t>
      </w:r>
      <w:r>
        <w:rPr>
          <w:b/>
          <w:bCs/>
        </w:rPr>
        <w:t xml:space="preserve">SecureMark-Med</w:t>
      </w:r>
      <w:r>
        <w:t xml:space="preserve">, a lightweight</w:t>
      </w:r>
      <w:r>
        <w:t xml:space="preserve"> </w:t>
      </w:r>
      <w:r>
        <w:t xml:space="preserve">framework that keeps a tamper-evident fingerprint alive on the far side of</w:t>
      </w:r>
      <w:r>
        <w:t xml:space="preserve"> </w:t>
      </w:r>
      <w:r>
        <w:t xml:space="preserve">decryption. It embeds patient, device, and timestamp metadata directly into</w:t>
      </w:r>
      <w:r>
        <w:t xml:space="preserve"> </w:t>
      </w:r>
      <w:r>
        <w:t xml:space="preserve">the DICOM pixel matrix via least-significant-bit (LSB) watermarking, binds</w:t>
      </w:r>
      <w:r>
        <w:t xml:space="preserve"> </w:t>
      </w:r>
      <w:r>
        <w:t xml:space="preserve">that watermark to a keyed BLAKE3 integrity token, and wraps the result in</w:t>
      </w:r>
      <w:r>
        <w:t xml:space="preserve"> </w:t>
      </w:r>
      <w:r>
        <w:t xml:space="preserve">ChaCha20-Poly1305 authenticated encryption—a pairing chosen specifically</w:t>
      </w:r>
      <w:r>
        <w:t xml:space="preserve"> </w:t>
      </w:r>
      <w:r>
        <w:t xml:space="preserve">because it runs efficiently on edge gateways that lack AES-NI hardware</w:t>
      </w:r>
      <w:r>
        <w:t xml:space="preserve"> </w:t>
      </w:r>
      <w:r>
        <w:t xml:space="preserve">acceleration. A receiver-side replay window closes the remaining gap against</w:t>
      </w:r>
      <w:r>
        <w:t xml:space="preserve"> </w:t>
      </w:r>
      <w:r>
        <w:t xml:space="preserve">delayed or duplicated packets. On a Raspberry Pi 4 edge node, the pipeline</w:t>
      </w:r>
      <w:r>
        <w:t xml:space="preserve"> </w:t>
      </w:r>
      <w:r>
        <w:t xml:space="preserve">completed encryption in</w:t>
      </w:r>
      <w:r>
        <w:t xml:space="preserve"> </w:t>
      </w:r>
      <m:oMath>
        <m:r>
          <m:t>28.61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and integrity verification in</w:t>
      </w:r>
      <w:r>
        <w:t xml:space="preserve"> </w:t>
      </w:r>
      <m:oMath>
        <m:r>
          <m:t>11.92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, roughly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faster than an AES-256/HMAC-SHA256</w:t>
      </w:r>
      <w:r>
        <w:t xml:space="preserve"> </w:t>
      </w:r>
      <w:r>
        <w:t xml:space="preserve">baseline, while preserving diagnostic image quality (</w:t>
      </w:r>
      <m:oMath>
        <m:r>
          <m:rPr>
            <m:nor/>
            <m:sty m:val="p"/>
          </m:rPr>
          <m:t>PSNR</m:t>
        </m:r>
        <m:r>
          <m:rPr>
            <m:sty m:val="p"/>
          </m:rPr>
          <m:t>&gt;</m:t>
        </m:r>
        <m:r>
          <m:t>51.4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SSIM</m:t>
        </m:r>
        <m:r>
          <m:rPr>
            <m:sty m:val="p"/>
          </m:rPr>
          <m:t>&gt;</m:t>
        </m:r>
        <m:r>
          <m:t>0.999</m:t>
        </m:r>
      </m:oMath>
      <w:r>
        <w:t xml:space="preserve">). We detail the design, the threat model it addresses,</w:t>
      </w:r>
      <w:r>
        <w:t xml:space="preserve"> </w:t>
      </w:r>
      <w:r>
        <w:t xml:space="preserve">and where its guarantees stop—because a fragile watermark is a provenance</w:t>
      </w:r>
      <w:r>
        <w:t xml:space="preserve"> </w:t>
      </w:r>
      <w:r>
        <w:t xml:space="preserve">tool, not a cryptographic one.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Fifth-generation (5G) ultra-reliable low-latency communication is</w:t>
      </w:r>
      <w:r>
        <w:t xml:space="preserve"> </w:t>
      </w:r>
      <w:r>
        <w:t xml:space="preserve">increasingly used to link mobile emergency units—smart ambulances—directly</w:t>
      </w:r>
      <w:r>
        <w:t xml:space="preserve"> </w:t>
      </w:r>
      <w:r>
        <w:t xml:space="preserve">to hospital trauma teams, streaming vitals and diagnostic imagery (CT, X-ray,</w:t>
      </w:r>
      <w:r>
        <w:t xml:space="preserve"> </w:t>
      </w:r>
      <w:r>
        <w:t xml:space="preserve">ultrasound) in standard DICOM form before the patient even arrives. This immediacy is clinically valuable, but it</w:t>
      </w:r>
      <w:r>
        <w:t xml:space="preserve"> </w:t>
      </w:r>
      <w:r>
        <w:t xml:space="preserve">exposes imaging data to interception, tampering, and replay on shared</w:t>
      </w:r>
      <w:r>
        <w:t xml:space="preserve"> </w:t>
      </w:r>
      <w:r>
        <w:t xml:space="preserve">wireless channels. In medical contexts the stakes are</w:t>
      </w:r>
      <w:r>
        <w:t xml:space="preserve"> </w:t>
      </w:r>
      <w:r>
        <w:t xml:space="preserve">unusually high: a handful of altered pixels can obscure a lesion or fabricate</w:t>
      </w:r>
      <w:r>
        <w:t xml:space="preserve"> </w:t>
      </w:r>
      <w:r>
        <w:t xml:space="preserve">one, with direct consequences for diagnosis.</w:t>
      </w:r>
    </w:p>
    <w:p>
      <w:pPr>
        <w:pStyle w:val="BodyText"/>
      </w:pPr>
      <w:r>
        <w:t xml:space="preserve">Symmetric encryption is the default transport defence, but it has three</w:t>
      </w:r>
      <w:r>
        <w:t xml:space="preserve"> </w:t>
      </w:r>
      <w:r>
        <w:t xml:space="preserve">practical shortcomings in this setting: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Provenance ends at decryption.</w:t>
      </w:r>
      <w:r>
        <w:t xml:space="preserve"> </w:t>
      </w:r>
      <w:r>
        <w:t xml:space="preserve">Once a hospital PACS</w:t>
      </w:r>
      <w:r>
        <w:t xml:space="preserve"> </w:t>
      </w:r>
      <w:r>
        <w:t xml:space="preserve">workstation decrypts the payload, the cryptographic envelope is gone. Nothing in the plaintext itself can later prove</w:t>
      </w:r>
      <w:r>
        <w:t xml:space="preserve"> </w:t>
      </w:r>
      <w:r>
        <w:t xml:space="preserve">it is unaltered or trace it to its source device.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Edge gateways are computationally constrained.</w:t>
      </w:r>
      <w:r>
        <w:t xml:space="preserve"> </w:t>
      </w:r>
      <w:r>
        <w:t xml:space="preserve">Portable</w:t>
      </w:r>
      <w:r>
        <w:t xml:space="preserve"> </w:t>
      </w:r>
      <w:r>
        <w:t xml:space="preserve">ambulance-side IoT hardware frequently lacks dedicated cryptographic</w:t>
      </w:r>
      <w:r>
        <w:t xml:space="preserve"> </w:t>
      </w:r>
      <w:r>
        <w:t xml:space="preserve">coprocessors, making multi-round block ciphers disproportionately expensive</w:t>
      </w:r>
      <w:r>
        <w:t xml:space="preserve"> </w:t>
      </w:r>
      <w:r>
        <w:t xml:space="preserve">on battery-powered edge devices.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Serial hashing bottlenecks high-resolution telemetry.</w:t>
      </w:r>
      <w:r>
        <w:t xml:space="preserve"> </w:t>
      </w:r>
      <w:r>
        <w:t xml:space="preserve">Traditional hash algorithms process data sequentially, introducing latency</w:t>
      </w:r>
      <w:r>
        <w:t xml:space="preserve"> </w:t>
      </w:r>
      <w:r>
        <w:t xml:space="preserve">spikes on multi-megabyte volumetric scans.</w:t>
      </w:r>
    </w:p>
    <w:p>
      <w:pPr>
        <w:pStyle w:val="FirstParagraph"/>
      </w:pPr>
      <w:r>
        <w:t xml:space="preserve">SecureMark-Med addresses these gaps by keeping a verifiable fingerprint</w:t>
      </w:r>
      <w:r>
        <w:t xml:space="preserve"> </w:t>
      </w:r>
      <w:r>
        <w:t xml:space="preserve">embedded in the image itself, rather than relying solely on the transport-layer</w:t>
      </w:r>
      <w:r>
        <w:t xml:space="preserve"> </w:t>
      </w:r>
      <w:r>
        <w:t xml:space="preserve">envelope. Its contributions are:</w:t>
      </w:r>
    </w:p>
    <w:p>
      <w:pPr>
        <w:numPr>
          <w:ilvl w:val="0"/>
          <w:numId w:val="1002"/>
        </w:numPr>
      </w:pPr>
      <w:r>
        <w:t xml:space="preserve">An LSB watermarking scheme that binds patient ID, hospital code,</w:t>
      </w:r>
      <w:r>
        <w:t xml:space="preserve"> </w:t>
      </w:r>
      <w:r>
        <w:t xml:space="preserve">device ID, and timestamp directly to the DICOM pixel array with bounded,</w:t>
      </w:r>
      <w:r>
        <w:t xml:space="preserve"> </w:t>
      </w:r>
      <w:r>
        <w:t xml:space="preserve">sub-perceptible distortion.</w:t>
      </w:r>
    </w:p>
    <w:p>
      <w:pPr>
        <w:numPr>
          <w:ilvl w:val="0"/>
          <w:numId w:val="1002"/>
        </w:numPr>
      </w:pPr>
      <w:r>
        <w:t xml:space="preserve">A keyed BLAKE3 tree-hash integrity token that couples the watermark</w:t>
      </w:r>
      <w:r>
        <w:t xml:space="preserve"> </w:t>
      </w:r>
      <w:r>
        <w:t xml:space="preserve">to the image bytes, so an attacker must defeat both simultaneously.</w:t>
      </w:r>
    </w:p>
    <w:p>
      <w:pPr>
        <w:numPr>
          <w:ilvl w:val="0"/>
          <w:numId w:val="1002"/>
        </w:numPr>
      </w:pPr>
      <w:r>
        <w:t xml:space="preserve">A ChaCha20-Poly1305 AEAD transport layer chosen for its software-only,</w:t>
      </w:r>
      <w:r>
        <w:t xml:space="preserve"> </w:t>
      </w:r>
      <w:r>
        <w:t xml:space="preserve">ARX-based performance profile on hardware without cryptographic acceleration.</w:t>
      </w:r>
    </w:p>
    <w:p>
      <w:pPr>
        <w:numPr>
          <w:ilvl w:val="0"/>
          <w:numId w:val="1002"/>
        </w:numPr>
      </w:pPr>
      <w:r>
        <w:t xml:space="preserve">A bounded replay window (</w:t>
      </w:r>
      <m:oMath>
        <m:r>
          <m:rPr>
            <m:sty m:val="p"/>
          </m:rPr>
          <m:t>±</m:t>
        </m:r>
        <m:r>
          <m:t>30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) enforced at the receiver</w:t>
      </w:r>
      <w:r>
        <w:t xml:space="preserve"> </w:t>
      </w:r>
      <w:r>
        <w:t xml:space="preserve">to reject delayed or duplicated packets.</w:t>
      </w:r>
    </w:p>
    <w:bookmarkEnd w:id="9"/>
    <w:bookmarkStart w:id="11" w:name="related-work"/>
    <w:p>
      <w:pPr>
        <w:pStyle w:val="Heading1"/>
      </w:pPr>
      <w:r>
        <w:t xml:space="preserve">Related Work</w:t>
      </w:r>
    </w:p>
    <w:p>
      <w:pPr>
        <w:pStyle w:val="FirstParagraph"/>
      </w:pPr>
      <w:r>
        <w:t xml:space="preserve">Digital watermarking for medical images has matured considerably as a way to</w:t>
      </w:r>
      <w:r>
        <w:t xml:space="preserve"> </w:t>
      </w:r>
      <w:r>
        <w:t xml:space="preserve">bind provenance metadata to pixel data without relying purely on an external</w:t>
      </w:r>
      <w:r>
        <w:t xml:space="preserve"> </w:t>
      </w:r>
      <w:r>
        <w:t xml:space="preserve">envelope. Memon and Alzahrani [1] used prediction-error</w:t>
      </w:r>
      <w:r>
        <w:t xml:space="preserve"> </w:t>
      </w:r>
      <w:r>
        <w:t xml:space="preserve">expansion for reversible watermarking of CT scans, prioritising exact</w:t>
      </w:r>
      <w:r>
        <w:t xml:space="preserve"> </w:t>
      </w:r>
      <w:r>
        <w:t xml:space="preserve">pixel-level recoverability at the cost of embedding capacity. Al-Qershi</w:t>
      </w:r>
      <w:r>
        <w:t xml:space="preserve"> </w:t>
      </w:r>
      <w:r>
        <w:t xml:space="preserve">[2] developed a dual-layer reversible protection scheme for</w:t>
      </w:r>
      <w:r>
        <w:t xml:space="preserve"> </w:t>
      </w:r>
      <w:r>
        <w:t xml:space="preserve">DICOM images, but did not integrate lightweight network transport ciphers.</w:t>
      </w:r>
      <w:r>
        <w:t xml:space="preserve"> </w:t>
      </w:r>
      <w:r>
        <w:t xml:space="preserve">Anand and Singh [3] fused multiple modalities (MRI and CT)</w:t>
      </w:r>
      <w:r>
        <w:t xml:space="preserve"> </w:t>
      </w:r>
      <w:r>
        <w:t xml:space="preserve">before watermark embedding, improving robustness for composite records but</w:t>
      </w:r>
      <w:r>
        <w:t xml:space="preserve"> </w:t>
      </w:r>
      <w:r>
        <w:t xml:space="preserve">adding preprocessing overhead unsuitable for real-time ambulance-side</w:t>
      </w:r>
      <w:r>
        <w:t xml:space="preserve"> </w:t>
      </w:r>
      <w:r>
        <w:t xml:space="preserve">transmission. Alzahrani and Memon [4] extended this to a</w:t>
      </w:r>
      <w:r>
        <w:t xml:space="preserve"> </w:t>
      </w:r>
      <w:r>
        <w:t xml:space="preserve">blind, hybrid-domain scheme aimed at copyright protection rather than tamper</w:t>
      </w:r>
      <w:r>
        <w:t xml:space="preserve"> </w:t>
      </w:r>
      <w:r>
        <w:t xml:space="preserve">localisation. Mata-Mendoza et al. [5] structured dual</w:t>
      </w:r>
      <w:r>
        <w:t xml:space="preserve"> </w:t>
      </w:r>
      <w:r>
        <w:t xml:space="preserve">watermarking for telemedicine, though without sub-millisecond integrity</w:t>
      </w:r>
      <w:r>
        <w:t xml:space="preserve"> </w:t>
      </w:r>
      <w:r>
        <w:t xml:space="preserve">hashing. Novamizanti et al. [6] advanced imperceptible</w:t>
      </w:r>
      <w:r>
        <w:t xml:space="preserve"> </w:t>
      </w:r>
      <w:r>
        <w:t xml:space="preserve">spatial embedding using coefficient-pair modification, while Gull et al. [7] proposed a self-embedding technique for tamper localisation</w:t>
      </w:r>
      <w:r>
        <w:t xml:space="preserve"> </w:t>
      </w:r>
      <w:r>
        <w:t xml:space="preserve">and recovery.</w:t>
      </w:r>
    </w:p>
    <w:p>
      <w:pPr>
        <w:pStyle w:val="BodyText"/>
      </w:pPr>
      <w:r>
        <w:t xml:space="preserve">Singh et al. [8] specifically targeted edge-enabled</w:t>
      </w:r>
      <w:r>
        <w:t xml:space="preserve"> </w:t>
      </w:r>
      <w:r>
        <w:t xml:space="preserve">e-healthcare watermarking, reporting persistent latency challenges during</w:t>
      </w:r>
      <w:r>
        <w:t xml:space="preserve"> </w:t>
      </w:r>
      <w:r>
        <w:t xml:space="preserve">real-time image transfer—a constraint SecureMark-Med addresses directly by</w:t>
      </w:r>
      <w:r>
        <w:t xml:space="preserve"> </w:t>
      </w:r>
      <w:r>
        <w:t xml:space="preserve">replacing AES/SHA with ARX-based primitives. Tayachi et al. [9] designed a hybrid ROI/RONI scheme for DICOM integrity,</w:t>
      </w:r>
      <w:r>
        <w:t xml:space="preserve"> </w:t>
      </w:r>
      <w:r>
        <w:t xml:space="preserve">yet handled encryption and provenance verification through separate passes.</w:t>
      </w:r>
      <w:r>
        <w:t xml:space="preserve"> </w:t>
      </w:r>
      <w:r>
        <w:t xml:space="preserve">Abirami and Malathy [10] demonstrated chaos-based</w:t>
      </w:r>
      <w:r>
        <w:t xml:space="preserve"> </w:t>
      </w:r>
      <w:r>
        <w:t xml:space="preserve">encryption combined with deep-learning watermarking for DICOM transmission,</w:t>
      </w:r>
      <w:r>
        <w:t xml:space="preserve"> </w:t>
      </w:r>
      <w:r>
        <w:t xml:space="preserve">but lacked an explicit replay defence. Mahmood et al. [11]</w:t>
      </w:r>
      <w:r>
        <w:t xml:space="preserve"> </w:t>
      </w:r>
      <w:r>
        <w:t xml:space="preserve">surveyed open challenges across IoMT image security, emphasising the scarcity</w:t>
      </w:r>
      <w:r>
        <w:t xml:space="preserve"> </w:t>
      </w:r>
      <w:r>
        <w:t xml:space="preserve">of unified end-to-end architectures. Singh et al. [12]</w:t>
      </w:r>
      <w:r>
        <w:t xml:space="preserve"> </w:t>
      </w:r>
      <w:r>
        <w:t xml:space="preserve">demonstrated robust watermarking for IoMT endpoints with rigorous imperceptibility</w:t>
      </w:r>
      <w:r>
        <w:t xml:space="preserve"> </w:t>
      </w:r>
      <w:r>
        <w:t xml:space="preserve">metrics, while Jasim and Hadi [13] confirmed that</w:t>
      </w:r>
      <w:r>
        <w:t xml:space="preserve"> </w:t>
      </w:r>
      <w:r>
        <w:t xml:space="preserve">BLAKE3-based consensus achieves a 66 % latency reduction over SHA-256 in</w:t>
      </w:r>
      <w:r>
        <w:t xml:space="preserve"> </w:t>
      </w:r>
      <w:r>
        <w:t xml:space="preserve">Proof-of-Stake blockchains—evidence of the hash function’s practical</w:t>
      </w:r>
      <w:r>
        <w:t xml:space="preserve"> </w:t>
      </w:r>
      <w:r>
        <w:t xml:space="preserve">throughput advantage. Wallace et al. [14] investigated</w:t>
      </w:r>
      <w:r>
        <w:t xml:space="preserve"> </w:t>
      </w:r>
      <w:r>
        <w:t xml:space="preserve">DNA-based dual-layer steganography for medical telemetry, and Balas et al. [15] demonstrated ARX-cipher dominance over AES on</w:t>
      </w:r>
      <w:r>
        <w:t xml:space="preserve"> </w:t>
      </w:r>
      <w:r>
        <w:t xml:space="preserve">constrained nodes. Additional evaluations by Devi et al. [16]</w:t>
      </w:r>
      <w:r>
        <w:t xml:space="preserve"> </w:t>
      </w:r>
      <w:r>
        <w:t xml:space="preserve">and Kumar et al. [17] highlight the need for sub-second</w:t>
      </w:r>
      <w:r>
        <w:t xml:space="preserve"> </w:t>
      </w:r>
      <w:r>
        <w:t xml:space="preserve">end-to-end verification in live IoMT pipelines.</w:t>
      </w:r>
    </w:p>
    <w:p>
      <w:pPr>
        <w:pStyle w:val="BodyText"/>
      </w:pPr>
      <w:r>
        <w:t xml:space="preserve">For the underlying primitives: BLAKE3 [18] is a</w:t>
      </w:r>
      <w:r>
        <w:t xml:space="preserve"> </w:t>
      </w:r>
      <w:r>
        <w:t xml:space="preserve">tree-structured hash function that partitions input into parallel chunks,</w:t>
      </w:r>
      <w:r>
        <w:t xml:space="preserve"> </w:t>
      </w:r>
      <w:r>
        <w:t xml:space="preserve">enabling multi-core throughput unavailable to serial hash functions.</w:t>
      </w:r>
      <w:r>
        <w:t xml:space="preserve"> </w:t>
      </w:r>
      <w:r>
        <w:t xml:space="preserve">ChaCha20-Poly1305 is standardised by the IETF [19] as an Addition-</w:t>
      </w:r>
      <w:r>
        <w:t xml:space="preserve"> </w:t>
      </w:r>
      <w:r>
        <w:t xml:space="preserve">Rotation-XOR (ARX) stream cipher with a Poly1305 authenticator, valued for</w:t>
      </w:r>
      <w:r>
        <w:t xml:space="preserve"> </w:t>
      </w:r>
      <w:r>
        <w:t xml:space="preserve">efficient software execution on processors without dedicated AES acceleration.</w:t>
      </w:r>
      <w:r>
        <w:t xml:space="preserve"> </w:t>
      </w:r>
      <w:r>
        <w:t xml:space="preserve">DICOM is standardised by NEMA [20] as the interchange format</w:t>
      </w:r>
      <w:r>
        <w:t xml:space="preserve"> </w:t>
      </w:r>
      <w:r>
        <w:t xml:space="preserve">for the CT, MR, and radiograph instances used in our evaluation, and general</w:t>
      </w:r>
      <w:r>
        <w:t xml:space="preserve"> </w:t>
      </w:r>
      <w:r>
        <w:t xml:space="preserve">key-management constraints follow NIST SP 800-57 [21].</w:t>
      </w:r>
    </w:p>
    <w:p>
      <w:pPr>
        <w:pStyle w:val="BodyText"/>
      </w:pPr>
      <w:r>
        <w:t xml:space="preserve">Watermark insertion left average PSNR above</w:t>
      </w:r>
      <w:r>
        <w:t xml:space="preserve"> </w:t>
      </w:r>
      <m:oMath>
        <m:r>
          <m:t>51.4</m:t>
        </m:r>
        <m:r>
          <m:t> </m:t>
        </m:r>
        <m:r>
          <m:rPr>
            <m:nor/>
            <m:sty m:val="p"/>
          </m:rPr>
          <m:t>dB</m:t>
        </m:r>
      </m:oMath>
      <w:r>
        <w:t xml:space="preserve"> </w:t>
      </w:r>
      <w:r>
        <w:t xml:space="preserve">and SSIM at</w:t>
      </w:r>
      <w:r>
        <w:t xml:space="preserve"> </w:t>
      </w:r>
      <m:oMath>
        <m:r>
          <m:t>0.9998</m:t>
        </m:r>
      </m:oMath>
      <w:r>
        <w:t xml:space="preserve">, well within the range considered diagnostically transparent for the</w:t>
      </w:r>
      <w:r>
        <w:t xml:space="preserve"> </w:t>
      </w:r>
      <w:r>
        <w:t xml:space="preserve">tested modalities.</w:t>
      </w:r>
    </w:p>
    <w:bookmarkStart w:id="10" w:name="subsec:robustness"/>
    <w:p>
      <w:pPr>
        <w:pStyle w:val="Heading2"/>
      </w:pPr>
      <w:r>
        <w:t xml:space="preserve">Robustness Caveat</w:t>
      </w:r>
    </w:p>
    <w:p>
      <w:pPr>
        <w:pStyle w:val="FirstParagraph"/>
      </w:pPr>
      <w:r>
        <w:t xml:space="preserve">Under simulated channel distortion (Gaussian noise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0.05</m:t>
        </m:r>
      </m:oMath>
      <w:r>
        <w:t xml:space="preserve">, 25%</w:t>
      </w:r>
      <w:r>
        <w:t xml:space="preserve"> </w:t>
      </w:r>
      <w:r>
        <w:t xml:space="preserve">spatial cropping, 50% JPEG compression), unauthorised modification triggered</w:t>
      </w:r>
      <w:r>
        <w:t xml:space="preserve"> </w:t>
      </w:r>
      <w:r>
        <w:t xml:space="preserve">detection in</w:t>
      </w:r>
      <w:r>
        <w:t xml:space="preserve"> </w:t>
      </w:r>
      <m:oMath>
        <m:r>
          <m:rPr>
            <m:sty m:val="p"/>
          </m:rPr>
          <m:t>≥</m:t>
        </m:r>
        <m:r>
          <m:t> </m:t>
        </m:r>
        <m:r>
          <m:t>94.26</m:t>
        </m:r>
        <m:r>
          <m:rPr>
            <m:sty m:val="p"/>
          </m:rPr>
          <m:t>%</m:t>
        </m:r>
      </m:oMath>
      <w:r>
        <w:t xml:space="preserve"> </w:t>
      </w:r>
      <w:r>
        <w:t xml:space="preserve">of geometric-shearing cases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direct bit-flip cases. It is important to be precise about what this measures:</w:t>
      </w:r>
      <w:r>
        <w:t xml:space="preserve"> </w:t>
      </w:r>
      <w:r>
        <w:t xml:space="preserve">LSB watermarking is a</w:t>
      </w:r>
      <w:r>
        <w:t xml:space="preserve"> </w:t>
      </w:r>
      <w:r>
        <w:rPr>
          <w:i/>
          <w:iCs/>
        </w:rPr>
        <w:t xml:space="preserve">fragile</w:t>
      </w:r>
      <w:r>
        <w:t xml:space="preserve"> </w:t>
      </w:r>
      <w:r>
        <w:t xml:space="preserve">scheme by design—it is not intended to</w:t>
      </w:r>
      <w:r>
        <w:t xml:space="preserve"> </w:t>
      </w:r>
      <w:r>
        <w:t xml:space="preserve">survive lossy compression, and its</w:t>
      </w:r>
      <w:r>
        <w:t xml:space="preserve"> </w:t>
      </w:r>
      <w:r>
        <w:t xml:space="preserve">“detection”</w:t>
      </w:r>
      <w:r>
        <w:t xml:space="preserve"> </w:t>
      </w:r>
      <w:r>
        <w:t xml:space="preserve">under compression is often</w:t>
      </w:r>
      <w:r>
        <w:t xml:space="preserve"> </w:t>
      </w:r>
      <w:r>
        <w:t xml:space="preserve">the watermark being destroyed alongside legitimate signal, which the pipeline</w:t>
      </w:r>
      <w:r>
        <w:t xml:space="preserve"> </w:t>
      </w:r>
      <w:r>
        <w:t xml:space="preserve">correctly flags as a mismatch but cannot distinguish from benign re-encoding.</w:t>
      </w:r>
      <w:r>
        <w:t xml:space="preserve"> </w:t>
      </w:r>
      <w:r>
        <w:t xml:space="preserve">Cryptographic tamper-evidence in this framework comes from the</w:t>
      </w:r>
      <w:r>
        <w:t xml:space="preserve"> </w:t>
      </w:r>
      <w:r>
        <w:t xml:space="preserve">BLAKE3/ChaCha20-Poly1305 layer; the watermark’s role is provenance labelling,</w:t>
      </w:r>
      <w:r>
        <w:t xml:space="preserve"> </w:t>
      </w:r>
      <w:r>
        <w:t xml:space="preserve">not the primary security guarantee.</w:t>
      </w:r>
    </w:p>
    <w:bookmarkEnd w:id="10"/>
    <w:bookmarkEnd w:id="11"/>
    <w:bookmarkStart w:id="12" w:name="security-analysis-and-conclusion"/>
    <w:p>
      <w:pPr>
        <w:pStyle w:val="Heading1"/>
      </w:pPr>
      <w:r>
        <w:t xml:space="preserve">Security Analysis and Conclusion</w:t>
      </w:r>
    </w:p>
    <w:p>
      <w:pPr>
        <w:pStyle w:val="FirstParagraph"/>
      </w:pPr>
      <w:r>
        <w:t xml:space="preserve">An adversary who alters image bytes in transit fails Poly1305 authentication</w:t>
      </w:r>
      <w:r>
        <w:t xml:space="preserve"> </w:t>
      </w:r>
      <w:r>
        <w:t xml:space="preserve">and is rejected before decryption completes. An adversary who re-injects a</w:t>
      </w:r>
      <w:r>
        <w:t xml:space="preserve"> </w:t>
      </w:r>
      <w:r>
        <w:t xml:space="preserve">valid plaintext later is caught by the</w:t>
      </w:r>
      <w:r>
        <w:t xml:space="preserve"> </w:t>
      </w:r>
      <m:oMath>
        <m:r>
          <m:rPr>
            <m:sty m:val="p"/>
          </m:rPr>
          <m:t>±</m:t>
        </m:r>
        <m:r>
          <m:t>30</m:t>
        </m:r>
        <m:r>
          <m:t> </m:t>
        </m:r>
        <m:r>
          <m:rPr>
            <m:nor/>
            <m:sty m:val="p"/>
          </m:rPr>
          <m:t>s</m:t>
        </m:r>
      </m:oMath>
      <w:r>
        <w:t xml:space="preserve"> </w:t>
      </w:r>
      <w:r>
        <w:t xml:space="preserve">replay window. An</w:t>
      </w:r>
      <w:r>
        <w:t xml:space="preserve"> </w:t>
      </w:r>
      <w:r>
        <w:t xml:space="preserve">adversary with white-box access to a decrypted image who tries to forge</w:t>
      </w:r>
      <w:r>
        <w:t xml:space="preserve"> </w:t>
      </w:r>
      <w:r>
        <w:t xml:space="preserve">provenance must simultaneously reproduce a valid BLAKE3 token under an</w:t>
      </w:r>
      <w:r>
        <w:t xml:space="preserve"> </w:t>
      </w:r>
      <w:r>
        <w:t xml:space="preserve">unknown 256-bit key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 LSB pattern consistent with</w:t>
      </w:r>
      <w:r>
        <w:t xml:space="preserve"> </w:t>
      </w:r>
      <m:oMath>
        <m:sSub>
          <m:e>
            <m:r>
              <m:t>W</m:t>
            </m:r>
          </m:e>
          <m:sub>
            <m:r>
              <m:t>e</m:t>
            </m:r>
            <m:r>
              <m:t>x</m:t>
            </m:r>
            <m:r>
              <m:t>p</m:t>
            </m:r>
          </m:sub>
        </m:sSub>
      </m:oMath>
      <w:r>
        <w:t xml:space="preserve">—the</w:t>
      </w:r>
      <w:r>
        <w:t xml:space="preserve"> </w:t>
      </w:r>
      <w:r>
        <w:t xml:space="preserve">two checks are independent, so defeating one does not imply defeating the</w:t>
      </w:r>
      <w:r>
        <w:t xml:space="preserve"> </w:t>
      </w:r>
      <w:r>
        <w:t xml:space="preserve">other, though the security guarantee rests on the AEAD layer; the watermark</w:t>
      </w:r>
      <w:r>
        <w:t xml:space="preserve"> </w:t>
      </w:r>
      <w:r>
        <w:t xml:space="preserve">provides a secondary, human-inspectable provenance signal.</w:t>
      </w:r>
    </w:p>
    <w:p>
      <w:pPr>
        <w:pStyle w:val="BodyText"/>
      </w:pPr>
      <w:r>
        <w:t xml:space="preserve">SecureMark-Med combines LSB watermarking, keyed BLAKE3 hashing, and</w:t>
      </w:r>
      <w:r>
        <w:t xml:space="preserve"> </w:t>
      </w:r>
      <w:r>
        <w:t xml:space="preserve">ChaCha20-Poly1305 AEAD into a pipeline tuned for edge gateways without</w:t>
      </w:r>
      <w:r>
        <w:t xml:space="preserve"> </w:t>
      </w:r>
      <w:r>
        <w:t xml:space="preserve">AES-NI, reducing encryption latency by roughly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versus an</w:t>
      </w:r>
      <w:r>
        <w:t xml:space="preserve"> </w:t>
      </w:r>
      <w:r>
        <w:t xml:space="preserve">AES-256/HMAC-SHA256 baseline while preserving diagnostic image fidelity. The</w:t>
      </w:r>
      <w:r>
        <w:t xml:space="preserve"> </w:t>
      </w:r>
      <w:r>
        <w:t xml:space="preserve">contribution is the combination and its edge-hardware tuning rather than a new</w:t>
      </w:r>
      <w:r>
        <w:t xml:space="preserve"> </w:t>
      </w:r>
      <w:r>
        <w:t xml:space="preserve">watermarking primitive. Future work should evaluate ROI-restricted embedding</w:t>
      </w:r>
      <w:r>
        <w:t xml:space="preserve"> </w:t>
      </w:r>
      <w:r>
        <w:t xml:space="preserve">to reduce the fragility discussed in Section </w:t>
      </w:r>
      <w:hyperlink w:anchor="subsec:robustness">
        <w:r>
          <w:rPr>
            <w:rStyle w:val="Hyperlink"/>
          </w:rPr>
          <w:t xml:space="preserve">2.1</w:t>
        </w:r>
      </w:hyperlink>
      <w:r>
        <w:t xml:space="preserve">, and</w:t>
      </w:r>
      <w:r>
        <w:t xml:space="preserve"> </w:t>
      </w:r>
      <w:r>
        <w:t xml:space="preserve">assess resistance to adaptive adversaries with knowledge of the embedding</w:t>
      </w:r>
      <w:r>
        <w:t xml:space="preserve"> </w:t>
      </w:r>
      <w:r>
        <w:t xml:space="preserve">scheme.</w:t>
      </w:r>
    </w:p>
    <w:bookmarkEnd w:id="12"/>
    <w:bookmarkStart w:id="27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[1]</w:t>
      </w:r>
      <w:r>
        <w:t xml:space="preserve"> </w:t>
      </w:r>
      <w:r>
        <w:t xml:space="preserve">Memon, N.A., Alzahrani, A.: Prediction-based reversible watermarking of CT</w:t>
      </w:r>
      <w:r>
        <w:t xml:space="preserve"> </w:t>
      </w:r>
      <w:r>
        <w:t xml:space="preserve">scan images for content authentication and copyright protection. IEEE</w:t>
      </w:r>
      <w:r>
        <w:t xml:space="preserve"> </w:t>
      </w:r>
      <w:r>
        <w:t xml:space="preserve">Access </w:t>
      </w:r>
      <w:r>
        <w:rPr>
          <w:b/>
          <w:bCs/>
        </w:rPr>
        <w:t xml:space="preserve">8</w:t>
      </w:r>
      <w:r>
        <w:t xml:space="preserve">, 75448–75462 (2020).</w:t>
      </w:r>
      <w:r>
        <w:t xml:space="preserve"> </w:t>
      </w:r>
      <w:hyperlink r:id="rId13">
        <w:r>
          <w:rPr>
            <w:rStyle w:val="VerbatimChar"/>
          </w:rPr>
          <w:t xml:space="preserve">https://doi.org/10.1109/ACCESS.2020.2989175</w:t>
        </w:r>
      </w:hyperlink>
    </w:p>
    <w:p>
      <w:pPr>
        <w:pStyle w:val="BodyText"/>
      </w:pPr>
      <w:r>
        <w:t xml:space="preserve">[2]</w:t>
      </w:r>
      <w:r>
        <w:t xml:space="preserve"> </w:t>
      </w:r>
      <w:r>
        <w:t xml:space="preserve">Al-Qershi, O.M., Khoo, B.E.: Passive detection of copy-move forgery in</w:t>
      </w:r>
      <w:r>
        <w:t xml:space="preserve"> </w:t>
      </w:r>
      <w:r>
        <w:t xml:space="preserve">digital images: State-of-the-art. Forensic Sci. Int. </w:t>
      </w:r>
      <w:r>
        <w:rPr>
          <w:b/>
          <w:bCs/>
        </w:rPr>
        <w:t xml:space="preserve">231</w:t>
      </w:r>
      <w:r>
        <w:t xml:space="preserve">(1–3),</w:t>
      </w:r>
      <w:r>
        <w:t xml:space="preserve"> </w:t>
      </w:r>
      <w:r>
        <w:t xml:space="preserve">284–295 (2013).</w:t>
      </w:r>
    </w:p>
    <w:p>
      <w:pPr>
        <w:pStyle w:val="BodyText"/>
      </w:pPr>
      <w:r>
        <w:t xml:space="preserve">[3]</w:t>
      </w:r>
      <w:r>
        <w:t xml:space="preserve"> </w:t>
      </w:r>
      <w:r>
        <w:t xml:space="preserve">Anand, A., Singh, A.K.: Health record security through multiple watermarking</w:t>
      </w:r>
      <w:r>
        <w:t xml:space="preserve"> </w:t>
      </w:r>
      <w:r>
        <w:t xml:space="preserve">on fused medical images. IEEE Trans. Comput. Soc. Syst. </w:t>
      </w:r>
      <w:r>
        <w:rPr>
          <w:b/>
          <w:bCs/>
        </w:rPr>
        <w:t xml:space="preserve">9</w:t>
      </w:r>
      <w:r>
        <w:t xml:space="preserve">(6),</w:t>
      </w:r>
      <w:r>
        <w:t xml:space="preserve"> </w:t>
      </w:r>
      <w:r>
        <w:t xml:space="preserve">1594–1603 (2021).</w:t>
      </w:r>
      <w:r>
        <w:t xml:space="preserve"> </w:t>
      </w:r>
      <w:hyperlink r:id="rId14">
        <w:r>
          <w:rPr>
            <w:rStyle w:val="VerbatimChar"/>
          </w:rPr>
          <w:t xml:space="preserve">https://doi.org/10.1109/TCSS.2021.3126628</w:t>
        </w:r>
      </w:hyperlink>
    </w:p>
    <w:p>
      <w:pPr>
        <w:pStyle w:val="BodyText"/>
      </w:pPr>
      <w:r>
        <w:t xml:space="preserve">[4]</w:t>
      </w:r>
      <w:r>
        <w:t xml:space="preserve"> </w:t>
      </w:r>
      <w:r>
        <w:t xml:space="preserve">Alzahrani, A., Memon, N.A.: Blind and robust watermarking scheme in hybrid</w:t>
      </w:r>
      <w:r>
        <w:t xml:space="preserve"> </w:t>
      </w:r>
      <w:r>
        <w:t xml:space="preserve">domain for copyright protection of medical images. IEEE</w:t>
      </w:r>
      <w:r>
        <w:t xml:space="preserve"> </w:t>
      </w:r>
      <w:r>
        <w:t xml:space="preserve">Access </w:t>
      </w:r>
      <w:r>
        <w:rPr>
          <w:b/>
          <w:bCs/>
        </w:rPr>
        <w:t xml:space="preserve">9</w:t>
      </w:r>
      <w:r>
        <w:t xml:space="preserve">, 113714–113734 (2021).</w:t>
      </w:r>
      <w:r>
        <w:t xml:space="preserve"> </w:t>
      </w:r>
      <w:hyperlink r:id="rId15">
        <w:r>
          <w:rPr>
            <w:rStyle w:val="VerbatimChar"/>
          </w:rPr>
          <w:t xml:space="preserve">https://doi.org/10.1109/ACCESS.2021.3104985</w:t>
        </w:r>
      </w:hyperlink>
    </w:p>
    <w:p>
      <w:pPr>
        <w:pStyle w:val="BodyText"/>
      </w:pPr>
      <w:r>
        <w:t xml:space="preserve">[5]</w:t>
      </w:r>
      <w:r>
        <w:t xml:space="preserve"> </w:t>
      </w:r>
      <w:r>
        <w:t xml:space="preserve">Mata-Mendoza, D., et al.: Secured telemedicine of medical imaging based on</w:t>
      </w:r>
      <w:r>
        <w:t xml:space="preserve"> </w:t>
      </w:r>
      <w:r>
        <w:t xml:space="preserve">dual robust watermarking. Vis. Comput. </w:t>
      </w:r>
      <w:r>
        <w:rPr>
          <w:b/>
          <w:bCs/>
        </w:rPr>
        <w:t xml:space="preserve">38</w:t>
      </w:r>
      <w:r>
        <w:t xml:space="preserve">(6), 2073–2090 (2022).</w:t>
      </w:r>
      <w:r>
        <w:t xml:space="preserve"> </w:t>
      </w:r>
      <w:hyperlink r:id="rId16">
        <w:r>
          <w:rPr>
            <w:rStyle w:val="VerbatimChar"/>
          </w:rPr>
          <w:t xml:space="preserve">https://doi.org/10.1007/s00371-021-02115-4</w:t>
        </w:r>
      </w:hyperlink>
    </w:p>
    <w:p>
      <w:pPr>
        <w:pStyle w:val="BodyText"/>
      </w:pPr>
      <w:r>
        <w:t xml:space="preserve">[6]</w:t>
      </w:r>
      <w:r>
        <w:t xml:space="preserve"> </w:t>
      </w:r>
      <w:r>
        <w:t xml:space="preserve">Novamizanti, L., Suksmono, A.B., Danudirdjo, D., Budiman, G.: Robust and</w:t>
      </w:r>
      <w:r>
        <w:t xml:space="preserve"> </w:t>
      </w:r>
      <w:r>
        <w:t xml:space="preserve">imperceptible watermarking on medical images using coefficient pair</w:t>
      </w:r>
      <w:r>
        <w:t xml:space="preserve"> </w:t>
      </w:r>
      <w:r>
        <w:t xml:space="preserve">modification. IIUM Eng. J. </w:t>
      </w:r>
      <w:r>
        <w:rPr>
          <w:b/>
          <w:bCs/>
        </w:rPr>
        <w:t xml:space="preserve">24</w:t>
      </w:r>
      <w:r>
        <w:t xml:space="preserve">(1), 1–14 (2023).</w:t>
      </w:r>
      <w:r>
        <w:t xml:space="preserve"> </w:t>
      </w:r>
      <w:hyperlink r:id="rId17">
        <w:r>
          <w:rPr>
            <w:rStyle w:val="VerbatimChar"/>
          </w:rPr>
          <w:t xml:space="preserve">https://doi.org/10.31436/iiumej.v24i1.2597</w:t>
        </w:r>
      </w:hyperlink>
    </w:p>
    <w:p>
      <w:pPr>
        <w:pStyle w:val="BodyText"/>
      </w:pPr>
      <w:r>
        <w:t xml:space="preserve">[7]</w:t>
      </w:r>
      <w:r>
        <w:t xml:space="preserve"> </w:t>
      </w:r>
      <w:r>
        <w:t xml:space="preserve">Gull, S., Mansour, R.F., Aljehane, N.O., Parah, S.A.: A self-embedding</w:t>
      </w:r>
      <w:r>
        <w:t xml:space="preserve"> </w:t>
      </w:r>
      <w:r>
        <w:t xml:space="preserve">technique for tamper detection and localization of medical images for</w:t>
      </w:r>
      <w:r>
        <w:t xml:space="preserve"> </w:t>
      </w:r>
      <w:r>
        <w:t xml:space="preserve">smart-health. Multimed. Tools Appl. </w:t>
      </w:r>
      <w:r>
        <w:rPr>
          <w:b/>
          <w:bCs/>
        </w:rPr>
        <w:t xml:space="preserve">80</w:t>
      </w:r>
      <w:r>
        <w:t xml:space="preserve">(19), 29939–29964 (2021).</w:t>
      </w:r>
      <w:r>
        <w:t xml:space="preserve"> </w:t>
      </w:r>
      <w:hyperlink r:id="rId18">
        <w:r>
          <w:rPr>
            <w:rStyle w:val="VerbatimChar"/>
          </w:rPr>
          <w:t xml:space="preserve">https://doi.org/10.1007/s11042-021-11170-x</w:t>
        </w:r>
      </w:hyperlink>
    </w:p>
    <w:p>
      <w:pPr>
        <w:pStyle w:val="BodyText"/>
      </w:pPr>
      <w:r>
        <w:t xml:space="preserve">[8]</w:t>
      </w:r>
      <w:r>
        <w:t xml:space="preserve"> </w:t>
      </w:r>
      <w:r>
        <w:t xml:space="preserve">Singh, P., Devi, K.J., Thakkar, H.K., Bilal, M., Nayyar, A., Kwak, D.:</w:t>
      </w:r>
      <w:r>
        <w:t xml:space="preserve"> </w:t>
      </w:r>
      <w:r>
        <w:t xml:space="preserve">Robust and secure medical image watermarking for edge-enabled e-healthcare.</w:t>
      </w:r>
      <w:r>
        <w:t xml:space="preserve"> </w:t>
      </w:r>
      <w:r>
        <w:t xml:space="preserve">IEEE Access </w:t>
      </w:r>
      <w:r>
        <w:rPr>
          <w:b/>
          <w:bCs/>
        </w:rPr>
        <w:t xml:space="preserve">11</w:t>
      </w:r>
      <w:r>
        <w:t xml:space="preserve">, 135831–135845 (2023).</w:t>
      </w:r>
      <w:r>
        <w:t xml:space="preserve"> </w:t>
      </w:r>
      <w:hyperlink r:id="rId19">
        <w:r>
          <w:rPr>
            <w:rStyle w:val="VerbatimChar"/>
          </w:rPr>
          <w:t xml:space="preserve">https://doi.org/10.1109/ACCESS.2023.3335172</w:t>
        </w:r>
      </w:hyperlink>
    </w:p>
    <w:p>
      <w:pPr>
        <w:pStyle w:val="BodyText"/>
      </w:pPr>
      <w:r>
        <w:t xml:space="preserve">[9]</w:t>
      </w:r>
      <w:r>
        <w:t xml:space="preserve"> </w:t>
      </w:r>
      <w:r>
        <w:t xml:space="preserve">Tayachi, M., Nana, L., Pascu, A.C., Benzarti, F.: A hybrid watermarking</w:t>
      </w:r>
      <w:r>
        <w:t xml:space="preserve"> </w:t>
      </w:r>
      <w:r>
        <w:t xml:space="preserve">approach for DICOM images security. Appl. Sci. </w:t>
      </w:r>
      <w:r>
        <w:rPr>
          <w:b/>
          <w:bCs/>
        </w:rPr>
        <w:t xml:space="preserve">13</w:t>
      </w:r>
      <w:r>
        <w:t xml:space="preserve">(10), 6132 (2023).</w:t>
      </w:r>
      <w:r>
        <w:t xml:space="preserve"> </w:t>
      </w:r>
      <w:hyperlink r:id="rId20">
        <w:r>
          <w:rPr>
            <w:rStyle w:val="VerbatimChar"/>
          </w:rPr>
          <w:t xml:space="preserve">https://doi.org/10.3390/app13106132</w:t>
        </w:r>
      </w:hyperlink>
    </w:p>
    <w:p>
      <w:pPr>
        <w:pStyle w:val="BodyText"/>
      </w:pPr>
      <w:r>
        <w:t xml:space="preserve">[10]</w:t>
      </w:r>
      <w:r>
        <w:t xml:space="preserve"> </w:t>
      </w:r>
      <w:r>
        <w:t xml:space="preserve">Abirami, R., Malathy, C.: Secured DICOM medical image transition with</w:t>
      </w:r>
      <w:r>
        <w:t xml:space="preserve"> </w:t>
      </w:r>
      <w:r>
        <w:t xml:space="preserve">optimized chaos method for encryption and customized deep learning model for</w:t>
      </w:r>
      <w:r>
        <w:t xml:space="preserve"> </w:t>
      </w:r>
      <w:r>
        <w:t xml:space="preserve">watermarking. Automatika </w:t>
      </w:r>
      <w:r>
        <w:rPr>
          <w:b/>
          <w:bCs/>
        </w:rPr>
        <w:t xml:space="preserve">66</w:t>
      </w:r>
      <w:r>
        <w:t xml:space="preserve">(2) (2025).</w:t>
      </w:r>
      <w:r>
        <w:t xml:space="preserve"> </w:t>
      </w:r>
      <w:hyperlink r:id="rId21">
        <w:r>
          <w:rPr>
            <w:rStyle w:val="VerbatimChar"/>
          </w:rPr>
          <w:t xml:space="preserve">https://doi.org/10.1080/00051144.2025.2460877</w:t>
        </w:r>
      </w:hyperlink>
    </w:p>
    <w:p>
      <w:pPr>
        <w:pStyle w:val="BodyText"/>
      </w:pPr>
      <w:r>
        <w:t xml:space="preserve">[11]</w:t>
      </w:r>
      <w:r>
        <w:t xml:space="preserve"> </w:t>
      </w:r>
      <w:r>
        <w:t xml:space="preserve">Mahmood, S.D., Drira, F., Mahdi, H.F., Alimi, A.M.: Secure medical image</w:t>
      </w:r>
      <w:r>
        <w:t xml:space="preserve"> </w:t>
      </w:r>
      <w:r>
        <w:t xml:space="preserve">sharing: Technologies, watermarking insights, and open issues.</w:t>
      </w:r>
      <w:r>
        <w:t xml:space="preserve"> </w:t>
      </w:r>
      <w:r>
        <w:t xml:space="preserve">IEEE Access </w:t>
      </w:r>
      <w:r>
        <w:rPr>
          <w:b/>
          <w:bCs/>
        </w:rPr>
        <w:t xml:space="preserve">13</w:t>
      </w:r>
      <w:r>
        <w:t xml:space="preserve">, 103995–104026 (2025).</w:t>
      </w:r>
      <w:r>
        <w:t xml:space="preserve"> </w:t>
      </w:r>
      <w:hyperlink r:id="rId22">
        <w:r>
          <w:rPr>
            <w:rStyle w:val="VerbatimChar"/>
          </w:rPr>
          <w:t xml:space="preserve">https://doi.org/10.1109/ACCESS.2025.3574477</w:t>
        </w:r>
      </w:hyperlink>
    </w:p>
    <w:p>
      <w:pPr>
        <w:pStyle w:val="BodyText"/>
      </w:pPr>
      <w:r>
        <w:t xml:space="preserve">[12]</w:t>
      </w:r>
      <w:r>
        <w:t xml:space="preserve"> </w:t>
      </w:r>
      <w:r>
        <w:t xml:space="preserve">Singh, P., Devi, K.J., Nizami, T.K., Prakash, C.S., Thakkar, H.K., Hussain,</w:t>
      </w:r>
      <w:r>
        <w:t xml:space="preserve"> </w:t>
      </w:r>
      <w:r>
        <w:t xml:space="preserve">S.A., Mallik, S.: Ensuring integrity and security of medical image</w:t>
      </w:r>
      <w:r>
        <w:t xml:space="preserve"> </w:t>
      </w:r>
      <w:r>
        <w:t xml:space="preserve">transmission in IoMT using highly imperceptible and robust watermarking</w:t>
      </w:r>
      <w:r>
        <w:t xml:space="preserve"> </w:t>
      </w:r>
      <w:r>
        <w:t xml:space="preserve">approach. Sci. Rep. </w:t>
      </w:r>
      <w:r>
        <w:rPr>
          <w:b/>
          <w:bCs/>
        </w:rPr>
        <w:t xml:space="preserve">15</w:t>
      </w:r>
      <w:r>
        <w:t xml:space="preserve">(1), 14210 (2025).</w:t>
      </w:r>
    </w:p>
    <w:p>
      <w:pPr>
        <w:pStyle w:val="BodyText"/>
      </w:pPr>
      <w:r>
        <w:t xml:space="preserve">[13]</w:t>
      </w:r>
      <w:r>
        <w:t xml:space="preserve"> </w:t>
      </w:r>
      <w:r>
        <w:t xml:space="preserve">Jasim, Z.A., Hadi, A.K.: Optimizing blockchain network performance using</w:t>
      </w:r>
      <w:r>
        <w:t xml:space="preserve"> </w:t>
      </w:r>
      <w:r>
        <w:t xml:space="preserve">BLAKE3 hash function in POS consensus algorithm.</w:t>
      </w:r>
      <w:r>
        <w:t xml:space="preserve"> </w:t>
      </w:r>
      <w:r>
        <w:t xml:space="preserve">IEEE Access </w:t>
      </w:r>
      <w:r>
        <w:rPr>
          <w:b/>
          <w:bCs/>
        </w:rPr>
        <w:t xml:space="preserve">13</w:t>
      </w:r>
      <w:r>
        <w:t xml:space="preserve">, 44760–44774 (2025).</w:t>
      </w:r>
    </w:p>
    <w:p>
      <w:pPr>
        <w:pStyle w:val="BodyText"/>
      </w:pPr>
      <w:r>
        <w:t xml:space="preserve">[14]</w:t>
      </w:r>
      <w:r>
        <w:t xml:space="preserve"> </w:t>
      </w:r>
      <w:r>
        <w:t xml:space="preserve">Wallace, K., Balas, V.E., Rudnisky, C.: DNA-enhanced dual-layer encryption</w:t>
      </w:r>
      <w:r>
        <w:t xml:space="preserve"> </w:t>
      </w:r>
      <w:r>
        <w:t xml:space="preserve">and LSB steganography for medical telemetry.</w:t>
      </w:r>
      <w:r>
        <w:t xml:space="preserve"> </w:t>
      </w:r>
      <w:r>
        <w:t xml:space="preserve">J. King Saud Univ. Comput. Inf. Sci. </w:t>
      </w:r>
      <w:r>
        <w:rPr>
          <w:b/>
          <w:bCs/>
        </w:rPr>
        <w:t xml:space="preserve">37</w:t>
      </w:r>
      <w:r>
        <w:t xml:space="preserve">(1), 102210 (2025).</w:t>
      </w:r>
    </w:p>
    <w:p>
      <w:pPr>
        <w:pStyle w:val="BodyText"/>
      </w:pPr>
      <w:r>
        <w:t xml:space="preserve">[15]</w:t>
      </w:r>
      <w:r>
        <w:t xml:space="preserve"> </w:t>
      </w:r>
      <w:r>
        <w:t xml:space="preserve">Balas, V.E., Kumar, R., Nguyen, G.N.: Lightweight stream cipher performance</w:t>
      </w:r>
      <w:r>
        <w:t xml:space="preserve"> </w:t>
      </w:r>
      <w:r>
        <w:t xml:space="preserve">benchmarks on ARM Cortex-A edge controllers.</w:t>
      </w:r>
      <w:r>
        <w:t xml:space="preserve"> </w:t>
      </w:r>
      <w:r>
        <w:t xml:space="preserve">Microprocess. Microsyst. </w:t>
      </w:r>
      <w:r>
        <w:rPr>
          <w:b/>
          <w:bCs/>
        </w:rPr>
        <w:t xml:space="preserve">104</w:t>
      </w:r>
      <w:r>
        <w:t xml:space="preserve">, 104992 (2024).</w:t>
      </w:r>
    </w:p>
    <w:p>
      <w:pPr>
        <w:pStyle w:val="BodyText"/>
      </w:pPr>
      <w:r>
        <w:t xml:space="preserve">[16]</w:t>
      </w:r>
      <w:r>
        <w:t xml:space="preserve"> </w:t>
      </w:r>
      <w:r>
        <w:t xml:space="preserve">Devi, K.J., Singh, P., Nayyar, A.: Provenance validation for emergency</w:t>
      </w:r>
      <w:r>
        <w:t xml:space="preserve"> </w:t>
      </w:r>
      <w:r>
        <w:t xml:space="preserve">ambulance telemetry using zero-knowledge techniques.</w:t>
      </w:r>
      <w:r>
        <w:t xml:space="preserve"> </w:t>
      </w:r>
      <w:r>
        <w:t xml:space="preserve">IEEE Internet Things J. </w:t>
      </w:r>
      <w:r>
        <w:rPr>
          <w:b/>
          <w:bCs/>
        </w:rPr>
        <w:t xml:space="preserve">11</w:t>
      </w:r>
      <w:r>
        <w:t xml:space="preserve">(8), 14201–14212 (2024).</w:t>
      </w:r>
    </w:p>
    <w:p>
      <w:pPr>
        <w:pStyle w:val="BodyText"/>
      </w:pPr>
      <w:r>
        <w:t xml:space="preserve">[17]</w:t>
      </w:r>
      <w:r>
        <w:t xml:space="preserve"> </w:t>
      </w:r>
      <w:r>
        <w:t xml:space="preserve">Kumar, S., Gupta, R., Srivastava, S.: Real-time cryptographic validation for</w:t>
      </w:r>
      <w:r>
        <w:t xml:space="preserve"> </w:t>
      </w:r>
      <w:r>
        <w:t xml:space="preserve">wireless IoMT telemetry pipelines. Comput. Secur. </w:t>
      </w:r>
      <w:r>
        <w:rPr>
          <w:b/>
          <w:bCs/>
        </w:rPr>
        <w:t xml:space="preserve">138</w:t>
      </w:r>
      <w:r>
        <w:t xml:space="preserve">, 103672 (2024).</w:t>
      </w:r>
    </w:p>
    <w:p>
      <w:pPr>
        <w:pStyle w:val="BodyText"/>
      </w:pPr>
      <w:r>
        <w:t xml:space="preserve">[18]</w:t>
      </w:r>
      <w:r>
        <w:t xml:space="preserve"> </w:t>
      </w:r>
      <w:r>
        <w:t xml:space="preserve">O’Connor, J., Aumasson, J.-P., Neves, S., Wilcox-O’Hearn, Z.: BLAKE3: one</w:t>
      </w:r>
      <w:r>
        <w:t xml:space="preserve"> </w:t>
      </w:r>
      <w:r>
        <w:t xml:space="preserve">function, fast everywhere. In: Proceedings of Real World Crypto Symposium</w:t>
      </w:r>
      <w:r>
        <w:t xml:space="preserve"> </w:t>
      </w:r>
      <w:r>
        <w:t xml:space="preserve">(RWC 2020). Specification available at:</w:t>
      </w:r>
      <w:r>
        <w:t xml:space="preserve"> </w:t>
      </w:r>
      <w:hyperlink r:id="rId23">
        <w:r>
          <w:rPr>
            <w:rStyle w:val="Hyperlink"/>
          </w:rPr>
          <w:t xml:space="preserve">https://github.com/BLAKE3-team/BLAKE3-specs</w:t>
        </w:r>
      </w:hyperlink>
    </w:p>
    <w:p>
      <w:pPr>
        <w:pStyle w:val="BodyText"/>
      </w:pPr>
      <w:r>
        <w:t xml:space="preserve">[19]</w:t>
      </w:r>
      <w:r>
        <w:t xml:space="preserve"> </w:t>
      </w:r>
      <w:r>
        <w:t xml:space="preserve">Nir, Y., Langley, A.: ChaCha20 and Poly1305 for IETF Protocols. RFC 8439,</w:t>
      </w:r>
      <w:r>
        <w:t xml:space="preserve"> </w:t>
      </w:r>
      <w:r>
        <w:t xml:space="preserve">Internet Engineering Task Force (2018).</w:t>
      </w:r>
      <w:r>
        <w:t xml:space="preserve"> </w:t>
      </w:r>
      <w:hyperlink r:id="rId24">
        <w:r>
          <w:rPr>
            <w:rStyle w:val="VerbatimChar"/>
          </w:rPr>
          <w:t xml:space="preserve">https://doi.org/10.17487/RFC8439</w:t>
        </w:r>
      </w:hyperlink>
    </w:p>
    <w:p>
      <w:pPr>
        <w:pStyle w:val="BodyText"/>
      </w:pPr>
      <w:r>
        <w:t xml:space="preserve">[20]</w:t>
      </w:r>
      <w:r>
        <w:t xml:space="preserve"> </w:t>
      </w:r>
      <w:r>
        <w:t xml:space="preserve">National Electrical Manufacturers Association: Digital Imaging and</w:t>
      </w:r>
      <w:r>
        <w:t xml:space="preserve"> </w:t>
      </w:r>
      <w:r>
        <w:t xml:space="preserve">Communications in Medicine (DICOM), Standard PS3.1–PS3.20. NEMA,</w:t>
      </w:r>
      <w:r>
        <w:t xml:space="preserve"> </w:t>
      </w:r>
      <w:r>
        <w:t xml:space="preserve">Arlington, VA (2024). Available at:</w:t>
      </w:r>
      <w:r>
        <w:t xml:space="preserve"> </w:t>
      </w:r>
      <w:hyperlink r:id="rId25">
        <w:r>
          <w:rPr>
            <w:rStyle w:val="Hyperlink"/>
          </w:rPr>
          <w:t xml:space="preserve">https://www.dicomstandard.org/</w:t>
        </w:r>
      </w:hyperlink>
    </w:p>
    <w:p>
      <w:pPr>
        <w:pStyle w:val="BodyText"/>
      </w:pPr>
      <w:r>
        <w:t xml:space="preserve">[21]</w:t>
      </w:r>
      <w:r>
        <w:t xml:space="preserve"> </w:t>
      </w:r>
      <w:r>
        <w:t xml:space="preserve">Barker, E.: Recommendation for Key Management: Part 1—General. NIST Special</w:t>
      </w:r>
      <w:r>
        <w:t xml:space="preserve"> </w:t>
      </w:r>
      <w:r>
        <w:t xml:space="preserve">Publication 800-57 Part 1 Rev. 5, National Institute of Standards and</w:t>
      </w:r>
      <w:r>
        <w:t xml:space="preserve"> </w:t>
      </w:r>
      <w:r>
        <w:t xml:space="preserve">Technology (2020).</w:t>
      </w:r>
      <w:r>
        <w:t xml:space="preserve"> </w:t>
      </w:r>
      <w:hyperlink r:id="rId26">
        <w:r>
          <w:rPr>
            <w:rStyle w:val="VerbatimChar"/>
          </w:rPr>
          <w:t xml:space="preserve">https://doi.org/10.6028/NIST.SP.800-57pt1r5</w:t>
        </w:r>
      </w:hyperlink>
    </w:p>
    <w:p>
      <w:pPr>
        <w:pStyle w:val="BodyText"/>
      </w:pPr>
      <w:r>
        <w:t xml:space="preserve">[22]</w:t>
      </w:r>
      <w:r>
        <w:t xml:space="preserve"> </w:t>
      </w:r>
      <w:r>
        <w:t xml:space="preserve">Conti, M., Dehghantanha, A., Franke, K.: Security and privacy in 5G-enabled</w:t>
      </w:r>
      <w:r>
        <w:t xml:space="preserve"> </w:t>
      </w:r>
      <w:r>
        <w:t xml:space="preserve">Internet of Medical Things. IEEE Netw. </w:t>
      </w:r>
      <w:r>
        <w:rPr>
          <w:b/>
          <w:bCs/>
        </w:rPr>
        <w:t xml:space="preserve">35</w:t>
      </w:r>
      <w:r>
        <w:t xml:space="preserve">(4), 18–25 (2021).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doi.org/10.1007/s00371-021-02115-4" TargetMode="External" /><Relationship Type="http://schemas.openxmlformats.org/officeDocument/2006/relationships/hyperlink" Id="rId18" Target="https://doi.org/10.1007/s11042-021-11170-x" TargetMode="External" /><Relationship Type="http://schemas.openxmlformats.org/officeDocument/2006/relationships/hyperlink" Id="rId21" Target="https://doi.org/10.1080/00051144.2025.2460877" TargetMode="External" /><Relationship Type="http://schemas.openxmlformats.org/officeDocument/2006/relationships/hyperlink" Id="rId13" Target="https://doi.org/10.1109/ACCESS.2020.2989175" TargetMode="External" /><Relationship Type="http://schemas.openxmlformats.org/officeDocument/2006/relationships/hyperlink" Id="rId15" Target="https://doi.org/10.1109/ACCESS.2021.3104985" TargetMode="External" /><Relationship Type="http://schemas.openxmlformats.org/officeDocument/2006/relationships/hyperlink" Id="rId19" Target="https://doi.org/10.1109/ACCESS.2023.3335172" TargetMode="External" /><Relationship Type="http://schemas.openxmlformats.org/officeDocument/2006/relationships/hyperlink" Id="rId22" Target="https://doi.org/10.1109/ACCESS.2025.3574477" TargetMode="External" /><Relationship Type="http://schemas.openxmlformats.org/officeDocument/2006/relationships/hyperlink" Id="rId14" Target="https://doi.org/10.1109/TCSS.2021.3126628" TargetMode="External" /><Relationship Type="http://schemas.openxmlformats.org/officeDocument/2006/relationships/hyperlink" Id="rId24" Target="https://doi.org/10.17487/RFC8439" TargetMode="External" /><Relationship Type="http://schemas.openxmlformats.org/officeDocument/2006/relationships/hyperlink" Id="rId17" Target="https://doi.org/10.31436/iiumej.v24i1.2597" TargetMode="External" /><Relationship Type="http://schemas.openxmlformats.org/officeDocument/2006/relationships/hyperlink" Id="rId20" Target="https://doi.org/10.3390/app13106132" TargetMode="External" /><Relationship Type="http://schemas.openxmlformats.org/officeDocument/2006/relationships/hyperlink" Id="rId26" Target="https://doi.org/10.6028/NIST.SP.800-57pt1r5" TargetMode="External" /><Relationship Type="http://schemas.openxmlformats.org/officeDocument/2006/relationships/hyperlink" Id="rId23" Target="https://github.com/BLAKE3-team/BLAKE3-specs" TargetMode="External" /><Relationship Type="http://schemas.openxmlformats.org/officeDocument/2006/relationships/hyperlink" Id="rId25" Target="https://www.dicomstandard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doi.org/10.1007/s00371-021-02115-4" TargetMode="External" /><Relationship Type="http://schemas.openxmlformats.org/officeDocument/2006/relationships/hyperlink" Id="rId18" Target="https://doi.org/10.1007/s11042-021-11170-x" TargetMode="External" /><Relationship Type="http://schemas.openxmlformats.org/officeDocument/2006/relationships/hyperlink" Id="rId21" Target="https://doi.org/10.1080/00051144.2025.2460877" TargetMode="External" /><Relationship Type="http://schemas.openxmlformats.org/officeDocument/2006/relationships/hyperlink" Id="rId13" Target="https://doi.org/10.1109/ACCESS.2020.2989175" TargetMode="External" /><Relationship Type="http://schemas.openxmlformats.org/officeDocument/2006/relationships/hyperlink" Id="rId15" Target="https://doi.org/10.1109/ACCESS.2021.3104985" TargetMode="External" /><Relationship Type="http://schemas.openxmlformats.org/officeDocument/2006/relationships/hyperlink" Id="rId19" Target="https://doi.org/10.1109/ACCESS.2023.3335172" TargetMode="External" /><Relationship Type="http://schemas.openxmlformats.org/officeDocument/2006/relationships/hyperlink" Id="rId22" Target="https://doi.org/10.1109/ACCESS.2025.3574477" TargetMode="External" /><Relationship Type="http://schemas.openxmlformats.org/officeDocument/2006/relationships/hyperlink" Id="rId14" Target="https://doi.org/10.1109/TCSS.2021.3126628" TargetMode="External" /><Relationship Type="http://schemas.openxmlformats.org/officeDocument/2006/relationships/hyperlink" Id="rId24" Target="https://doi.org/10.17487/RFC8439" TargetMode="External" /><Relationship Type="http://schemas.openxmlformats.org/officeDocument/2006/relationships/hyperlink" Id="rId17" Target="https://doi.org/10.31436/iiumej.v24i1.2597" TargetMode="External" /><Relationship Type="http://schemas.openxmlformats.org/officeDocument/2006/relationships/hyperlink" Id="rId20" Target="https://doi.org/10.3390/app13106132" TargetMode="External" /><Relationship Type="http://schemas.openxmlformats.org/officeDocument/2006/relationships/hyperlink" Id="rId26" Target="https://doi.org/10.6028/NIST.SP.800-57pt1r5" TargetMode="External" /><Relationship Type="http://schemas.openxmlformats.org/officeDocument/2006/relationships/hyperlink" Id="rId23" Target="https://github.com/BLAKE3-team/BLAKE3-specs" TargetMode="External" /><Relationship Type="http://schemas.openxmlformats.org/officeDocument/2006/relationships/hyperlink" Id="rId25" Target="https://www.dicomstandard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SecureMark-Med: A Lightweight Watermark-Assisted Cryptographic Framework for Provenance-Preserving Medical Telemetry in 5G Healthcare Networks</dc:title>
  <dc:creator/>
  <cp:keywords/>
  <dcterms:created xsi:type="dcterms:W3CDTF">2026-09-17T04:29:18Z</dcterms:created>
  <dcterms:modified xsi:type="dcterms:W3CDTF">2026-09-17T04:29:18Z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When a 5G-connected ambulance streams a trauma patient’s CT scan to a hospital’s PACS server, the image usually arrives encrypted—but stripped of any way to prove, after decryption, that it is the same image the ambulance sent. A single flipped bit, an injected artifact, or a delayed replay can silently reach the reading radiologist, and classical AES/SHA pipelines have no mechanism left to catch it once the cryptographic envelope is removed. This paper introduces SecureMark-Med, a lightweight framework that keeps a tamper-evident fingerprint alive on the far side of decryption. It embeds patient, device, and timestamp metadata directly into the DICOM pixel matrix via least-significant-bit (LSB) watermarking, binds that watermark to a keyed BLAKE3 integrity token, and wraps the result in ChaCha20-Poly1305 authenticated encryption—a pairing chosen specifically because it runs efficiently on edge gateways that lack AES-NI hardware acceleration. A receiver-side replay window closes the remaining gap against delayed or duplicated packets. On a Raspberry Pi 4 edge node, the pipeline completed encryption in 28.61\,\text{ms} and integrity verification in 11.92\,\text{ms}, roughly 3\times faster than an AES-256/HMAC-SHA256 baseline, while preserving diagnostic image quality (\text{PSNR} &gt; 51.4\,\text{dB}, \text{SSIM} &gt; 0.999). We detail the design, the threat model it addresses, and where its guarantees stop—because a fragile watermark is a provenance tool, not a cryptographic one.</vt:lpwstr>
  </property>
</Properties>
</file>