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20.png" ContentType="image/png"/>
  <Override PartName="/word/media/rId30.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Edge-Assisted Secure Medical Telemetry Using Lightweight Watermarking and Cryptographic Authentication in 5G Healthcare Networks</w:t>
      </w:r>
    </w:p>
    <w:p>
      <w:pPr>
        <w:pStyle w:val="AbstractTitle"/>
      </w:pPr>
      <w:r>
        <w:t xml:space="preserve">Abstract</w:t>
      </w:r>
    </w:p>
    <w:p>
      <w:pPr>
        <w:pStyle w:val="Abstract"/>
      </w:pPr>
      <w:r>
        <w:t xml:space="preserve">When a 5G-connected ambulance streams a trauma patient’s CT scan to a hospital’s PACS server, the image usually arrives encrypted—but stripped of any way to prove, after decryption, that it is the same image the ambulance sent. A single flipped bit, an injected artifact, or a delayed replay can silently reach the reading radiologist, and classical AES/SHA pipelines have no mechanism left to catch it once the cryptographic envelope is removed. This paper introduces</w:t>
      </w:r>
      <w:r>
        <w:t xml:space="preserve"> </w:t>
      </w:r>
      <w:r>
        <w:rPr>
          <w:b/>
          <w:bCs/>
        </w:rPr>
        <w:t xml:space="preserve">SecureMark-Med</w:t>
      </w:r>
      <w:r>
        <w:t xml:space="preserve">, a lightweight framework that keeps a tamper-evident fingerprint alive on the far side of decryption. It embeds patient, device, and timestamp metadata directly into the DICOM pixel matrix via least-significant-bit (LSB) watermarking, binds that watermark to a keyed BLAKE3 integrity token, and wraps the result in ChaCha20-Poly1305 authenticated encryption—a pairing chosen specifically because it runs efficiently on edge gateways that lack AES-NI hardware acceleration. A receiver-side replay window closes the remaining gap against delayed or duplicated packets. On a Raspberry Pi 3 Model B+ edge node, the pipeline completed encryption in</w:t>
      </w:r>
      <w:r>
        <w:t xml:space="preserve"> </w:t>
      </w:r>
      <m:oMath>
        <m:r>
          <m:t>28.61</m:t>
        </m:r>
        <m:r>
          <m:t> </m:t>
        </m:r>
        <m:r>
          <m:rPr>
            <m:nor/>
            <m:sty m:val="p"/>
          </m:rPr>
          <m:t>ms</m:t>
        </m:r>
      </m:oMath>
      <w:r>
        <w:t xml:space="preserve"> </w:t>
      </w:r>
      <w:r>
        <w:t xml:space="preserve">and integrity verification in</w:t>
      </w:r>
      <w:r>
        <w:t xml:space="preserve"> </w:t>
      </w:r>
      <m:oMath>
        <m:r>
          <m:t>11.92</m:t>
        </m:r>
        <m:r>
          <m:t> </m:t>
        </m:r>
        <m:r>
          <m:rPr>
            <m:nor/>
            <m:sty m:val="p"/>
          </m:rPr>
          <m:t>ms</m:t>
        </m:r>
      </m:oMath>
      <w:r>
        <w:t xml:space="preserve">, roughly</w:t>
      </w:r>
      <w:r>
        <w:t xml:space="preserve"> </w:t>
      </w:r>
      <m:oMath>
        <m:r>
          <m:t>3</m:t>
        </m:r>
        <m:r>
          <m:rPr>
            <m:sty m:val="p"/>
          </m:rPr>
          <m:t>×</m:t>
        </m:r>
      </m:oMath>
      <w:r>
        <w:t xml:space="preserve"> </w:t>
      </w:r>
      <w:r>
        <w:t xml:space="preserve">faster than an AES-256/HMAC-SHA256 baseline, while preserving diagnostic image quality (</w:t>
      </w:r>
      <m:oMath>
        <m:r>
          <m:rPr>
            <m:nor/>
            <m:sty m:val="p"/>
          </m:rPr>
          <m:t>PSNR</m:t>
        </m:r>
        <m:r>
          <m:rPr>
            <m:sty m:val="p"/>
          </m:rPr>
          <m:t>&gt;</m:t>
        </m:r>
        <m:r>
          <m:t>51.4</m:t>
        </m:r>
        <m:r>
          <m:t> </m:t>
        </m:r>
        <m:r>
          <m:rPr>
            <m:nor/>
            <m:sty m:val="p"/>
          </m:rPr>
          <m:t>dB</m:t>
        </m:r>
      </m:oMath>
      <w:r>
        <w:t xml:space="preserve">,</w:t>
      </w:r>
      <w:r>
        <w:t xml:space="preserve"> </w:t>
      </w:r>
      <m:oMath>
        <m:r>
          <m:rPr>
            <m:nor/>
            <m:sty m:val="p"/>
          </m:rPr>
          <m:t>SSIM</m:t>
        </m:r>
        <m:r>
          <m:rPr>
            <m:sty m:val="p"/>
          </m:rPr>
          <m:t>&gt;</m:t>
        </m:r>
        <m:r>
          <m:t>0.999</m:t>
        </m:r>
      </m:oMath>
      <w:r>
        <w:t xml:space="preserve">). We detail the architecture, validate performance on clinical DICOM instances, and demonstrate robust tamper localization across wireless transmission channels.</w:t>
      </w:r>
    </w:p>
    <w:bookmarkStart w:id="9" w:name="introduction"/>
    <w:p>
      <w:pPr>
        <w:pStyle w:val="Heading1"/>
      </w:pPr>
      <w:r>
        <w:t xml:space="preserve">Introduction</w:t>
      </w:r>
    </w:p>
    <w:p>
      <w:pPr>
        <w:pStyle w:val="FirstParagraph"/>
      </w:pPr>
      <w:r>
        <w:t xml:space="preserve">Fifth-generation (5G) ultra-reliable low-latency communication (URLLC) is increasingly deployed to connect mobile emergency triage units directly to hospital trauma teams. Mobile emergency services stream vitals and high-resolution diagnostic imaging (computed tomography, digital radiography, and ultrasound) in standard DICOM format before the patient arrives at the trauma bay. While clinically transformative, this real-time link exposes critical diagnostic data to interception, unauthorized alteration, and adversarial replay over untrusted wireless channels. In emergency diagnostics, even minute pixel-level alterations can mask acute trauma lesions or simulate false pathology.</w:t>
      </w:r>
    </w:p>
    <w:p>
      <w:pPr>
        <w:pStyle w:val="BodyText"/>
      </w:pPr>
      <w:r>
        <w:t xml:space="preserve">Conventional transport-layer security relies on symmetric block ciphers such as AES-256 paired with SHA-2 family hashing. However, this approach exhibits critical operational limitations:</w:t>
      </w:r>
    </w:p>
    <w:p>
      <w:pPr>
        <w:numPr>
          <w:ilvl w:val="0"/>
          <w:numId w:val="1001"/>
        </w:numPr>
      </w:pPr>
      <w:r>
        <w:rPr>
          <w:b/>
          <w:bCs/>
        </w:rPr>
        <w:t xml:space="preserve">Loss of Post-Decryption Provenance:</w:t>
      </w:r>
      <w:r>
        <w:t xml:space="preserve"> </w:t>
      </w:r>
      <w:r>
        <w:t xml:space="preserve">Decryption at hospital workstations strips away the cryptographic envelope, leaving the raw DICOM payload without verifiable origin or tamper-evident lineage.</w:t>
      </w:r>
    </w:p>
    <w:p>
      <w:pPr>
        <w:numPr>
          <w:ilvl w:val="0"/>
          <w:numId w:val="1001"/>
        </w:numPr>
      </w:pPr>
      <w:r>
        <w:rPr>
          <w:b/>
          <w:bCs/>
        </w:rPr>
        <w:t xml:space="preserve">Edge Computational Overhead:</w:t>
      </w:r>
      <w:r>
        <w:t xml:space="preserve"> </w:t>
      </w:r>
      <w:r>
        <w:t xml:space="preserve">Constrained field gateways in ambulances often lack hardware AES-NI instructions, causing processing delays and battery drain.</w:t>
      </w:r>
    </w:p>
    <w:p>
      <w:pPr>
        <w:numPr>
          <w:ilvl w:val="0"/>
          <w:numId w:val="1001"/>
        </w:numPr>
      </w:pPr>
      <w:r>
        <w:rPr>
          <w:b/>
          <w:bCs/>
        </w:rPr>
        <w:t xml:space="preserve">Serial Hashing Latency:</w:t>
      </w:r>
      <w:r>
        <w:t xml:space="preserve"> </w:t>
      </w:r>
      <w:r>
        <w:t xml:space="preserve">Standard sequential hashing functions (such as SHA-256) create throughput bottlenecks during high-frequency medical scan transfers.</w:t>
      </w:r>
    </w:p>
    <w:p>
      <w:pPr>
        <w:pStyle w:val="FirstParagraph"/>
      </w:pPr>
      <w:r>
        <w:t xml:space="preserve">SecureMark-Med resolves these challenges by embedding an indelible provenance watermark directly into the image matrix, authenticated via parallelized BLAKE3 tree-hashing and ChaCha20-Poly1305 authenticated encryption.</w:t>
      </w:r>
    </w:p>
    <w:bookmarkEnd w:id="9"/>
    <w:bookmarkStart w:id="11" w:name="related-work"/>
    <w:p>
      <w:pPr>
        <w:pStyle w:val="Heading1"/>
      </w:pPr>
      <w:r>
        <w:t xml:space="preserve">Related Work</w:t>
      </w:r>
    </w:p>
    <w:p>
      <w:pPr>
        <w:pStyle w:val="FirstParagraph"/>
      </w:pPr>
      <w:r>
        <w:t xml:space="preserve">Digital watermarking for medical telemetry has emerged as an effective technique for binding ownership and integrity metadata directly into clinical images. Memon and Alzahrani [1] utilized prediction-error expansion for CT scan authentication, focusing on pixel reversibility. Anand and Singh [2] investigated multi-modal image watermarking for composite EHR security. Alzahrani and Memon [3] developed a blind hybrid-domain scheme for clinical copyright enforcement, while Gull et al. [4] proposed a self-embedding technique for tamper detection in IoMT environments.</w:t>
      </w:r>
    </w:p>
    <w:p>
      <w:pPr>
        <w:pStyle w:val="BodyText"/>
      </w:pPr>
      <w:r>
        <w:t xml:space="preserve">Edge implementations were explicitly examined by Singh et al. [5], who highlighted significant latency constraints when executing legacy ciphers on embedded hardware. Tayachi et al. [6] introduced a hybrid DICOM watermarking approach, though encryption and integrity remained uncoupled. Abirami and Malathy [7] demonstrated chaos-based encryption paired with deep-learning watermarking, while Mahmood et al. [8] surveyed open challenges across IoMT architectures, emphasizing the need for sub-second zero-copy security primitives. Supporting studies on robust IoMT watermarking [9], accelerated blockchain consensus via BLAKE3 [10], and lightweight IoT stream ciphers [11] confirm the throughput benefits of ARX primitives. The cryptographic building blocks in SecureMark-Med leverage the BLAKE3 parallel tree-hash specification [12], the ChaCha20-Poly1305 AEAD protocol [13], and official NEMA DICOM interchange standards [14].</w:t>
      </w:r>
    </w:p>
    <w:bookmarkStart w:id="10" w:name="tab:comparison"/>
    <w:p>
      <w:pPr>
        <w:pStyle w:val="TableCaption"/>
      </w:pPr>
      <w:r>
        <w:t xml:space="preserve">Architectural comparison of medical image security schemes.</w:t>
      </w:r>
    </w:p>
    <w:tbl>
      <w:tblPr>
        <w:tblStyle w:val="Table"/>
        <w:tblW w:type="auto" w:w="0"/>
        <w:tblLook w:firstRow="1" w:lastRow="0" w:firstColumn="0" w:lastColumn="0" w:noHBand="0" w:noVBand="0" w:val="0020"/>
        <w:tblCaption w:val="Architectural comparison of medical image security schemes."/>
      </w:tblPr>
      <w:tblGrid>
        <w:gridCol w:w="1320"/>
        <w:gridCol w:w="1320"/>
        <w:gridCol w:w="1320"/>
        <w:gridCol w:w="1320"/>
        <w:gridCol w:w="1320"/>
        <w:gridCol w:w="1320"/>
      </w:tblGrid>
      <w:tr>
        <w:trPr>
          <w:tblHeader w:val="on"/>
        </w:trPr>
        <w:tc>
          <w:tcPr/>
          <w:p>
            <w:pPr>
              <w:pStyle w:val="Compact"/>
              <w:jc w:val="left"/>
            </w:pPr>
            <w:r>
              <w:t xml:space="preserve">Scheme</w:t>
            </w:r>
          </w:p>
        </w:tc>
        <w:tc>
          <w:tcPr/>
          <w:p>
            <w:pPr>
              <w:pStyle w:val="Compact"/>
              <w:jc w:val="center"/>
            </w:pPr>
            <w:r>
              <w:t xml:space="preserve">WM</w:t>
            </w:r>
          </w:p>
        </w:tc>
        <w:tc>
          <w:tcPr/>
          <w:p>
            <w:pPr>
              <w:pStyle w:val="Compact"/>
              <w:jc w:val="center"/>
            </w:pPr>
            <w:r>
              <w:t xml:space="preserve">Encryption</w:t>
            </w:r>
          </w:p>
        </w:tc>
        <w:tc>
          <w:tcPr/>
          <w:p>
            <w:pPr>
              <w:pStyle w:val="Compact"/>
              <w:jc w:val="center"/>
            </w:pPr>
            <w:r>
              <w:t xml:space="preserve">Integrity</w:t>
            </w:r>
          </w:p>
        </w:tc>
        <w:tc>
          <w:tcPr/>
          <w:p>
            <w:pPr>
              <w:pStyle w:val="Compact"/>
              <w:jc w:val="center"/>
            </w:pPr>
            <w:r>
              <w:t xml:space="preserve">Edge-Ready</w:t>
            </w:r>
          </w:p>
        </w:tc>
        <w:tc>
          <w:tcPr/>
          <w:p>
            <w:pPr>
              <w:pStyle w:val="Compact"/>
              <w:jc w:val="center"/>
            </w:pPr>
            <w:r>
              <w:t xml:space="preserve">Replay Defense</w:t>
            </w:r>
          </w:p>
        </w:tc>
      </w:tr>
      <w:tr>
        <w:tc>
          <w:tcPr/>
          <w:p>
            <w:pPr>
              <w:pStyle w:val="Compact"/>
              <w:jc w:val="left"/>
            </w:pPr>
            <w:r>
              <w:t xml:space="preserve">Memon &amp; Alzahrani [1]</w:t>
            </w:r>
          </w:p>
        </w:tc>
        <w:tc>
          <w:tcPr/>
          <w:p>
            <w:pPr>
              <w:pStyle w:val="Compact"/>
            </w:pPr>
          </w:p>
        </w:tc>
        <w:tc>
          <w:tcPr/>
          <w:p>
            <w:pPr>
              <w:pStyle w:val="Compact"/>
              <w:jc w:val="center"/>
            </w:pPr>
            <w:r>
              <w:t xml:space="preserve">—</w:t>
            </w:r>
          </w:p>
        </w:tc>
        <w:tc>
          <w:tcPr/>
          <w:p>
            <w:pPr>
              <w:pStyle w:val="Compact"/>
              <w:jc w:val="center"/>
            </w:pPr>
            <w:r>
              <w:t xml:space="preserve">Partial</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Anand &amp; Singh [2]</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Gull et al. [4]</w:t>
            </w:r>
          </w:p>
        </w:tc>
        <w:tc>
          <w:tcPr/>
          <w:p>
            <w:pPr>
              <w:pStyle w:val="Compact"/>
            </w:pPr>
          </w:p>
        </w:tc>
        <w:tc>
          <w:tcPr/>
          <w:p>
            <w:pPr>
              <w:pStyle w:val="Compact"/>
              <w:jc w:val="center"/>
            </w:pPr>
            <w:r>
              <w:t xml:space="preserve">—</w:t>
            </w:r>
          </w:p>
        </w:tc>
        <w:tc>
          <w:tcPr/>
          <w:p>
            <w:pPr>
              <w:pStyle w:val="Compact"/>
              <w:jc w:val="center"/>
            </w:pPr>
            <w:r>
              <w:t xml:space="preserve">Local.</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Singh et al. [5]</w:t>
            </w:r>
          </w:p>
        </w:tc>
        <w:tc>
          <w:tcPr/>
          <w:p>
            <w:pPr>
              <w:pStyle w:val="Compact"/>
            </w:pPr>
          </w:p>
        </w:tc>
        <w:tc>
          <w:tcPr/>
          <w:p>
            <w:pPr>
              <w:pStyle w:val="Compact"/>
              <w:jc w:val="center"/>
            </w:pPr>
            <w:r>
              <w:t xml:space="preserve">AES</w:t>
            </w:r>
          </w:p>
        </w:tc>
        <w:tc>
          <w:tcPr/>
          <w:p>
            <w:pPr>
              <w:pStyle w:val="Compact"/>
              <w:jc w:val="center"/>
            </w:pPr>
            <w:r>
              <w:t xml:space="preserve">Checksum</w:t>
            </w:r>
          </w:p>
        </w:tc>
        <w:tc>
          <w:tcPr/>
          <w:p>
            <w:pPr>
              <w:pStyle w:val="Compact"/>
            </w:pPr>
          </w:p>
        </w:tc>
        <w:tc>
          <w:tcPr/>
          <w:p>
            <w:pPr>
              <w:pStyle w:val="Compact"/>
              <w:jc w:val="center"/>
            </w:pPr>
            <w:r>
              <w:t xml:space="preserve">—</w:t>
            </w:r>
          </w:p>
        </w:tc>
      </w:tr>
      <w:tr>
        <w:tc>
          <w:tcPr/>
          <w:p>
            <w:pPr>
              <w:pStyle w:val="Compact"/>
              <w:jc w:val="left"/>
            </w:pPr>
            <w:r>
              <w:rPr>
                <w:b/>
                <w:bCs/>
              </w:rPr>
              <w:t xml:space="preserve">SecureMark-Med</w:t>
            </w:r>
          </w:p>
        </w:tc>
        <w:tc>
          <w:tcPr/>
          <w:p>
            <w:pPr>
              <w:pStyle w:val="Compact"/>
              <w:jc w:val="center"/>
            </w:pPr>
          </w:p>
        </w:tc>
        <w:tc>
          <w:tcPr/>
          <w:p>
            <w:pPr>
              <w:pStyle w:val="Compact"/>
              <w:jc w:val="center"/>
            </w:pPr>
            <w:r>
              <w:rPr>
                <w:b/>
                <w:bCs/>
              </w:rPr>
              <w:t xml:space="preserve">ChaCha20</w:t>
            </w:r>
          </w:p>
        </w:tc>
        <w:tc>
          <w:tcPr/>
          <w:p>
            <w:pPr>
              <w:pStyle w:val="Compact"/>
              <w:jc w:val="center"/>
            </w:pPr>
            <w:r>
              <w:rPr>
                <w:b/>
                <w:bCs/>
              </w:rPr>
              <w:t xml:space="preserve">BLAKE3</w:t>
            </w:r>
          </w:p>
        </w:tc>
        <w:tc>
          <w:tcPr/>
          <w:p>
            <w:pPr>
              <w:pStyle w:val="Compact"/>
              <w:jc w:val="center"/>
            </w:pPr>
          </w:p>
        </w:tc>
        <w:tc>
          <w:tcPr/>
          <w:p>
            <w:pPr>
              <w:pStyle w:val="Compact"/>
              <w:jc w:val="center"/>
            </w:pPr>
          </w:p>
        </w:tc>
      </w:tr>
    </w:tbl>
    <w:bookmarkEnd w:id="10"/>
    <w:bookmarkEnd w:id="11"/>
    <w:bookmarkStart w:id="18" w:name="proposed-securemark-med-framework"/>
    <w:p>
      <w:pPr>
        <w:pStyle w:val="Heading1"/>
      </w:pPr>
      <w:r>
        <w:t xml:space="preserve">Proposed SecureMark-Med Framework</w:t>
      </w:r>
    </w:p>
    <w:p>
      <w:pPr>
        <w:pStyle w:val="FirstParagraph"/>
      </w:pPr>
      <w:r>
        <w:t xml:space="preserve">The architecture encompasses three integrated stages: spatial provenance embedding, integrity token generation, and authenticated transport encryption.</w:t>
      </w:r>
    </w:p>
    <w:bookmarkStart w:id="12" w:name="watermark-embedding"/>
    <w:p>
      <w:pPr>
        <w:pStyle w:val="Heading2"/>
      </w:pPr>
      <w:r>
        <w:t xml:space="preserve">Watermark Embedding</w:t>
      </w:r>
    </w:p>
    <w:p>
      <w:pPr>
        <w:pStyle w:val="FirstParagraph"/>
      </w:pPr>
      <w:r>
        <w:t xml:space="preserve">Let</w:t>
      </w:r>
      <w:r>
        <w:t xml:space="preserve"> </w:t>
      </w:r>
      <m:oMath>
        <m:r>
          <m:t>I</m:t>
        </m:r>
        <m:r>
          <m:rPr>
            <m:sty m:val="p"/>
          </m:rPr>
          <m:t>∈</m:t>
        </m:r>
        <m:sSup>
          <m:e>
            <m:r>
              <m:rPr>
                <m:scr m:val="double-struck"/>
                <m:sty m:val="p"/>
              </m:rPr>
              <m:t>R</m:t>
            </m:r>
          </m:e>
          <m:sup>
            <m:r>
              <m:t>M</m:t>
            </m:r>
            <m:r>
              <m:rPr>
                <m:sty m:val="p"/>
              </m:rPr>
              <m:t>×</m:t>
            </m:r>
            <m:r>
              <m:t>N</m:t>
            </m:r>
          </m:sup>
        </m:sSup>
      </m:oMath>
      <w:r>
        <w:t xml:space="preserve"> </w:t>
      </w:r>
      <w:r>
        <w:t xml:space="preserve">denote a 16-bit grayscale DICOM pixel array. The provenance payload</w:t>
      </w:r>
      <w:r>
        <w:t xml:space="preserve"> </w:t>
      </w:r>
      <m:oMath>
        <m:r>
          <m:t>W</m:t>
        </m:r>
      </m:oMath>
      <w:r>
        <w:t xml:space="preserve"> </w:t>
      </w:r>
      <w:r>
        <w:t xml:space="preserve">aggregates patient, facility, and acquisition identifiers:</w:t>
      </w:r>
    </w:p>
    <w:p>
      <w:pPr>
        <w:pStyle w:val="BodyText"/>
      </w:pPr>
      <m:oMathPara>
        <m:oMathParaPr>
          <m:jc m:val="center"/>
        </m:oMathParaPr>
        <m:oMath>
          <m:r>
            <m:t>W</m:t>
          </m:r>
          <m:r>
            <m:rPr>
              <m:sty m:val="p"/>
            </m:rPr>
            <m:t>=</m:t>
          </m:r>
          <m:r>
            <m:t>I</m:t>
          </m:r>
          <m:sSub>
            <m:e>
              <m:r>
                <m:t>D</m:t>
              </m:r>
            </m:e>
            <m:sub>
              <m:r>
                <m:t>p</m:t>
              </m:r>
              <m:r>
                <m:t>a</m:t>
              </m:r>
              <m:r>
                <m:t>t</m:t>
              </m:r>
            </m:sub>
          </m:sSub>
          <m:r>
            <m:rPr>
              <m:sty m:val="p"/>
            </m:rPr>
            <m:t>∥</m:t>
          </m:r>
          <m:r>
            <m:t>I</m:t>
          </m:r>
          <m:sSub>
            <m:e>
              <m:r>
                <m:t>D</m:t>
              </m:r>
            </m:e>
            <m:sub>
              <m:r>
                <m:t>h</m:t>
              </m:r>
              <m:r>
                <m:t>o</m:t>
              </m:r>
              <m:r>
                <m:t>s</m:t>
              </m:r>
              <m:r>
                <m:t>p</m:t>
              </m:r>
            </m:sub>
          </m:sSub>
          <m:r>
            <m:rPr>
              <m:sty m:val="p"/>
            </m:rPr>
            <m:t>∥</m:t>
          </m:r>
          <m:r>
            <m:t>D</m:t>
          </m:r>
          <m:r>
            <m:t>e</m:t>
          </m:r>
          <m:r>
            <m:t>v</m:t>
          </m:r>
          <m:r>
            <m:t>I</m:t>
          </m:r>
          <m:r>
            <m:t>D</m:t>
          </m:r>
          <m:r>
            <m:rPr>
              <m:sty m:val="p"/>
            </m:rPr>
            <m:t>∥</m:t>
          </m:r>
          <m:sSub>
            <m:e>
              <m:r>
                <m:t>T</m:t>
              </m:r>
            </m:e>
            <m:sub>
              <m:r>
                <m:t>s</m:t>
              </m:r>
            </m:sub>
          </m:sSub>
        </m:oMath>
      </m:oMathPara>
    </w:p>
    <w:p>
      <w:pPr>
        <w:pStyle w:val="FirstParagraph"/>
      </w:pPr>
      <m:oMath>
        <m:r>
          <m:t>W</m:t>
        </m:r>
      </m:oMath>
      <w:r>
        <w:t xml:space="preserve"> </w:t>
      </w:r>
      <w:r>
        <w:t xml:space="preserve">is serialized into a binary sequence</w:t>
      </w:r>
      <w:r>
        <w:t xml:space="preserve"> </w:t>
      </w:r>
      <m:oMath>
        <m:r>
          <m:t>B</m:t>
        </m:r>
        <m:r>
          <m:rPr>
            <m:sty m:val="p"/>
          </m:rPr>
          <m:t>=</m:t>
        </m:r>
        <m:r>
          <m:rPr>
            <m:sty m:val="p"/>
          </m:rPr>
          <m:t>{</m:t>
        </m:r>
        <m:sSub>
          <m:e>
            <m:r>
              <m:t>b</m:t>
            </m:r>
          </m:e>
          <m:sub>
            <m:r>
              <m:t>0</m:t>
            </m:r>
          </m:sub>
        </m:sSub>
        <m:r>
          <m:rPr>
            <m:sty m:val="p"/>
          </m:rPr>
          <m:t>,</m:t>
        </m:r>
        <m:r>
          <m:rPr>
            <m:sty m:val="p"/>
          </m:rPr>
          <m:t>…</m:t>
        </m:r>
        <m:r>
          <m:rPr>
            <m:sty m:val="p"/>
          </m:rPr>
          <m:t>,</m:t>
        </m:r>
        <m:sSub>
          <m:e>
            <m:r>
              <m:t>b</m:t>
            </m:r>
          </m:e>
          <m:sub>
            <m:r>
              <m:t>L</m:t>
            </m:r>
            <m:r>
              <m:rPr>
                <m:sty m:val="p"/>
              </m:rPr>
              <m:t>−</m:t>
            </m:r>
            <m:r>
              <m:t>1</m:t>
            </m:r>
          </m:sub>
        </m:sSub>
        <m:r>
          <m:rPr>
            <m:sty m:val="p"/>
          </m:rPr>
          <m:t>}</m:t>
        </m:r>
      </m:oMath>
      <w:r>
        <w:t xml:space="preserve"> </w:t>
      </w:r>
      <w:r>
        <w:t xml:space="preserve">and embedded into the least significant bit (LSB) of sequential image pixels:</w:t>
      </w:r>
    </w:p>
    <w:p>
      <w:pPr>
        <w:pStyle w:val="BodyText"/>
      </w:pPr>
      <m:oMathPara>
        <m:oMathParaPr>
          <m:jc m:val="center"/>
        </m:oMathParaPr>
        <m:oMath>
          <m:acc>
            <m:accPr>
              <m:chr m:val="̃"/>
            </m:accPr>
            <m:e>
              <m:r>
                <m:t>p</m:t>
              </m:r>
            </m:e>
          </m:acc>
          <m:r>
            <m:rPr>
              <m:sty m:val="p"/>
            </m:rPr>
            <m:t>(</m:t>
          </m:r>
          <m:r>
            <m:t>i</m:t>
          </m:r>
          <m:r>
            <m:rPr>
              <m:sty m:val="p"/>
            </m:rPr>
            <m:t>,</m:t>
          </m:r>
          <m:r>
            <m:t>j</m:t>
          </m:r>
          <m:r>
            <m:rPr>
              <m:sty m:val="p"/>
            </m:rPr>
            <m:t>)</m:t>
          </m:r>
          <m:r>
            <m:rPr>
              <m:sty m:val="p"/>
            </m:rPr>
            <m:t>=</m:t>
          </m:r>
          <m:d>
            <m:dPr>
              <m:begChr m:val="("/>
              <m:sepChr m:val=""/>
              <m:endChr m:val=")"/>
              <m:grow/>
            </m:dPr>
            <m:e>
              <m:r>
                <m:t>p</m:t>
              </m:r>
              <m:r>
                <m:rPr>
                  <m:sty m:val="p"/>
                </m:rPr>
                <m:t>(</m:t>
              </m:r>
              <m:r>
                <m:t>i</m:t>
              </m:r>
              <m:r>
                <m:rPr>
                  <m:sty m:val="p"/>
                </m:rPr>
                <m:t>,</m:t>
              </m:r>
              <m:r>
                <m:t>j</m:t>
              </m:r>
              <m:r>
                <m:rPr>
                  <m:sty m:val="p"/>
                </m:rPr>
                <m:t>)</m:t>
              </m:r>
              <m:r>
                <m:rPr>
                  <m:sty m:val="p"/>
                </m:rPr>
                <m:t>∧</m:t>
              </m:r>
              <m:r>
                <m:rPr>
                  <m:sty m:val="p"/>
                </m:rPr>
                <m:t>∼</m:t>
              </m:r>
              <m:r>
                <m:t>1</m:t>
              </m:r>
            </m:e>
          </m:d>
          <m:r>
            <m:rPr>
              <m:sty m:val="p"/>
            </m:rPr>
            <m:t>∨</m:t>
          </m:r>
          <m:sSub>
            <m:e>
              <m:r>
                <m:t>b</m:t>
              </m:r>
            </m:e>
            <m:sub>
              <m:r>
                <m:t>k</m:t>
              </m:r>
            </m:sub>
          </m:sSub>
          <m:r>
            <m:rPr>
              <m:sty m:val="p"/>
            </m:rPr>
            <m:t>,</m:t>
          </m:r>
          <m:r>
            <m:t> </m:t>
          </m:r>
          <m:r>
            <m:t>k</m:t>
          </m:r>
          <m:r>
            <m:rPr>
              <m:sty m:val="p"/>
            </m:rPr>
            <m:t>=</m:t>
          </m:r>
          <m:r>
            <m:t>i</m:t>
          </m:r>
          <m:r>
            <m:rPr>
              <m:sty m:val="p"/>
            </m:rPr>
            <m:t>⋅</m:t>
          </m:r>
          <m:r>
            <m:t>N</m:t>
          </m:r>
          <m:r>
            <m:rPr>
              <m:sty m:val="p"/>
            </m:rPr>
            <m:t>+</m:t>
          </m:r>
          <m:r>
            <m:t>j</m:t>
          </m:r>
          <m:r>
            <m:rPr>
              <m:sty m:val="p"/>
            </m:rPr>
            <m:t>,</m:t>
          </m:r>
          <m:r>
            <m:t> </m:t>
          </m:r>
          <m:r>
            <m:rPr>
              <m:sty m:val="p"/>
            </m:rPr>
            <m:t>∀</m:t>
          </m:r>
          <m:r>
            <m:t> </m:t>
          </m:r>
          <m:r>
            <m:t>k</m:t>
          </m:r>
          <m:r>
            <m:rPr>
              <m:sty m:val="p"/>
            </m:rPr>
            <m:t>&lt;</m:t>
          </m:r>
          <m:r>
            <m:t>L</m:t>
          </m:r>
        </m:oMath>
      </m:oMathPara>
    </w:p>
    <w:p>
      <w:pPr>
        <w:pStyle w:val="FirstParagraph"/>
      </w:pPr>
      <w:r>
        <w:t xml:space="preserve">Because clinical emergency telemetry legally prohibits lossy re-compression, the spatial LSB modifications are entirely bounded (</w:t>
      </w:r>
      <m:oMath>
        <m:r>
          <m:rPr>
            <m:sty m:val="p"/>
          </m:rPr>
          <m:t>|</m:t>
        </m:r>
        <m:r>
          <m:t>​</m:t>
        </m:r>
        <m:r>
          <m:t>p</m:t>
        </m:r>
        <m:r>
          <m:rPr>
            <m:sty m:val="p"/>
          </m:rPr>
          <m:t>(</m:t>
        </m:r>
        <m:r>
          <m:t>i</m:t>
        </m:r>
        <m:r>
          <m:rPr>
            <m:sty m:val="p"/>
          </m:rPr>
          <m:t>,</m:t>
        </m:r>
        <m:r>
          <m:t>j</m:t>
        </m:r>
        <m:r>
          <m:rPr>
            <m:sty m:val="p"/>
          </m:rPr>
          <m:t>)</m:t>
        </m:r>
        <m:r>
          <m:rPr>
            <m:sty m:val="p"/>
          </m:rPr>
          <m:t>−</m:t>
        </m:r>
        <m:acc>
          <m:accPr>
            <m:chr m:val="̃"/>
          </m:accPr>
          <m:e>
            <m:r>
              <m:t>p</m:t>
            </m:r>
          </m:e>
        </m:acc>
        <m:r>
          <m:rPr>
            <m:sty m:val="p"/>
          </m:rPr>
          <m:t>(</m:t>
        </m:r>
        <m:r>
          <m:t>i</m:t>
        </m:r>
        <m:r>
          <m:rPr>
            <m:sty m:val="p"/>
          </m:rPr>
          <m:t>,</m:t>
        </m:r>
        <m:r>
          <m:t>j</m:t>
        </m:r>
        <m:r>
          <m:rPr>
            <m:sty m:val="p"/>
          </m:rPr>
          <m:t>)</m:t>
        </m:r>
        <m:r>
          <m:rPr>
            <m:sty m:val="p"/>
          </m:rPr>
          <m:t>|</m:t>
        </m:r>
        <m:r>
          <m:t>​</m:t>
        </m:r>
        <m:r>
          <m:rPr>
            <m:sty m:val="p"/>
          </m:rPr>
          <m:t>≤</m:t>
        </m:r>
        <m:r>
          <m:t>1</m:t>
        </m:r>
      </m:oMath>
      <w:r>
        <w:t xml:space="preserve">), remaining well below sensor noise floors. In this context, the extreme fragility of the spatial LSB watermark is highly desirable; regulatory standards mandate mathematically lossless DICOM transmission in emergency teleradiology, meaning any benign or malicious modification will instantly destroy the fragile watermark and trigger an integrity fault.</w:t>
      </w:r>
    </w:p>
    <w:bookmarkEnd w:id="12"/>
    <w:bookmarkStart w:id="17" w:name="X195a7dfb6f6a63ce15758f845cde6185833bfa9"/>
    <w:p>
      <w:pPr>
        <w:pStyle w:val="Heading2"/>
      </w:pPr>
      <w:r>
        <w:t xml:space="preserve">Integrity Token and Authenticated Encryption</w:t>
      </w:r>
    </w:p>
    <w:p>
      <w:pPr>
        <w:pStyle w:val="FirstParagraph"/>
      </w:pPr>
      <w:r>
        <w:t xml:space="preserve">The watermarked matrix</w:t>
      </w:r>
      <w:r>
        <w:t xml:space="preserve"> </w:t>
      </w:r>
      <m:oMath>
        <m:sSub>
          <m:e>
            <m:r>
              <m:t>I</m:t>
            </m:r>
          </m:e>
          <m:sub>
            <m:r>
              <m:t>w</m:t>
            </m:r>
          </m:sub>
        </m:sSub>
      </m:oMath>
      <w:r>
        <w:t xml:space="preserve"> </w:t>
      </w:r>
      <w:r>
        <w:t xml:space="preserve">is serialized to byte buffer</w:t>
      </w:r>
      <w:r>
        <w:t xml:space="preserve"> </w:t>
      </w:r>
      <m:oMath>
        <m:sSub>
          <m:e>
            <m:r>
              <m:t>M</m:t>
            </m:r>
          </m:e>
          <m:sub>
            <m:r>
              <m:t>b</m:t>
            </m:r>
            <m:r>
              <m:t>y</m:t>
            </m:r>
            <m:r>
              <m:t>t</m:t>
            </m:r>
            <m:r>
              <m:t>e</m:t>
            </m:r>
            <m:r>
              <m:t>s</m:t>
            </m:r>
          </m:sub>
        </m:sSub>
      </m:oMath>
      <w:r>
        <w:t xml:space="preserve">. A keyed integrity token</w:t>
      </w:r>
      <w:r>
        <w:t xml:space="preserve"> </w:t>
      </w:r>
      <m:oMath>
        <m:r>
          <m:t>τ</m:t>
        </m:r>
      </m:oMath>
      <w:r>
        <w:t xml:space="preserve"> </w:t>
      </w:r>
      <w:r>
        <w:t xml:space="preserve">is generated via BLAKE3 using a pre-shared 256-bit secret key</w:t>
      </w:r>
      <w:r>
        <w:t xml:space="preserve"> </w:t>
      </w:r>
      <m:oMath>
        <m:sSub>
          <m:e>
            <m:r>
              <m:t>K</m:t>
            </m:r>
          </m:e>
          <m:sub>
            <m:r>
              <m:t>s</m:t>
            </m:r>
            <m:r>
              <m:t>e</m:t>
            </m:r>
            <m:r>
              <m:t>c</m:t>
            </m:r>
          </m:sub>
        </m:sSub>
      </m:oMath>
      <w:r>
        <w:t xml:space="preserve">:</w:t>
      </w:r>
    </w:p>
    <w:p>
      <w:pPr>
        <w:pStyle w:val="BodyText"/>
      </w:pPr>
      <m:oMathPara>
        <m:oMathParaPr>
          <m:jc m:val="center"/>
        </m:oMathParaPr>
        <m:oMath>
          <m:r>
            <m:t>τ</m:t>
          </m:r>
          <m:r>
            <m:rPr>
              <m:sty m:val="p"/>
            </m:rPr>
            <m:t>=</m:t>
          </m:r>
          <m:r>
            <m:rPr>
              <m:nor/>
              <m:sty m:val="p"/>
            </m:rPr>
            <m:t>BLAKE3</m:t>
          </m:r>
          <m:r>
            <m:rPr>
              <m:sty m:val="p"/>
            </m:rPr>
            <m:t>(</m:t>
          </m:r>
          <m:r>
            <m:t>D</m:t>
          </m:r>
          <m:r>
            <m:t>e</m:t>
          </m:r>
          <m:r>
            <m:t>v</m:t>
          </m:r>
          <m:r>
            <m:t>I</m:t>
          </m:r>
          <m:r>
            <m:t>D</m:t>
          </m:r>
          <m:r>
            <m:rPr>
              <m:sty m:val="p"/>
            </m:rPr>
            <m:t>∥</m:t>
          </m:r>
          <m:sSub>
            <m:e>
              <m:r>
                <m:t>K</m:t>
              </m:r>
            </m:e>
            <m:sub>
              <m:r>
                <m:t>s</m:t>
              </m:r>
              <m:r>
                <m:t>e</m:t>
              </m:r>
              <m:r>
                <m:t>c</m:t>
              </m:r>
            </m:sub>
          </m:sSub>
          <m:r>
            <m:rPr>
              <m:sty m:val="p"/>
            </m:rPr>
            <m:t>∥</m:t>
          </m:r>
          <m:sSub>
            <m:e>
              <m:r>
                <m:t>M</m:t>
              </m:r>
            </m:e>
            <m:sub>
              <m:r>
                <m:t>b</m:t>
              </m:r>
              <m:r>
                <m:t>y</m:t>
              </m:r>
              <m:r>
                <m:t>t</m:t>
              </m:r>
              <m:r>
                <m:t>e</m:t>
              </m:r>
              <m:r>
                <m:t>s</m:t>
              </m:r>
            </m:sub>
          </m:sSub>
          <m:r>
            <m:rPr>
              <m:sty m:val="p"/>
            </m:rPr>
            <m:t>∥</m:t>
          </m:r>
          <m:sSub>
            <m:e>
              <m:r>
                <m:t>T</m:t>
              </m:r>
            </m:e>
            <m:sub>
              <m:r>
                <m:t>s</m:t>
              </m:r>
            </m:sub>
          </m:sSub>
          <m:r>
            <m:rPr>
              <m:sty m:val="p"/>
            </m:rPr>
            <m:t>)</m:t>
          </m:r>
        </m:oMath>
      </m:oMathPara>
    </w:p>
    <w:p>
      <w:pPr>
        <w:pStyle w:val="FirstParagraph"/>
      </w:pPr>
      <w:r>
        <w:t xml:space="preserve">The combined payload</w:t>
      </w:r>
      <w:r>
        <w:t xml:space="preserve"> </w:t>
      </w:r>
      <m:oMath>
        <m:r>
          <m:t>M</m:t>
        </m:r>
        <m:r>
          <m:rPr>
            <m:sty m:val="p"/>
          </m:rPr>
          <m:t>=</m:t>
        </m:r>
        <m:r>
          <m:rPr>
            <m:sty m:val="p"/>
          </m:rPr>
          <m:t>(</m:t>
        </m:r>
        <m:sSub>
          <m:e>
            <m:r>
              <m:t>I</m:t>
            </m:r>
          </m:e>
          <m:sub>
            <m:r>
              <m:t>w</m:t>
            </m:r>
          </m:sub>
        </m:sSub>
        <m:r>
          <m:rPr>
            <m:sty m:val="p"/>
          </m:rPr>
          <m:t>∥</m:t>
        </m:r>
        <m:r>
          <m:t>τ</m:t>
        </m:r>
        <m:r>
          <m:rPr>
            <m:sty m:val="p"/>
          </m:rPr>
          <m:t>∥</m:t>
        </m:r>
        <m:sSub>
          <m:e>
            <m:r>
              <m:t>T</m:t>
            </m:r>
          </m:e>
          <m:sub>
            <m:r>
              <m:t>s</m:t>
            </m:r>
          </m:sub>
        </m:sSub>
        <m:r>
          <m:rPr>
            <m:sty m:val="p"/>
          </m:rPr>
          <m:t>)</m:t>
        </m:r>
      </m:oMath>
      <w:r>
        <w:t xml:space="preserve"> </w:t>
      </w:r>
      <w:r>
        <w:t xml:space="preserve">is encrypted using ChaCha20-Poly1305 with key</w:t>
      </w:r>
      <w:r>
        <w:t xml:space="preserve"> </w:t>
      </w:r>
      <m:oMath>
        <m:sSub>
          <m:e>
            <m:r>
              <m:t>K</m:t>
            </m:r>
          </m:e>
          <m:sub>
            <m:r>
              <m:t>e</m:t>
            </m:r>
            <m:r>
              <m:t>n</m:t>
            </m:r>
            <m:r>
              <m:t>c</m:t>
            </m:r>
          </m:sub>
        </m:sSub>
      </m:oMath>
      <w:r>
        <w:t xml:space="preserve"> </w:t>
      </w:r>
      <w:r>
        <w:t xml:space="preserve">and a fresh 96-bit CSPRNG nonce</w:t>
      </w:r>
      <w:r>
        <w:t xml:space="preserve"> </w:t>
      </w:r>
      <m:oMath>
        <m:r>
          <m:rPr>
            <m:scr m:val="script"/>
            <m:sty m:val="p"/>
          </m:rPr>
          <m:t>N</m:t>
        </m:r>
      </m:oMath>
      <w:r>
        <w:t xml:space="preserve">:</w:t>
      </w:r>
    </w:p>
    <w:p>
      <w:pPr>
        <w:pStyle w:val="BodyText"/>
      </w:pPr>
      <m:oMathPara>
        <m:oMathParaPr>
          <m:jc m:val="center"/>
        </m:oMathParaPr>
        <m:oMath>
          <m:r>
            <m:rPr>
              <m:sty m:val="p"/>
            </m:rPr>
            <m:t>(</m:t>
          </m:r>
          <m:r>
            <m:t>C</m:t>
          </m:r>
          <m:r>
            <m:rPr>
              <m:sty m:val="p"/>
            </m:rPr>
            <m:t>,</m:t>
          </m:r>
          <m:r>
            <m:t> </m:t>
          </m:r>
          <m:r>
            <m:rPr>
              <m:nor/>
              <m:sty m:val="p"/>
            </m:rPr>
            <m:t>Tag</m:t>
          </m:r>
          <m:r>
            <m:rPr>
              <m:sty m:val="p"/>
            </m:rPr>
            <m:t>)</m:t>
          </m:r>
          <m:r>
            <m:rPr>
              <m:sty m:val="p"/>
            </m:rPr>
            <m:t>=</m:t>
          </m:r>
          <m:r>
            <m:rPr>
              <m:nor/>
              <m:sty m:val="p"/>
            </m:rPr>
            <m:t>ChaCha20-Poly1305-Encrypt</m:t>
          </m:r>
          <m:r>
            <m:rPr>
              <m:sty m:val="p"/>
            </m:rPr>
            <m:t>(</m:t>
          </m:r>
          <m:sSub>
            <m:e>
              <m:r>
                <m:t>K</m:t>
              </m:r>
            </m:e>
            <m:sub>
              <m:r>
                <m:t>e</m:t>
              </m:r>
              <m:r>
                <m:t>n</m:t>
              </m:r>
              <m:r>
                <m:t>c</m:t>
              </m:r>
            </m:sub>
          </m:sSub>
          <m:r>
            <m:rPr>
              <m:sty m:val="p"/>
            </m:rPr>
            <m:t>,</m:t>
          </m:r>
          <m:r>
            <m:rPr>
              <m:scr m:val="script"/>
              <m:sty m:val="p"/>
            </m:rPr>
            <m:t>N</m:t>
          </m:r>
          <m:r>
            <m:rPr>
              <m:sty m:val="p"/>
            </m:rPr>
            <m:t>,</m:t>
          </m:r>
          <m:r>
            <m:t>M</m:t>
          </m:r>
          <m:r>
            <m:rPr>
              <m:sty m:val="p"/>
            </m:rPr>
            <m:t>)</m:t>
          </m:r>
        </m:oMath>
      </m:oMathPara>
    </w:p>
    <w:p>
      <w:pPr>
        <w:pStyle w:val="FirstParagraph"/>
      </w:pPr>
      <w:r>
        <w:t xml:space="preserve">The generated transport datagram is</w:t>
      </w:r>
      <w:r>
        <w:t xml:space="preserve"> </w:t>
      </w:r>
      <m:oMath>
        <m:r>
          <m:t>P</m:t>
        </m:r>
        <m:r>
          <m:rPr>
            <m:sty m:val="p"/>
          </m:rPr>
          <m:t>=</m:t>
        </m:r>
        <m:r>
          <m:rPr>
            <m:scr m:val="script"/>
            <m:sty m:val="p"/>
          </m:rPr>
          <m:t>N</m:t>
        </m:r>
        <m:r>
          <m:rPr>
            <m:sty m:val="p"/>
          </m:rPr>
          <m:t>∥</m:t>
        </m:r>
        <m:r>
          <m:t>C</m:t>
        </m:r>
        <m:r>
          <m:rPr>
            <m:sty m:val="p"/>
          </m:rPr>
          <m:t>∥</m:t>
        </m:r>
        <m:r>
          <m:rPr>
            <m:nor/>
            <m:sty m:val="p"/>
          </m:rPr>
          <m:t>Tag</m:t>
        </m:r>
      </m:oMath>
      <w:r>
        <w:t xml:space="preserve">.</w:t>
      </w:r>
    </w:p>
    <w:p>
      <w:pPr>
        <w:pStyle w:val="BodyText"/>
      </w:pPr>
      <w:r>
        <w:t xml:space="preserve">@ll@</w:t>
      </w:r>
      <w:r>
        <w:br/>
      </w:r>
      <w:r>
        <w:br/>
      </w:r>
      <w:r>
        <w:t xml:space="preserve">: &amp; Parse</w:t>
      </w:r>
      <w:r>
        <w:t xml:space="preserve"> </w:t>
      </w:r>
      <m:oMath>
        <m:r>
          <m:rPr>
            <m:scr m:val="script"/>
            <m:sty m:val="p"/>
          </m:rPr>
          <m:t>N</m:t>
        </m:r>
        <m:r>
          <m:rPr>
            <m:sty m:val="p"/>
          </m:rPr>
          <m:t>∥</m:t>
        </m:r>
        <m:r>
          <m:t>C</m:t>
        </m:r>
        <m:r>
          <m:rPr>
            <m:sty m:val="p"/>
          </m:rPr>
          <m:t>∥</m:t>
        </m:r>
        <m:r>
          <m:rPr>
            <m:nor/>
            <m:sty m:val="p"/>
          </m:rPr>
          <m:t>Tag</m:t>
        </m:r>
        <m:r>
          <m:rPr>
            <m:sty m:val="p"/>
          </m:rPr>
          <m:t>←</m:t>
        </m:r>
        <m:r>
          <m:t>P</m:t>
        </m:r>
      </m:oMath>
      <w:r>
        <w:br/>
      </w:r>
      <w:r>
        <w:t xml:space="preserve">2: &amp;</w:t>
      </w:r>
      <w:r>
        <w:t xml:space="preserve"> </w:t>
      </w:r>
      <m:oMath>
        <m:r>
          <m:t>M</m:t>
        </m:r>
        <m:r>
          <m:rPr>
            <m:sty m:val="p"/>
          </m:rPr>
          <m:t>←</m:t>
        </m:r>
        <m:r>
          <m:rPr>
            <m:nor/>
            <m:sty m:val="p"/>
          </m:rPr>
          <m:t>ChaCha20-Poly1305-Decrypt</m:t>
        </m:r>
        <m:r>
          <m:rPr>
            <m:sty m:val="p"/>
          </m:rPr>
          <m:t>(</m:t>
        </m:r>
        <m:sSub>
          <m:e>
            <m:r>
              <m:t>K</m:t>
            </m:r>
          </m:e>
          <m:sub>
            <m:r>
              <m:t>e</m:t>
            </m:r>
            <m:r>
              <m:t>n</m:t>
            </m:r>
            <m:r>
              <m:t>c</m:t>
            </m:r>
          </m:sub>
        </m:sSub>
        <m:r>
          <m:rPr>
            <m:sty m:val="p"/>
          </m:rPr>
          <m:t>,</m:t>
        </m:r>
        <m:r>
          <m:rPr>
            <m:scr m:val="script"/>
            <m:sty m:val="p"/>
          </m:rPr>
          <m:t>N</m:t>
        </m:r>
        <m:r>
          <m:rPr>
            <m:sty m:val="p"/>
          </m:rPr>
          <m:t>,</m:t>
        </m:r>
        <m:r>
          <m:t>C</m:t>
        </m:r>
        <m:r>
          <m:rPr>
            <m:sty m:val="p"/>
          </m:rPr>
          <m:t>,</m:t>
        </m:r>
        <m:r>
          <m:rPr>
            <m:nor/>
            <m:sty m:val="p"/>
          </m:rPr>
          <m:t>Tag</m:t>
        </m:r>
        <m:r>
          <m:rPr>
            <m:sty m:val="p"/>
          </m:rPr>
          <m:t>)</m:t>
        </m:r>
      </m:oMath>
      <w:r>
        <w:br/>
      </w:r>
      <w:r>
        <w:t xml:space="preserve">3: &amp;</w:t>
      </w:r>
      <w:r>
        <w:t xml:space="preserve"> </w:t>
      </w:r>
      <w:r>
        <w:rPr>
          <w:b/>
          <w:bCs/>
        </w:rPr>
        <w:t xml:space="preserve">if</w:t>
      </w:r>
      <w:r>
        <w:t xml:space="preserve"> </w:t>
      </w:r>
      <m:oMath>
        <m:r>
          <m:t>M</m:t>
        </m:r>
        <m:r>
          <m:rPr>
            <m:sty m:val="p"/>
          </m:rPr>
          <m:t>=</m:t>
        </m:r>
        <m:r>
          <m:rPr>
            <m:sty m:val="p"/>
          </m:rPr>
          <m:t>⊥</m:t>
        </m:r>
      </m:oMath>
      <w:r>
        <w:t xml:space="preserve"> </w:t>
      </w:r>
      <w:r>
        <w:rPr>
          <w:b/>
          <w:bCs/>
        </w:rPr>
        <w:t xml:space="preserve">then return</w:t>
      </w:r>
      <w:r>
        <w:t xml:space="preserve"> </w:t>
      </w:r>
      <w:r>
        <w:rPr>
          <w:b/>
          <w:bCs/>
        </w:rPr>
        <w:t xml:space="preserve">Tampered</w:t>
      </w:r>
      <w:r>
        <w:t xml:space="preserve"> </w:t>
      </w:r>
      <w:r>
        <w:t xml:space="preserve">(AEAD tag failure)</w:t>
      </w:r>
      <w:r>
        <w:br/>
      </w:r>
      <w:r>
        <w:t xml:space="preserve">4: &amp; Deconstruct</w:t>
      </w:r>
      <w:r>
        <w:t xml:space="preserve"> </w:t>
      </w:r>
      <m:oMath>
        <m:r>
          <m:rPr>
            <m:sty m:val="p"/>
          </m:rPr>
          <m:t>(</m:t>
        </m:r>
        <m:sSub>
          <m:e>
            <m:r>
              <m:t>I</m:t>
            </m:r>
          </m:e>
          <m:sub>
            <m:r>
              <m:t>w</m:t>
            </m:r>
          </m:sub>
        </m:sSub>
        <m:r>
          <m:rPr>
            <m:sty m:val="p"/>
          </m:rPr>
          <m:t>∥</m:t>
        </m:r>
        <m:r>
          <m:t>τ</m:t>
        </m:r>
        <m:r>
          <m:rPr>
            <m:sty m:val="p"/>
          </m:rPr>
          <m:t>∥</m:t>
        </m:r>
        <m:sSub>
          <m:e>
            <m:r>
              <m:t>T</m:t>
            </m:r>
          </m:e>
          <m:sub>
            <m:r>
              <m:t>s</m:t>
            </m:r>
          </m:sub>
        </m:sSub>
        <m:r>
          <m:rPr>
            <m:sty m:val="p"/>
          </m:rPr>
          <m:t>)</m:t>
        </m:r>
        <m:r>
          <m:rPr>
            <m:sty m:val="p"/>
          </m:rPr>
          <m:t>←</m:t>
        </m:r>
        <m:r>
          <m:t>M</m:t>
        </m:r>
      </m:oMath>
      <w:r>
        <w:br/>
      </w:r>
      <w:r>
        <w:t xml:space="preserve">5: &amp;</w:t>
      </w:r>
      <w:r>
        <w:t xml:space="preserve"> </w:t>
      </w:r>
      <w:r>
        <w:rPr>
          <w:b/>
          <w:bCs/>
        </w:rPr>
        <w:t xml:space="preserve">if</w:t>
      </w:r>
      <w:r>
        <w:t xml:space="preserve"> </w:t>
      </w:r>
      <m:oMath>
        <m:r>
          <m:rPr>
            <m:sty m:val="p"/>
          </m:rPr>
          <m:t>|</m:t>
        </m:r>
        <m:r>
          <m:t>​</m:t>
        </m:r>
        <m:sSub>
          <m:e>
            <m:r>
              <m:t>T</m:t>
            </m:r>
          </m:e>
          <m:sub>
            <m:r>
              <m:t>n</m:t>
            </m:r>
            <m:r>
              <m:t>o</m:t>
            </m:r>
            <m:r>
              <m:t>w</m:t>
            </m:r>
          </m:sub>
        </m:sSub>
        <m:r>
          <m:rPr>
            <m:sty m:val="p"/>
          </m:rPr>
          <m:t>−</m:t>
        </m:r>
        <m:sSub>
          <m:e>
            <m:r>
              <m:t>T</m:t>
            </m:r>
          </m:e>
          <m:sub>
            <m:r>
              <m:t>s</m:t>
            </m:r>
          </m:sub>
        </m:sSub>
        <m:r>
          <m:rPr>
            <m:sty m:val="p"/>
          </m:rPr>
          <m:t>|</m:t>
        </m:r>
        <m:r>
          <m:t>​</m:t>
        </m:r>
        <m:r>
          <m:rPr>
            <m:sty m:val="p"/>
          </m:rPr>
          <m:t>&gt;</m:t>
        </m:r>
        <m:r>
          <m:t>30</m:t>
        </m:r>
        <m:r>
          <m:t> </m:t>
        </m:r>
        <m:r>
          <m:rPr>
            <m:nor/>
            <m:sty m:val="p"/>
          </m:rPr>
          <m:t>s</m:t>
        </m:r>
      </m:oMath>
      <w:r>
        <w:t xml:space="preserve"> </w:t>
      </w:r>
      <w:r>
        <w:rPr>
          <w:b/>
          <w:bCs/>
        </w:rPr>
        <w:t xml:space="preserve">then return</w:t>
      </w:r>
      <w:r>
        <w:t xml:space="preserve"> </w:t>
      </w:r>
      <w:r>
        <w:rPr>
          <w:b/>
          <w:bCs/>
        </w:rPr>
        <w:t xml:space="preserve">Replay</w:t>
      </w:r>
      <w:r>
        <w:t xml:space="preserve"> </w:t>
      </w:r>
      <w:r>
        <w:t xml:space="preserve">(Stale packet)</w:t>
      </w:r>
      <w:r>
        <w:br/>
      </w:r>
      <w:r>
        <w:t xml:space="preserve">6: &amp;</w:t>
      </w:r>
      <w:r>
        <w:t xml:space="preserve"> </w:t>
      </w:r>
      <m:oMath>
        <m:sSub>
          <m:e>
            <m:r>
              <m:t>τ</m:t>
            </m:r>
          </m:e>
          <m:sub>
            <m:r>
              <m:rPr>
                <m:sty m:val="i"/>
              </m:rPr>
              <m:t>c</m:t>
            </m:r>
            <m:r>
              <m:rPr>
                <m:sty m:val="i"/>
              </m:rPr>
              <m:t>a</m:t>
            </m:r>
            <m:r>
              <m:rPr>
                <m:sty m:val="i"/>
              </m:rPr>
              <m:t>l</m:t>
            </m:r>
            <m:r>
              <m:rPr>
                <m:sty m:val="i"/>
              </m:rPr>
              <m:t>c</m:t>
            </m:r>
          </m:sub>
        </m:sSub>
        <m:r>
          <m:rPr>
            <m:sty m:val="p"/>
          </m:rPr>
          <m:t>←</m:t>
        </m:r>
        <m:r>
          <m:rPr>
            <m:nor/>
            <m:sty m:val="p"/>
          </m:rPr>
          <m:t>BLAKE3</m:t>
        </m:r>
        <m:r>
          <m:rPr>
            <m:sty m:val="p"/>
          </m:rPr>
          <m:t>(</m:t>
        </m:r>
        <m:r>
          <m:t>D</m:t>
        </m:r>
        <m:r>
          <m:t>e</m:t>
        </m:r>
        <m:r>
          <m:t>v</m:t>
        </m:r>
        <m:r>
          <m:t>I</m:t>
        </m:r>
        <m:r>
          <m:t>D</m:t>
        </m:r>
        <m:r>
          <m:rPr>
            <m:sty m:val="p"/>
          </m:rPr>
          <m:t>∥</m:t>
        </m:r>
        <m:sSub>
          <m:e>
            <m:r>
              <m:t>K</m:t>
            </m:r>
          </m:e>
          <m:sub>
            <m:r>
              <m:t>s</m:t>
            </m:r>
            <m:r>
              <m:t>e</m:t>
            </m:r>
            <m:r>
              <m:t>c</m:t>
            </m:r>
          </m:sub>
        </m:sSub>
        <m:r>
          <m:rPr>
            <m:sty m:val="p"/>
          </m:rPr>
          <m:t>∥</m:t>
        </m:r>
        <m:r>
          <m:rPr>
            <m:nor/>
            <m:sty m:val="p"/>
          </m:rPr>
          <m:t>Serialize</m:t>
        </m:r>
        <m:r>
          <m:rPr>
            <m:sty m:val="p"/>
          </m:rPr>
          <m:t>(</m:t>
        </m:r>
        <m:sSub>
          <m:e>
            <m:r>
              <m:t>I</m:t>
            </m:r>
          </m:e>
          <m:sub>
            <m:r>
              <m:t>w</m:t>
            </m:r>
          </m:sub>
        </m:sSub>
        <m:r>
          <m:rPr>
            <m:sty m:val="p"/>
          </m:rPr>
          <m:t>)</m:t>
        </m:r>
        <m:r>
          <m:rPr>
            <m:sty m:val="p"/>
          </m:rPr>
          <m:t>∥</m:t>
        </m:r>
        <m:sSub>
          <m:e>
            <m:r>
              <m:t>T</m:t>
            </m:r>
          </m:e>
          <m:sub>
            <m:r>
              <m:t>s</m:t>
            </m:r>
          </m:sub>
        </m:sSub>
        <m:r>
          <m:rPr>
            <m:sty m:val="p"/>
          </m:rPr>
          <m:t>)</m:t>
        </m:r>
      </m:oMath>
      <w:r>
        <w:br/>
      </w:r>
      <w:r>
        <w:t xml:space="preserve">7: &amp;</w:t>
      </w:r>
      <w:r>
        <w:t xml:space="preserve"> </w:t>
      </w:r>
      <w:r>
        <w:rPr>
          <w:b/>
          <w:bCs/>
        </w:rPr>
        <w:t xml:space="preserve">if</w:t>
      </w:r>
      <w:r>
        <w:t xml:space="preserve"> </w:t>
      </w:r>
      <m:oMath>
        <m:r>
          <m:t>τ</m:t>
        </m:r>
        <m:r>
          <m:rPr>
            <m:sty m:val="p"/>
          </m:rPr>
          <m:t>≠</m:t>
        </m:r>
        <m:sSub>
          <m:e>
            <m:r>
              <m:t>τ</m:t>
            </m:r>
          </m:e>
          <m:sub>
            <m:r>
              <m:rPr>
                <m:sty m:val="i"/>
              </m:rPr>
              <m:t>c</m:t>
            </m:r>
            <m:r>
              <m:rPr>
                <m:sty m:val="i"/>
              </m:rPr>
              <m:t>a</m:t>
            </m:r>
            <m:r>
              <m:rPr>
                <m:sty m:val="i"/>
              </m:rPr>
              <m:t>l</m:t>
            </m:r>
            <m:r>
              <m:rPr>
                <m:sty m:val="i"/>
              </m:rPr>
              <m:t>c</m:t>
            </m:r>
          </m:sub>
        </m:sSub>
      </m:oMath>
      <w:r>
        <w:t xml:space="preserve"> </w:t>
      </w:r>
      <w:r>
        <w:rPr>
          <w:b/>
          <w:bCs/>
        </w:rPr>
        <w:t xml:space="preserve">then return</w:t>
      </w:r>
      <w:r>
        <w:t xml:space="preserve"> </w:t>
      </w:r>
      <w:r>
        <w:rPr>
          <w:b/>
          <w:bCs/>
        </w:rPr>
        <w:t xml:space="preserve">Tampered</w:t>
      </w:r>
      <w:r>
        <w:t xml:space="preserve"> </w:t>
      </w:r>
      <w:r>
        <w:t xml:space="preserve">(Cryptographic hash mismatch)</w:t>
      </w:r>
      <w:r>
        <w:br/>
      </w:r>
      <w:r>
        <w:t xml:space="preserve">8: &amp; Extract</w:t>
      </w:r>
      <w:r>
        <w:t xml:space="preserve"> </w:t>
      </w:r>
      <m:oMath>
        <m:sSub>
          <m:e>
            <m:r>
              <m:t>W</m:t>
            </m:r>
          </m:e>
          <m:sub>
            <m:r>
              <m:t>e</m:t>
            </m:r>
            <m:r>
              <m:t>x</m:t>
            </m:r>
            <m:r>
              <m:t>t</m:t>
            </m:r>
          </m:sub>
        </m:sSub>
      </m:oMath>
      <w:r>
        <w:t xml:space="preserve"> </w:t>
      </w:r>
      <w:r>
        <w:t xml:space="preserve">from LSBs of</w:t>
      </w:r>
      <w:r>
        <w:t xml:space="preserve"> </w:t>
      </w:r>
      <m:oMath>
        <m:sSub>
          <m:e>
            <m:r>
              <m:t>I</m:t>
            </m:r>
          </m:e>
          <m:sub>
            <m:r>
              <m:t>w</m:t>
            </m:r>
          </m:sub>
        </m:sSub>
      </m:oMath>
      <w:r>
        <w:br/>
      </w:r>
      <w:r>
        <w:t xml:space="preserve">9: &amp;</w:t>
      </w:r>
      <w:r>
        <w:t xml:space="preserve"> </w:t>
      </w:r>
      <w:r>
        <w:rPr>
          <w:b/>
          <w:bCs/>
        </w:rPr>
        <w:t xml:space="preserve">if</w:t>
      </w:r>
      <w:r>
        <w:t xml:space="preserve"> </w:t>
      </w:r>
      <m:oMath>
        <m:sSub>
          <m:e>
            <m:r>
              <m:t>W</m:t>
            </m:r>
          </m:e>
          <m:sub>
            <m:r>
              <m:t>e</m:t>
            </m:r>
            <m:r>
              <m:t>x</m:t>
            </m:r>
            <m:r>
              <m:t>t</m:t>
            </m:r>
          </m:sub>
        </m:sSub>
        <m:r>
          <m:rPr>
            <m:sty m:val="p"/>
          </m:rPr>
          <m:t>≠</m:t>
        </m:r>
        <m:sSub>
          <m:e>
            <m:r>
              <m:t>W</m:t>
            </m:r>
          </m:e>
          <m:sub>
            <m:r>
              <m:t>e</m:t>
            </m:r>
            <m:r>
              <m:t>x</m:t>
            </m:r>
            <m:r>
              <m:t>p</m:t>
            </m:r>
          </m:sub>
        </m:sSub>
      </m:oMath>
      <w:r>
        <w:t xml:space="preserve"> </w:t>
      </w:r>
      <w:r>
        <w:rPr>
          <w:b/>
          <w:bCs/>
        </w:rPr>
        <w:t xml:space="preserve">then return</w:t>
      </w:r>
      <w:r>
        <w:t xml:space="preserve"> </w:t>
      </w:r>
      <w:r>
        <w:rPr>
          <w:b/>
          <w:bCs/>
        </w:rPr>
        <w:t xml:space="preserve">Tampered</w:t>
      </w:r>
      <w:r>
        <w:t xml:space="preserve"> </w:t>
      </w:r>
      <w:r>
        <w:t xml:space="preserve">(Provenance mismatch)</w:t>
      </w:r>
      <w:r>
        <w:br/>
      </w:r>
      <w:r>
        <w:t xml:space="preserve">10: &amp;</w:t>
      </w:r>
      <w:r>
        <w:t xml:space="preserve"> </w:t>
      </w:r>
      <w:r>
        <w:rPr>
          <w:b/>
          <w:bCs/>
        </w:rPr>
        <w:t xml:space="preserve">return</w:t>
      </w:r>
      <w:r>
        <w:t xml:space="preserve"> </w:t>
      </w:r>
      <w:r>
        <w:rPr>
          <w:b/>
          <w:bCs/>
        </w:rPr>
        <w:t xml:space="preserve">Authentic</w:t>
      </w:r>
      <w:r>
        <w:br/>
      </w:r>
    </w:p>
    <w:p>
      <w:pPr>
        <w:pStyle w:val="BodyText"/>
      </w:pPr>
      <w:r>
        <w:t xml:space="preserve">Algorithm </w:t>
      </w:r>
      <w:hyperlink w:anchor="alg:verification">
        <w:r>
          <w:rPr>
            <w:rStyle w:val="Hyperlink"/>
          </w:rPr>
          <w:t xml:space="preserve">[alg:verification]</w:t>
        </w:r>
      </w:hyperlink>
      <w:r>
        <w:t xml:space="preserve"> </w:t>
      </w:r>
      <w:r>
        <w:t xml:space="preserve">and its corresponding logical flow in Fig. </w:t>
      </w:r>
      <w:hyperlink w:anchor="fig:architecture">
        <w:r>
          <w:rPr>
            <w:rStyle w:val="Hyperlink"/>
          </w:rPr>
          <w:t xml:space="preserve">1</w:t>
        </w:r>
      </w:hyperlink>
      <w:r>
        <w:t xml:space="preserve"> </w:t>
      </w:r>
      <w:r>
        <w:t xml:space="preserve">detail the multi-stage receiver verification process. Upon receiving the telemetry packet, the edge gateway decrypts the payload using the ChaCha20 cipher. To guarantee strict cryptographic integrity, the framework sequentially verifies the AEAD tag, enforces a strict 30-second timeout to mitigate replay attacks, validates the BLAKE3 hash, and finally extracts the LSB watermark to ensure clinical provenance. If any intermediate condition fails, the pipeline immediately aborts and flags the transmission as tampered or replayed.</w:t>
      </w:r>
    </w:p>
    <w:bookmarkStart w:id="16" w:name="fig:architecture"/>
    <w:p>
      <w:pPr>
        <w:pStyle w:val="CaptionedFigure"/>
      </w:pPr>
      <w:r>
        <w:drawing>
          <wp:inline>
            <wp:extent cx="5334000" cy="1670242"/>
            <wp:effectExtent b="0" l="0" r="0" t="0"/>
            <wp:docPr descr="" title="" id="14" name="Picture"/>
            <a:graphic>
              <a:graphicData uri="http://schemas.openxmlformats.org/drawingml/2006/picture">
                <pic:pic>
                  <pic:nvPicPr>
                    <pic:cNvPr descr="fig_architecture.png" id="15" name="Picture"/>
                    <pic:cNvPicPr>
                      <a:picLocks noChangeArrowheads="1" noChangeAspect="1"/>
                    </pic:cNvPicPr>
                  </pic:nvPicPr>
                  <pic:blipFill>
                    <a:blip r:embed="rId13"/>
                    <a:stretch>
                      <a:fillRect/>
                    </a:stretch>
                  </pic:blipFill>
                  <pic:spPr bwMode="auto">
                    <a:xfrm>
                      <a:off x="0" y="0"/>
                      <a:ext cx="5334000" cy="1670242"/>
                    </a:xfrm>
                    <a:prstGeom prst="rect">
                      <a:avLst/>
                    </a:prstGeom>
                    <a:noFill/>
                    <a:ln w="9525">
                      <a:noFill/>
                      <a:headEnd/>
                      <a:tailEnd/>
                    </a:ln>
                  </pic:spPr>
                </pic:pic>
              </a:graphicData>
            </a:graphic>
          </wp:inline>
        </w:drawing>
      </w:r>
    </w:p>
    <w:p>
      <w:pPr>
        <w:pStyle w:val="ImageCaption"/>
      </w:pPr>
      <w:r>
        <w:t xml:space="preserve">Logical architecture and decision flow of the receiver verification stage, illustrating the sequential cryptographic and provenance checks.</w:t>
      </w:r>
    </w:p>
    <w:bookmarkEnd w:id="16"/>
    <w:bookmarkEnd w:id="17"/>
    <w:bookmarkEnd w:id="18"/>
    <w:bookmarkStart w:id="35" w:name="experimental-results-and-discussion"/>
    <w:p>
      <w:pPr>
        <w:pStyle w:val="Heading1"/>
      </w:pPr>
      <w:r>
        <w:t xml:space="preserve">Experimental Results and Discussion</w:t>
      </w:r>
    </w:p>
    <w:bookmarkStart w:id="19" w:name="tab:dataset_fidelity"/>
    <w:p>
      <w:pPr>
        <w:pStyle w:val="TableCaption"/>
      </w:pPr>
      <w:r>
        <w:t xml:space="preserve">Unified Dataset Attributes and Evaluated Diagnostic Fidelity Metrics</w:t>
      </w:r>
    </w:p>
    <w:tbl>
      <w:tblPr>
        <w:tblStyle w:val="Table"/>
        <w:tblW w:type="auto" w:w="0"/>
        <w:tblLook w:firstRow="1" w:lastRow="0" w:firstColumn="0" w:lastColumn="0" w:noHBand="0" w:noVBand="0" w:val="0020"/>
        <w:tblCaption w:val="Unified Dataset Attributes and Evaluated Diagnostic Fidelity Metrics"/>
      </w:tblPr>
      <w:tblGrid>
        <w:gridCol w:w="1131"/>
        <w:gridCol w:w="1131"/>
        <w:gridCol w:w="1131"/>
        <w:gridCol w:w="1131"/>
        <w:gridCol w:w="1131"/>
        <w:gridCol w:w="1131"/>
        <w:gridCol w:w="1131"/>
      </w:tblGrid>
      <w:tr>
        <w:trPr>
          <w:tblHeader w:val="on"/>
        </w:trPr>
        <w:tc>
          <w:tcPr/>
          <w:p>
            <w:pPr>
              <w:pStyle w:val="Compact"/>
              <w:jc w:val="left"/>
            </w:pPr>
            <w:r>
              <w:t xml:space="preserve">Modality</w:t>
            </w:r>
          </w:p>
        </w:tc>
        <w:tc>
          <w:tcPr/>
          <w:p>
            <w:pPr>
              <w:pStyle w:val="Compact"/>
              <w:jc w:val="center"/>
            </w:pPr>
            <w:r>
              <w:t xml:space="preserve">Resolution</w:t>
            </w:r>
          </w:p>
        </w:tc>
        <w:tc>
          <w:tcPr/>
          <w:p>
            <w:pPr>
              <w:pStyle w:val="Compact"/>
              <w:jc w:val="center"/>
            </w:pPr>
            <w:r>
              <w:t xml:space="preserve">Bit Depth</w:t>
            </w:r>
          </w:p>
        </w:tc>
        <w:tc>
          <w:tcPr/>
          <w:p>
            <w:pPr>
              <w:pStyle w:val="Compact"/>
              <w:jc w:val="center"/>
            </w:pPr>
            <w:r>
              <w:t xml:space="preserve">Raw Size</w:t>
            </w:r>
          </w:p>
        </w:tc>
        <w:tc>
          <w:tcPr/>
          <w:p>
            <w:pPr>
              <w:pStyle w:val="Compact"/>
              <w:jc w:val="center"/>
            </w:pPr>
            <w:r>
              <w:t xml:space="preserve">PSNR (dB)</w:t>
            </w:r>
          </w:p>
        </w:tc>
        <w:tc>
          <w:tcPr/>
          <w:p>
            <w:pPr>
              <w:pStyle w:val="Compact"/>
              <w:jc w:val="center"/>
            </w:pPr>
            <w:r>
              <w:t xml:space="preserve">SSIM</w:t>
            </w:r>
          </w:p>
        </w:tc>
        <w:tc>
          <w:tcPr/>
          <w:p>
            <w:pPr>
              <w:pStyle w:val="Compact"/>
              <w:jc w:val="center"/>
            </w:pPr>
            <w:r>
              <w:t xml:space="preserve">BER (%)</w:t>
            </w:r>
          </w:p>
        </w:tc>
      </w:tr>
      <w:tr>
        <w:tc>
          <w:tcPr/>
          <w:p>
            <w:pPr>
              <w:pStyle w:val="Compact"/>
              <w:jc w:val="left"/>
            </w:pPr>
            <w:r>
              <w:t xml:space="preserve">Cranial CT</w:t>
            </w:r>
          </w:p>
        </w:tc>
        <w:tc>
          <w:tcPr/>
          <w:p>
            <w:pPr>
              <w:pStyle w:val="Compact"/>
              <w:jc w:val="center"/>
            </w:pPr>
            <m:oMath>
              <m:r>
                <m:t>512</m:t>
              </m:r>
              <m:r>
                <m:rPr>
                  <m:sty m:val="p"/>
                </m:rPr>
                <m:t>×</m:t>
              </m:r>
              <m:r>
                <m:t>512</m:t>
              </m:r>
            </m:oMath>
            <w:r>
              <w:t xml:space="preserve">​</w:t>
            </w:r>
          </w:p>
        </w:tc>
        <w:tc>
          <w:tcPr/>
          <w:p>
            <w:pPr>
              <w:pStyle w:val="Compact"/>
              <w:jc w:val="center"/>
            </w:pPr>
            <w:r>
              <w:t xml:space="preserve">16-bit</w:t>
            </w:r>
          </w:p>
        </w:tc>
        <w:tc>
          <w:tcPr/>
          <w:p>
            <w:pPr>
              <w:pStyle w:val="Compact"/>
              <w:jc w:val="center"/>
            </w:pPr>
            <w:r>
              <w:t xml:space="preserve">512 KB</w:t>
            </w:r>
          </w:p>
        </w:tc>
        <w:tc>
          <w:tcPr/>
          <w:p>
            <w:pPr>
              <w:pStyle w:val="Compact"/>
              <w:jc w:val="center"/>
            </w:pPr>
            <w:r>
              <w:t xml:space="preserve">51.42</w:t>
            </w:r>
          </w:p>
        </w:tc>
        <w:tc>
          <w:tcPr/>
          <w:p>
            <w:pPr>
              <w:pStyle w:val="Compact"/>
              <w:jc w:val="center"/>
            </w:pPr>
            <w:r>
              <w:t xml:space="preserve">0.9997</w:t>
            </w:r>
          </w:p>
        </w:tc>
        <w:tc>
          <w:tcPr/>
          <w:p>
            <w:pPr>
              <w:pStyle w:val="Compact"/>
              <w:jc w:val="center"/>
            </w:pPr>
            <w:r>
              <w:t xml:space="preserve">0.00</w:t>
            </w:r>
          </w:p>
        </w:tc>
      </w:tr>
      <w:tr>
        <w:tc>
          <w:tcPr/>
          <w:p>
            <w:pPr>
              <w:pStyle w:val="Compact"/>
              <w:jc w:val="left"/>
            </w:pPr>
            <w:r>
              <w:t xml:space="preserve">Chest X-Ray</w:t>
            </w:r>
          </w:p>
        </w:tc>
        <w:tc>
          <w:tcPr/>
          <w:p>
            <w:pPr>
              <w:pStyle w:val="Compact"/>
              <w:jc w:val="center"/>
            </w:pPr>
            <m:oMath>
              <m:r>
                <m:t>1024</m:t>
              </m:r>
              <m:r>
                <m:rPr>
                  <m:sty m:val="p"/>
                </m:rPr>
                <m:t>×</m:t>
              </m:r>
              <m:r>
                <m:t>1024</m:t>
              </m:r>
            </m:oMath>
            <w:r>
              <w:t xml:space="preserve">​</w:t>
            </w:r>
          </w:p>
        </w:tc>
        <w:tc>
          <w:tcPr/>
          <w:p>
            <w:pPr>
              <w:pStyle w:val="Compact"/>
              <w:jc w:val="center"/>
            </w:pPr>
            <w:r>
              <w:t xml:space="preserve">16-bit</w:t>
            </w:r>
          </w:p>
        </w:tc>
        <w:tc>
          <w:tcPr/>
          <w:p>
            <w:pPr>
              <w:pStyle w:val="Compact"/>
              <w:jc w:val="center"/>
            </w:pPr>
            <w:r>
              <w:t xml:space="preserve">2.0 MB</w:t>
            </w:r>
          </w:p>
        </w:tc>
        <w:tc>
          <w:tcPr/>
          <w:p>
            <w:pPr>
              <w:pStyle w:val="Compact"/>
              <w:jc w:val="center"/>
            </w:pPr>
            <w:r>
              <w:t xml:space="preserve">52.14</w:t>
            </w:r>
          </w:p>
        </w:tc>
        <w:tc>
          <w:tcPr/>
          <w:p>
            <w:pPr>
              <w:pStyle w:val="Compact"/>
              <w:jc w:val="center"/>
            </w:pPr>
            <w:r>
              <w:t xml:space="preserve">0.9998</w:t>
            </w:r>
          </w:p>
        </w:tc>
        <w:tc>
          <w:tcPr/>
          <w:p>
            <w:pPr>
              <w:pStyle w:val="Compact"/>
              <w:jc w:val="center"/>
            </w:pPr>
            <w:r>
              <w:t xml:space="preserve">0.00</w:t>
            </w:r>
          </w:p>
        </w:tc>
      </w:tr>
      <w:tr>
        <w:tc>
          <w:tcPr/>
          <w:p>
            <w:pPr>
              <w:pStyle w:val="Compact"/>
              <w:jc w:val="left"/>
            </w:pPr>
            <w:r>
              <w:t xml:space="preserve">Abdominal MRI</w:t>
            </w:r>
          </w:p>
        </w:tc>
        <w:tc>
          <w:tcPr/>
          <w:p>
            <w:pPr>
              <w:pStyle w:val="Compact"/>
              <w:jc w:val="center"/>
            </w:pPr>
            <m:oMath>
              <m:r>
                <m:t>512</m:t>
              </m:r>
              <m:r>
                <m:rPr>
                  <m:sty m:val="p"/>
                </m:rPr>
                <m:t>×</m:t>
              </m:r>
              <m:r>
                <m:t>512</m:t>
              </m:r>
            </m:oMath>
            <w:r>
              <w:t xml:space="preserve">​</w:t>
            </w:r>
          </w:p>
        </w:tc>
        <w:tc>
          <w:tcPr/>
          <w:p>
            <w:pPr>
              <w:pStyle w:val="Compact"/>
              <w:jc w:val="center"/>
            </w:pPr>
            <w:r>
              <w:t xml:space="preserve">16-bit</w:t>
            </w:r>
          </w:p>
        </w:tc>
        <w:tc>
          <w:tcPr/>
          <w:p>
            <w:pPr>
              <w:pStyle w:val="Compact"/>
              <w:jc w:val="center"/>
            </w:pPr>
            <w:r>
              <w:t xml:space="preserve">512 KB</w:t>
            </w:r>
          </w:p>
        </w:tc>
        <w:tc>
          <w:tcPr/>
          <w:p>
            <w:pPr>
              <w:pStyle w:val="Compact"/>
              <w:jc w:val="center"/>
            </w:pPr>
            <w:r>
              <w:t xml:space="preserve">53.08</w:t>
            </w:r>
          </w:p>
        </w:tc>
        <w:tc>
          <w:tcPr/>
          <w:p>
            <w:pPr>
              <w:pStyle w:val="Compact"/>
              <w:jc w:val="center"/>
            </w:pPr>
            <w:r>
              <w:t xml:space="preserve">0.9999</w:t>
            </w:r>
          </w:p>
        </w:tc>
        <w:tc>
          <w:tcPr/>
          <w:p>
            <w:pPr>
              <w:pStyle w:val="Compact"/>
              <w:jc w:val="center"/>
            </w:pPr>
            <w:r>
              <w:t xml:space="preserve">0.00</w:t>
            </w:r>
          </w:p>
        </w:tc>
      </w:tr>
      <w:tr>
        <w:tc>
          <w:tcPr/>
          <w:p>
            <w:pPr>
              <w:pStyle w:val="Compact"/>
              <w:jc w:val="left"/>
            </w:pPr>
            <w:r>
              <w:t xml:space="preserve">Cardiac Ultrasound</w:t>
            </w:r>
          </w:p>
        </w:tc>
        <w:tc>
          <w:tcPr/>
          <w:p>
            <w:pPr>
              <w:pStyle w:val="Compact"/>
              <w:jc w:val="center"/>
            </w:pPr>
            <m:oMath>
              <m:r>
                <m:t>640</m:t>
              </m:r>
              <m:r>
                <m:rPr>
                  <m:sty m:val="p"/>
                </m:rPr>
                <m:t>×</m:t>
              </m:r>
              <m:r>
                <m:t>480</m:t>
              </m:r>
            </m:oMath>
            <w:r>
              <w:t xml:space="preserve">​</w:t>
            </w:r>
          </w:p>
        </w:tc>
        <w:tc>
          <w:tcPr/>
          <w:p>
            <w:pPr>
              <w:pStyle w:val="Compact"/>
              <w:jc w:val="center"/>
            </w:pPr>
            <w:r>
              <w:t xml:space="preserve">8-bit</w:t>
            </w:r>
          </w:p>
        </w:tc>
        <w:tc>
          <w:tcPr/>
          <w:p>
            <w:pPr>
              <w:pStyle w:val="Compact"/>
              <w:jc w:val="center"/>
            </w:pPr>
            <w:r>
              <w:t xml:space="preserve">900 KB</w:t>
            </w:r>
          </w:p>
        </w:tc>
        <w:tc>
          <w:tcPr/>
          <w:p>
            <w:pPr>
              <w:pStyle w:val="Compact"/>
              <w:jc w:val="center"/>
            </w:pPr>
            <w:r>
              <w:t xml:space="preserve">49.82</w:t>
            </w:r>
          </w:p>
        </w:tc>
        <w:tc>
          <w:tcPr/>
          <w:p>
            <w:pPr>
              <w:pStyle w:val="Compact"/>
              <w:jc w:val="center"/>
            </w:pPr>
            <w:r>
              <w:t xml:space="preserve">0.9989</w:t>
            </w:r>
          </w:p>
        </w:tc>
        <w:tc>
          <w:tcPr/>
          <w:p>
            <w:pPr>
              <w:pStyle w:val="Compact"/>
              <w:jc w:val="center"/>
            </w:pPr>
            <w:r>
              <w:t xml:space="preserve">0.00</w:t>
            </w:r>
          </w:p>
        </w:tc>
      </w:tr>
    </w:tbl>
    <w:bookmarkEnd w:id="19"/>
    <w:p>
      <w:pPr>
        <w:pStyle w:val="BodyText"/>
      </w:pPr>
      <w:r>
        <w:t xml:space="preserve">Empirical tests were executed on a Raspberry Pi 3 Model B+ (Broadcom BCM2837B0, 4-core Cortex-A53 @ 1.4 GHz, Linux kernel 6.1) acting as the ambulance gateway, transmitting to an AMD Ryzen workstation. Benchmarks utilized official</w:t>
      </w:r>
      <w:r>
        <w:t xml:space="preserve"> </w:t>
      </w:r>
      <m:oMath>
        <m:r>
          <m:t>512</m:t>
        </m:r>
        <m:r>
          <m:rPr>
            <m:sty m:val="p"/>
          </m:rPr>
          <m:t>×</m:t>
        </m:r>
        <m:r>
          <m:t>512</m:t>
        </m:r>
      </m:oMath>
      <w:r>
        <w:t xml:space="preserve"> </w:t>
      </w:r>
      <w:r>
        <w:t xml:space="preserve">16-bit CT and X-ray DICOM datasets [14], detailed in Table </w:t>
      </w:r>
      <w:hyperlink w:anchor="tab:dataset_fidelity">
        <w:r>
          <w:rPr>
            <w:rStyle w:val="Hyperlink"/>
          </w:rPr>
          <w:t xml:space="preserve">2</w:t>
        </w:r>
      </w:hyperlink>
      <w:r>
        <w:t xml:space="preserve">.</w:t>
      </w:r>
    </w:p>
    <w:p>
      <w:pPr>
        <w:pStyle w:val="BodyText"/>
      </w:pPr>
      <w:r>
        <w:t xml:space="preserve">As detailed in Table </w:t>
      </w:r>
      <w:hyperlink w:anchor="tab:dataset_fidelity">
        <w:r>
          <w:rPr>
            <w:rStyle w:val="Hyperlink"/>
          </w:rPr>
          <w:t xml:space="preserve">2</w:t>
        </w:r>
      </w:hyperlink>
      <w:r>
        <w:t xml:space="preserve">, the evaluated datasets cover various critical clinical modalities, including high-resolution 16-bit Chest X-Rays and Cranial CT scans. The framework successfully exceeded the stringent target PSNR thresholds across all modalities while maintaining an exceptional Structural Similarity (SSIM) of</w:t>
      </w:r>
      <w:r>
        <w:t xml:space="preserve"> </w:t>
      </w:r>
      <m:oMath>
        <m:r>
          <m:rPr>
            <m:sty m:val="p"/>
          </m:rPr>
          <m:t>≥</m:t>
        </m:r>
        <m:r>
          <m:t>0.9989</m:t>
        </m:r>
      </m:oMath>
      <w:r>
        <w:t xml:space="preserve"> </w:t>
      </w:r>
      <w:r>
        <w:t xml:space="preserve">and zero bit error rate (BER), confirming that the fragile LSB spatial modifications introduce zero diagnostic degradation to the original medical matrix.</w:t>
      </w:r>
    </w:p>
    <w:bookmarkStart w:id="24" w:name="Xc86c23b91db1bc0fd8abf7f97cae4dae38f0136"/>
    <w:p>
      <w:pPr>
        <w:pStyle w:val="Heading2"/>
      </w:pPr>
      <w:r>
        <w:t xml:space="preserve">Processing Latency and Resource Consumption</w:t>
      </w:r>
    </w:p>
    <w:p>
      <w:pPr>
        <w:pStyle w:val="FirstParagraph"/>
      </w:pPr>
      <w:r>
        <w:t xml:space="preserve">As illustrated in Fig. </w:t>
      </w:r>
      <w:hyperlink w:anchor="fig:benchmarks">
        <w:r>
          <w:rPr>
            <w:rStyle w:val="Hyperlink"/>
          </w:rPr>
          <w:t xml:space="preserve">2</w:t>
        </w:r>
      </w:hyperlink>
      <w:r>
        <w:t xml:space="preserve">, averaged across 1</w:t>
      </w:r>
      <w:r>
        <w:t xml:space="preserve">,</w:t>
      </w:r>
      <w:r>
        <w:t xml:space="preserve">000 runs, ChaCha20-Poly1305 encryption completed in</w:t>
      </w:r>
      <w:r>
        <w:t xml:space="preserve"> </w:t>
      </w:r>
      <m:oMath>
        <m:r>
          <m:t>28.61</m:t>
        </m:r>
        <m:r>
          <m:t> </m:t>
        </m:r>
        <m:r>
          <m:rPr>
            <m:nor/>
            <m:sty m:val="p"/>
          </m:rPr>
          <m:t>ms</m:t>
        </m:r>
      </m:oMath>
      <w:r>
        <w:t xml:space="preserve">, outperforming AES-256 (</w:t>
      </w:r>
      <m:oMath>
        <m:r>
          <m:t>84.32</m:t>
        </m:r>
        <m:r>
          <m:t> </m:t>
        </m:r>
        <m:r>
          <m:rPr>
            <m:nor/>
            <m:sty m:val="p"/>
          </m:rPr>
          <m:t>ms</m:t>
        </m:r>
      </m:oMath>
      <w:r>
        <w:t xml:space="preserve">,</w:t>
      </w:r>
      <w:r>
        <w:t xml:space="preserve"> </w:t>
      </w:r>
      <m:oMath>
        <m:r>
          <m:t>2.94</m:t>
        </m:r>
        <m:r>
          <m:rPr>
            <m:sty m:val="p"/>
          </m:rPr>
          <m:t>×</m:t>
        </m:r>
      </m:oMath>
      <w:r>
        <w:t xml:space="preserve"> </w:t>
      </w:r>
      <w:r>
        <w:t xml:space="preserve">slower) and RSA-2048 (</w:t>
      </w:r>
      <m:oMath>
        <m:r>
          <m:t>132.47</m:t>
        </m:r>
        <m:r>
          <m:t> </m:t>
        </m:r>
        <m:r>
          <m:rPr>
            <m:nor/>
            <m:sty m:val="p"/>
          </m:rPr>
          <m:t>ms</m:t>
        </m:r>
      </m:oMath>
      <w:r>
        <w:t xml:space="preserve">,</w:t>
      </w:r>
      <w:r>
        <w:t xml:space="preserve"> </w:t>
      </w:r>
      <m:oMath>
        <m:r>
          <m:t>4.63</m:t>
        </m:r>
        <m:r>
          <m:rPr>
            <m:sty m:val="p"/>
          </m:rPr>
          <m:t>×</m:t>
        </m:r>
      </m:oMath>
      <w:r>
        <w:t xml:space="preserve"> </w:t>
      </w:r>
      <w:r>
        <w:t xml:space="preserve">slower). BLAKE3 token generation required</w:t>
      </w:r>
      <w:r>
        <w:t xml:space="preserve"> </w:t>
      </w:r>
      <m:oMath>
        <m:r>
          <m:t>11.92</m:t>
        </m:r>
        <m:r>
          <m:t> </m:t>
        </m:r>
        <m:r>
          <m:rPr>
            <m:nor/>
            <m:sty m:val="p"/>
          </m:rPr>
          <m:t>ms</m:t>
        </m:r>
      </m:oMath>
      <w:r>
        <w:t xml:space="preserve">, a</w:t>
      </w:r>
      <w:r>
        <w:t xml:space="preserve"> </w:t>
      </w:r>
      <m:oMath>
        <m:r>
          <m:t>2.65</m:t>
        </m:r>
        <m:r>
          <m:rPr>
            <m:sty m:val="p"/>
          </m:rPr>
          <m:t>×</m:t>
        </m:r>
      </m:oMath>
      <w:r>
        <w:t xml:space="preserve"> </w:t>
      </w:r>
      <w:r>
        <w:t xml:space="preserve">acceleration over HMAC-SHA256 (</w:t>
      </w:r>
      <m:oMath>
        <m:r>
          <m:t>31.65</m:t>
        </m:r>
        <m:r>
          <m:t> </m:t>
        </m:r>
        <m:r>
          <m:rPr>
            <m:nor/>
            <m:sty m:val="p"/>
          </m:rPr>
          <m:t>ms</m:t>
        </m:r>
      </m:oMath>
      <w:r>
        <w:t xml:space="preserve">). Memory footprint peaked at</w:t>
      </w:r>
      <w:r>
        <w:t xml:space="preserve"> </w:t>
      </w:r>
      <m:oMath>
        <m:r>
          <m:t>70.16</m:t>
        </m:r>
        <m:r>
          <m:t> </m:t>
        </m:r>
        <m:r>
          <m:rPr>
            <m:nor/>
            <m:sty m:val="p"/>
          </m:rPr>
          <m:t>MB</m:t>
        </m:r>
      </m:oMath>
      <w:r>
        <w:t xml:space="preserve">, compared to</w:t>
      </w:r>
      <w:r>
        <w:t xml:space="preserve"> </w:t>
      </w:r>
      <m:oMath>
        <m:r>
          <m:t>198.45</m:t>
        </m:r>
        <m:r>
          <m:t> </m:t>
        </m:r>
        <m:r>
          <m:rPr>
            <m:nor/>
            <m:sty m:val="p"/>
          </m:rPr>
          <m:t>MB</m:t>
        </m:r>
      </m:oMath>
      <w:r>
        <w:t xml:space="preserve"> </w:t>
      </w:r>
      <w:r>
        <w:t xml:space="preserve">for baseline implementations.</w:t>
      </w:r>
    </w:p>
    <w:bookmarkStart w:id="23" w:name="fig:benchmarks"/>
    <w:p>
      <w:pPr>
        <w:pStyle w:val="CaptionedFigure"/>
      </w:pPr>
      <w:r>
        <w:drawing>
          <wp:inline>
            <wp:extent cx="4907280" cy="1633450"/>
            <wp:effectExtent b="0" l="0" r="0" t="0"/>
            <wp:docPr descr="" title="" id="21" name="Picture"/>
            <a:graphic>
              <a:graphicData uri="http://schemas.openxmlformats.org/drawingml/2006/picture">
                <pic:pic>
                  <pic:nvPicPr>
                    <pic:cNvPr descr="fig_benchmarks.png" id="22" name="Picture"/>
                    <pic:cNvPicPr>
                      <a:picLocks noChangeArrowheads="1" noChangeAspect="1"/>
                    </pic:cNvPicPr>
                  </pic:nvPicPr>
                  <pic:blipFill>
                    <a:blip r:embed="rId20"/>
                    <a:stretch>
                      <a:fillRect/>
                    </a:stretch>
                  </pic:blipFill>
                  <pic:spPr bwMode="auto">
                    <a:xfrm>
                      <a:off x="0" y="0"/>
                      <a:ext cx="4907280" cy="1633450"/>
                    </a:xfrm>
                    <a:prstGeom prst="rect">
                      <a:avLst/>
                    </a:prstGeom>
                    <a:noFill/>
                    <a:ln w="9525">
                      <a:noFill/>
                      <a:headEnd/>
                      <a:tailEnd/>
                    </a:ln>
                  </pic:spPr>
                </pic:pic>
              </a:graphicData>
            </a:graphic>
          </wp:inline>
        </w:drawing>
      </w:r>
    </w:p>
    <w:p>
      <w:pPr>
        <w:pStyle w:val="ImageCaption"/>
      </w:pPr>
      <w:r>
        <w:t xml:space="preserve">Performance benchmarks: (a) cipher encryption latency, (b) hash verification delay, and (c) attack detection accuracy across evaluated vectors.</w:t>
      </w:r>
    </w:p>
    <w:bookmarkEnd w:id="23"/>
    <w:bookmarkEnd w:id="24"/>
    <w:bookmarkStart w:id="29" w:name="diagnostic-image-fidelity"/>
    <w:p>
      <w:pPr>
        <w:pStyle w:val="Heading2"/>
      </w:pPr>
      <w:r>
        <w:t xml:space="preserve">Diagnostic Image Fidelity</w:t>
      </w:r>
    </w:p>
    <w:p>
      <w:pPr>
        <w:pStyle w:val="FirstParagraph"/>
      </w:pPr>
      <w:r>
        <w:t xml:space="preserve">Fidelity preservation was assessed via Peak Signal-to-Noise Ratio (PSNR), Structural Similarity (SSIM), Normalized Cross-Correlation (NC), and Bit Error Rate (BER):</w:t>
      </w:r>
    </w:p>
    <w:p>
      <w:pPr>
        <w:pStyle w:val="BodyText"/>
      </w:pPr>
      <m:oMathPara>
        <m:oMathParaPr>
          <m:jc m:val="center"/>
        </m:oMathParaPr>
        <m:oMath>
          <m:r>
            <m:rPr>
              <m:nor/>
              <m:sty m:val="p"/>
            </m:rPr>
            <m:t>PSNR</m:t>
          </m:r>
          <m:r>
            <m:rPr>
              <m:sty m:val="p"/>
            </m:rPr>
            <m:t>=</m:t>
          </m:r>
          <m:r>
            <m:t>10</m:t>
          </m:r>
          <m:sSub>
            <m:e>
              <m:r>
                <m:rPr>
                  <m:sty m:val="p"/>
                </m:rPr>
                <m:t>log</m:t>
              </m:r>
            </m:e>
            <m:sub>
              <m:r>
                <m:t>10</m:t>
              </m:r>
            </m:sub>
          </m:sSub>
          <m:r>
            <m:t>​</m:t>
          </m:r>
          <m:d>
            <m:dPr>
              <m:begChr m:val="("/>
              <m:sepChr m:val=""/>
              <m:endChr m:val=")"/>
              <m:grow/>
            </m:dPr>
            <m:e>
              <m:f>
                <m:fPr>
                  <m:type m:val="bar"/>
                </m:fPr>
                <m:num>
                  <m:sSubSup>
                    <m:e>
                      <m:r>
                        <m:rPr>
                          <m:nor/>
                          <m:sty m:val="p"/>
                        </m:rPr>
                        <m:t>MAX</m:t>
                      </m:r>
                    </m:e>
                    <m:sub>
                      <m:r>
                        <m:t>I</m:t>
                      </m:r>
                    </m:sub>
                    <m:sup>
                      <m:r>
                        <m:t>2</m:t>
                      </m:r>
                    </m:sup>
                  </m:sSubSup>
                </m:num>
                <m:den>
                  <m:r>
                    <m:rPr>
                      <m:nor/>
                      <m:sty m:val="p"/>
                    </m:rPr>
                    <m:t>MSE</m:t>
                  </m:r>
                </m:den>
              </m:f>
            </m:e>
          </m:d>
          <m:r>
            <m:rPr>
              <m:sty m:val="p"/>
            </m:rPr>
            <m:t>,</m:t>
          </m:r>
          <m:r>
            <m:t> </m:t>
          </m:r>
          <m:r>
            <m:rPr>
              <m:nor/>
              <m:sty m:val="p"/>
            </m:rPr>
            <m:t>MSE</m:t>
          </m:r>
          <m:r>
            <m:rPr>
              <m:sty m:val="p"/>
            </m:rPr>
            <m:t>=</m:t>
          </m:r>
          <m:f>
            <m:fPr>
              <m:type m:val="bar"/>
            </m:fPr>
            <m:num>
              <m:r>
                <m:t>1</m:t>
              </m:r>
            </m:num>
            <m:den>
              <m:r>
                <m:t>M</m:t>
              </m:r>
              <m:r>
                <m:t>N</m:t>
              </m:r>
            </m:den>
          </m:f>
          <m:nary>
            <m:naryPr>
              <m:chr m:val="∑"/>
              <m:limLoc m:val="undOvr"/>
              <m:subHide m:val="off"/>
              <m:supHide m:val="off"/>
            </m:naryPr>
            <m:sub>
              <m:r>
                <m:t>i</m:t>
              </m:r>
              <m:r>
                <m:rPr>
                  <m:sty m:val="p"/>
                </m:rPr>
                <m:t>=</m:t>
              </m:r>
              <m:r>
                <m:t>0</m:t>
              </m:r>
            </m:sub>
            <m:sup>
              <m:r>
                <m:t>M</m:t>
              </m:r>
              <m:r>
                <m:rPr>
                  <m:sty m:val="p"/>
                </m:rPr>
                <m:t>−</m:t>
              </m:r>
              <m:r>
                <m:t>1</m:t>
              </m:r>
            </m:sup>
            <m:e>
              <m:nary>
                <m:naryPr>
                  <m:chr m:val="∑"/>
                  <m:limLoc m:val="undOvr"/>
                  <m:subHide m:val="off"/>
                  <m:supHide m:val="off"/>
                </m:naryPr>
                <m:sub>
                  <m:r>
                    <m:t>j</m:t>
                  </m:r>
                  <m:r>
                    <m:rPr>
                      <m:sty m:val="p"/>
                    </m:rPr>
                    <m:t>=</m:t>
                  </m:r>
                  <m:r>
                    <m:t>0</m:t>
                  </m:r>
                </m:sub>
                <m:sup>
                  <m:r>
                    <m:t>N</m:t>
                  </m:r>
                  <m:r>
                    <m:rPr>
                      <m:sty m:val="p"/>
                    </m:rPr>
                    <m:t>−</m:t>
                  </m:r>
                  <m:r>
                    <m:t>1</m:t>
                  </m:r>
                </m:sup>
                <m:e>
                  <m:r>
                    <m:rPr>
                      <m:sty m:val="p"/>
                    </m:rPr>
                    <m:t>[</m:t>
                  </m:r>
                </m:e>
              </m:nary>
            </m:e>
          </m:nary>
          <m:r>
            <m:t>I</m:t>
          </m:r>
          <m:r>
            <m:rPr>
              <m:sty m:val="p"/>
            </m:rPr>
            <m:t>(</m:t>
          </m:r>
          <m:r>
            <m:t>i</m:t>
          </m:r>
          <m:r>
            <m:rPr>
              <m:sty m:val="p"/>
            </m:rPr>
            <m:t>,</m:t>
          </m:r>
          <m:r>
            <m:t>j</m:t>
          </m:r>
          <m:r>
            <m:rPr>
              <m:sty m:val="p"/>
            </m:rPr>
            <m:t>)</m:t>
          </m:r>
          <m:r>
            <m:rPr>
              <m:sty m:val="p"/>
            </m:rPr>
            <m:t>−</m:t>
          </m:r>
          <m:sSub>
            <m:e>
              <m:r>
                <m:t>I</m:t>
              </m:r>
            </m:e>
            <m:sub>
              <m:r>
                <m:t>w</m:t>
              </m:r>
            </m:sub>
          </m:sSub>
          <m:r>
            <m:rPr>
              <m:sty m:val="p"/>
            </m:rPr>
            <m:t>(</m:t>
          </m:r>
          <m:r>
            <m:t>i</m:t>
          </m:r>
          <m:r>
            <m:rPr>
              <m:sty m:val="p"/>
            </m:rPr>
            <m:t>,</m:t>
          </m:r>
          <m:r>
            <m:t>j</m:t>
          </m:r>
          <m:r>
            <m:rPr>
              <m:sty m:val="p"/>
            </m:rPr>
            <m:t>)</m:t>
          </m:r>
          <m:sSup>
            <m:e>
              <m:r>
                <m:rPr>
                  <m:sty m:val="p"/>
                </m:rPr>
                <m:t>]</m:t>
              </m:r>
            </m:e>
            <m:sup>
              <m:r>
                <m:t>2</m:t>
              </m:r>
            </m:sup>
          </m:sSup>
        </m:oMath>
      </m:oMathPara>
    </w:p>
    <w:bookmarkStart w:id="28" w:name="fig:visual_fidelity"/>
    <w:p>
      <w:pPr>
        <w:pStyle w:val="CaptionedFigure"/>
      </w:pPr>
      <w:r>
        <w:drawing>
          <wp:inline>
            <wp:extent cx="4907280" cy="1781623"/>
            <wp:effectExtent b="0" l="0" r="0" t="0"/>
            <wp:docPr descr="" title="" id="26" name="Picture"/>
            <a:graphic>
              <a:graphicData uri="http://schemas.openxmlformats.org/drawingml/2006/picture">
                <pic:pic>
                  <pic:nvPicPr>
                    <pic:cNvPr descr="fig_visual_fidelity.png" id="27" name="Picture"/>
                    <pic:cNvPicPr>
                      <a:picLocks noChangeArrowheads="1" noChangeAspect="1"/>
                    </pic:cNvPicPr>
                  </pic:nvPicPr>
                  <pic:blipFill>
                    <a:blip r:embed="rId25"/>
                    <a:stretch>
                      <a:fillRect/>
                    </a:stretch>
                  </pic:blipFill>
                  <pic:spPr bwMode="auto">
                    <a:xfrm>
                      <a:off x="0" y="0"/>
                      <a:ext cx="4907280" cy="1781623"/>
                    </a:xfrm>
                    <a:prstGeom prst="rect">
                      <a:avLst/>
                    </a:prstGeom>
                    <a:noFill/>
                    <a:ln w="9525">
                      <a:noFill/>
                      <a:headEnd/>
                      <a:tailEnd/>
                    </a:ln>
                  </pic:spPr>
                </pic:pic>
              </a:graphicData>
            </a:graphic>
          </wp:inline>
        </w:drawing>
      </w:r>
    </w:p>
    <w:p>
      <w:pPr>
        <w:pStyle w:val="ImageCaption"/>
      </w:pPr>
      <w:r>
        <w:t xml:space="preserve">Visual fidelity comparison showing (a) original clinical CT slice, (b) watermarked slice with embedded provenance, and (c) an amplified difference residual map (</w:t>
      </w:r>
      <m:oMath>
        <m:r>
          <m:rPr>
            <m:sty m:val="p"/>
          </m:rPr>
          <m:t>|</m:t>
        </m:r>
        <m:r>
          <m:t>​</m:t>
        </m:r>
        <m:r>
          <m:t>I</m:t>
        </m:r>
        <m:r>
          <m:rPr>
            <m:sty m:val="p"/>
          </m:rPr>
          <m:t>−</m:t>
        </m:r>
        <m:sSub>
          <m:e>
            <m:r>
              <m:t>I</m:t>
            </m:r>
          </m:e>
          <m:sub>
            <m:r>
              <m:t>w</m:t>
            </m:r>
          </m:sub>
        </m:sSub>
        <m:r>
          <m:rPr>
            <m:sty m:val="p"/>
          </m:rPr>
          <m:t>|</m:t>
        </m:r>
        <m:r>
          <m:t>​</m:t>
        </m:r>
        <m:r>
          <m:rPr>
            <m:sty m:val="p"/>
          </m:rPr>
          <m:t>×</m:t>
        </m:r>
        <m:r>
          <m:t>100</m:t>
        </m:r>
      </m:oMath>
      <w:r>
        <w:t xml:space="preserve">) demonstrating zero diagnostic degradation.</w:t>
      </w:r>
    </w:p>
    <w:bookmarkEnd w:id="28"/>
    <w:p>
      <w:pPr>
        <w:pStyle w:val="BodyText"/>
      </w:pPr>
      <w:r>
        <w:t xml:space="preserve">As documented in Table </w:t>
      </w:r>
      <w:hyperlink w:anchor="tab:dataset_fidelity">
        <w:r>
          <w:rPr>
            <w:rStyle w:val="Hyperlink"/>
          </w:rPr>
          <w:t xml:space="preserve">2</w:t>
        </w:r>
      </w:hyperlink>
      <w:r>
        <w:t xml:space="preserve">, watermark embedding preserved full diagnostic fidelity (</w:t>
      </w:r>
      <m:oMath>
        <m:r>
          <m:rPr>
            <m:nor/>
            <m:sty m:val="p"/>
          </m:rPr>
          <m:t>PSNR</m:t>
        </m:r>
        <m:r>
          <m:rPr>
            <m:sty m:val="p"/>
          </m:rPr>
          <m:t>&gt;</m:t>
        </m:r>
        <m:r>
          <m:t>51.4</m:t>
        </m:r>
        <m:r>
          <m:t> </m:t>
        </m:r>
        <m:r>
          <m:rPr>
            <m:nor/>
            <m:sty m:val="p"/>
          </m:rPr>
          <m:t>dB</m:t>
        </m:r>
      </m:oMath>
      <w:r>
        <w:t xml:space="preserve">,</w:t>
      </w:r>
      <w:r>
        <w:t xml:space="preserve"> </w:t>
      </w:r>
      <m:oMath>
        <m:r>
          <m:rPr>
            <m:nor/>
            <m:sty m:val="p"/>
          </m:rPr>
          <m:t>SSIM</m:t>
        </m:r>
        <m:r>
          <m:rPr>
            <m:sty m:val="p"/>
          </m:rPr>
          <m:t>&gt;</m:t>
        </m:r>
        <m:r>
          <m:t>0.999</m:t>
        </m:r>
      </m:oMath>
      <w:r>
        <w:t xml:space="preserve">), consistent with theoretical MSE boundaries.</w:t>
      </w:r>
    </w:p>
    <w:bookmarkEnd w:id="29"/>
    <w:bookmarkStart w:id="34" w:name="X274565da25c8a4d45b9b6d4b723d6ba541d3041"/>
    <w:p>
      <w:pPr>
        <w:pStyle w:val="Heading2"/>
      </w:pPr>
      <w:r>
        <w:t xml:space="preserve">5G Transmission Resilience and Tamper Localization</w:t>
      </w:r>
    </w:p>
    <w:p>
      <w:pPr>
        <w:pStyle w:val="FirstParagraph"/>
      </w:pPr>
      <w:r>
        <w:t xml:space="preserve">To evaluate real-world deployability, the framework was simulated over a 5G New Radio (NR) sub-6 GHz uplink. As detailed in Fig. </w:t>
      </w:r>
      <w:hyperlink w:anchor="fig:resilience">
        <w:r>
          <w:rPr>
            <w:rStyle w:val="Hyperlink"/>
          </w:rPr>
          <w:t xml:space="preserve">4</w:t>
        </w:r>
      </w:hyperlink>
      <w:r>
        <w:t xml:space="preserve">a, SecureMark-Med demonstrates a near-linear 5G transmission latency curve, staying well below the 1-second critical threshold even for volumetric series. Under intentional bit-flip and geometric distortion attacks (Fig. </w:t>
      </w:r>
      <w:hyperlink w:anchor="fig:resilience">
        <w:r>
          <w:rPr>
            <w:rStyle w:val="Hyperlink"/>
          </w:rPr>
          <w:t xml:space="preserve">4</w:t>
        </w:r>
      </w:hyperlink>
      <w:r>
        <w:t xml:space="preserve">b), the BLAKE3/ChaCha20 layer correctly identified 100% of tampering attempts. In non-adversarial but noisy channels (e.g. 5% Gaussian noise, 50% JPEG compression), the spatial fragility correctly tripped the integrity fault in</w:t>
      </w:r>
      <w:r>
        <w:t xml:space="preserve"> </w:t>
      </w:r>
      <m:oMath>
        <m:r>
          <m:rPr>
            <m:sty m:val="p"/>
          </m:rPr>
          <m:t>≥</m:t>
        </m:r>
        <m:r>
          <m:t>95</m:t>
        </m:r>
        <m:r>
          <m:rPr>
            <m:sty m:val="p"/>
          </m:rPr>
          <m:t>%</m:t>
        </m:r>
      </m:oMath>
      <w:r>
        <w:t xml:space="preserve"> </w:t>
      </w:r>
      <w:r>
        <w:t xml:space="preserve">of cases.</w:t>
      </w:r>
    </w:p>
    <w:bookmarkStart w:id="33" w:name="fig:resilience"/>
    <w:p>
      <w:pPr>
        <w:pStyle w:val="CaptionedFigure"/>
      </w:pPr>
      <w:r>
        <w:drawing>
          <wp:inline>
            <wp:extent cx="4907280" cy="1633450"/>
            <wp:effectExtent b="0" l="0" r="0" t="0"/>
            <wp:docPr descr="" title="" id="31" name="Picture"/>
            <a:graphic>
              <a:graphicData uri="http://schemas.openxmlformats.org/drawingml/2006/picture">
                <pic:pic>
                  <pic:nvPicPr>
                    <pic:cNvPr descr="fig_telemetry_resilience.png" id="32" name="Picture"/>
                    <pic:cNvPicPr>
                      <a:picLocks noChangeArrowheads="1" noChangeAspect="1"/>
                    </pic:cNvPicPr>
                  </pic:nvPicPr>
                  <pic:blipFill>
                    <a:blip r:embed="rId30"/>
                    <a:stretch>
                      <a:fillRect/>
                    </a:stretch>
                  </pic:blipFill>
                  <pic:spPr bwMode="auto">
                    <a:xfrm>
                      <a:off x="0" y="0"/>
                      <a:ext cx="4907280" cy="1633450"/>
                    </a:xfrm>
                    <a:prstGeom prst="rect">
                      <a:avLst/>
                    </a:prstGeom>
                    <a:noFill/>
                    <a:ln w="9525">
                      <a:noFill/>
                      <a:headEnd/>
                      <a:tailEnd/>
                    </a:ln>
                  </pic:spPr>
                </pic:pic>
              </a:graphicData>
            </a:graphic>
          </wp:inline>
        </w:drawing>
      </w:r>
    </w:p>
    <w:p>
      <w:pPr>
        <w:pStyle w:val="ImageCaption"/>
      </w:pPr>
      <w:r>
        <w:t xml:space="preserve">5G Telemetry Performance and Attack Detection showing (a) end-to-end latency scaling by payload size and (b) resilience under transmission attacks.</w:t>
      </w:r>
    </w:p>
    <w:bookmarkEnd w:id="33"/>
    <w:bookmarkEnd w:id="34"/>
    <w:bookmarkEnd w:id="35"/>
    <w:bookmarkStart w:id="36" w:name="conclusion"/>
    <w:p>
      <w:pPr>
        <w:pStyle w:val="Heading1"/>
      </w:pPr>
      <w:r>
        <w:t xml:space="preserve">Conclusion</w:t>
      </w:r>
    </w:p>
    <w:p>
      <w:pPr>
        <w:pStyle w:val="FirstParagraph"/>
      </w:pPr>
      <w:r>
        <w:t xml:space="preserve">SecureMark-Med demonstrates a high-throughput, provenance-preserving security runtime for emergency 5G DICOM streaming. By coupling fragile spatial LSB watermarking with parallel BLAKE3 hashing and ChaCha20-Poly1305 AEAD, the architecture resolves post-decryption provenance loss while achieving a</w:t>
      </w:r>
      <w:r>
        <w:t xml:space="preserve"> </w:t>
      </w:r>
      <m:oMath>
        <m:r>
          <m:t>3</m:t>
        </m:r>
        <m:r>
          <m:rPr>
            <m:sty m:val="p"/>
          </m:rPr>
          <m:t>×</m:t>
        </m:r>
      </m:oMath>
      <w:r>
        <w:t xml:space="preserve"> </w:t>
      </w:r>
      <w:r>
        <w:t xml:space="preserve">latency reduction over legacy block-cipher pipelines. Future research will explore automated region-of-interest (ROI) segmentation to preserve diagnostic margins under lossy transmission channels.</w:t>
      </w:r>
    </w:p>
    <w:bookmarkEnd w:id="36"/>
    <w:bookmarkStart w:id="51" w:name="references"/>
    <w:p>
      <w:pPr>
        <w:pStyle w:val="Heading1"/>
      </w:pPr>
      <w:r>
        <w:t xml:space="preserve">References</w:t>
      </w:r>
    </w:p>
    <w:p>
      <w:pPr>
        <w:pStyle w:val="FirstParagraph"/>
      </w:pPr>
      <w:r>
        <w:t xml:space="preserve">[1]</w:t>
      </w:r>
      <w:r>
        <w:t xml:space="preserve"> </w:t>
      </w:r>
      <w:r>
        <w:t xml:space="preserve">Memon, N.A., Alzahrani, A.: Prediction-based reversible watermarking of CT scan images for content authentication and copyright protection. IEEE Access</w:t>
      </w:r>
      <w:r>
        <w:t xml:space="preserve"> </w:t>
      </w:r>
      <w:r>
        <w:rPr>
          <w:b/>
          <w:bCs/>
        </w:rPr>
        <w:t xml:space="preserve">8</w:t>
      </w:r>
      <w:r>
        <w:t xml:space="preserve">, 75448–75462 (2020).</w:t>
      </w:r>
      <w:r>
        <w:t xml:space="preserve"> </w:t>
      </w:r>
      <w:hyperlink r:id="rId37">
        <w:r>
          <w:rPr>
            <w:rStyle w:val="VerbatimChar"/>
          </w:rPr>
          <w:t xml:space="preserve">https://doi.org/10.1109/ACCESS.2020.2989175</w:t>
        </w:r>
      </w:hyperlink>
    </w:p>
    <w:p>
      <w:pPr>
        <w:pStyle w:val="BodyText"/>
      </w:pPr>
      <w:r>
        <w:t xml:space="preserve">[2]</w:t>
      </w:r>
      <w:r>
        <w:t xml:space="preserve"> </w:t>
      </w:r>
      <w:r>
        <w:t xml:space="preserve">Anand, A., Singh, A.K.: Health record security through multiple watermarking</w:t>
      </w:r>
      <w:r>
        <w:t xml:space="preserve"> </w:t>
      </w:r>
      <w:r>
        <w:t xml:space="preserve">on fused medical images. IEEE Trans. Comput. Soc. Syst.</w:t>
      </w:r>
      <w:r>
        <w:t xml:space="preserve"> </w:t>
      </w:r>
      <w:r>
        <w:rPr>
          <w:b/>
          <w:bCs/>
        </w:rPr>
        <w:t xml:space="preserve">9</w:t>
      </w:r>
      <w:r>
        <w:t xml:space="preserve">(6), 1594–1603 (2021).</w:t>
      </w:r>
      <w:r>
        <w:t xml:space="preserve"> </w:t>
      </w:r>
      <w:hyperlink r:id="rId38">
        <w:r>
          <w:rPr>
            <w:rStyle w:val="VerbatimChar"/>
          </w:rPr>
          <w:t xml:space="preserve">https://doi.org/10.1109/TCSS.2021.3126628</w:t>
        </w:r>
      </w:hyperlink>
    </w:p>
    <w:p>
      <w:pPr>
        <w:pStyle w:val="BodyText"/>
      </w:pPr>
      <w:r>
        <w:t xml:space="preserve">[3]</w:t>
      </w:r>
      <w:r>
        <w:t xml:space="preserve"> </w:t>
      </w:r>
      <w:r>
        <w:t xml:space="preserve">Alzahrani, A., Memon, N.A.: Blind and robust watermarking scheme in hybrid domain for copyright protection of medical images. IEEE Access</w:t>
      </w:r>
      <w:r>
        <w:t xml:space="preserve"> </w:t>
      </w:r>
      <w:r>
        <w:rPr>
          <w:b/>
          <w:bCs/>
        </w:rPr>
        <w:t xml:space="preserve">9</w:t>
      </w:r>
      <w:r>
        <w:t xml:space="preserve">, 113714–113734 (2021).</w:t>
      </w:r>
      <w:r>
        <w:t xml:space="preserve"> </w:t>
      </w:r>
      <w:hyperlink r:id="rId39">
        <w:r>
          <w:rPr>
            <w:rStyle w:val="VerbatimChar"/>
          </w:rPr>
          <w:t xml:space="preserve">https://doi.org/10.1109/ACCESS.2021.3104985</w:t>
        </w:r>
      </w:hyperlink>
    </w:p>
    <w:p>
      <w:pPr>
        <w:pStyle w:val="BodyText"/>
      </w:pPr>
      <w:r>
        <w:t xml:space="preserve">[4]</w:t>
      </w:r>
      <w:r>
        <w:t xml:space="preserve"> </w:t>
      </w:r>
      <w:r>
        <w:t xml:space="preserve">Gull, S., Mansour, R.F., Aljehane, N.O., Parah, S.A.: A self-embedding technique for tamper detection and localization of medical images for smart-health. Multimed. Tools Appl.</w:t>
      </w:r>
      <w:r>
        <w:t xml:space="preserve"> </w:t>
      </w:r>
      <w:r>
        <w:rPr>
          <w:b/>
          <w:bCs/>
        </w:rPr>
        <w:t xml:space="preserve">80</w:t>
      </w:r>
      <w:r>
        <w:t xml:space="preserve">(19), 29939–29964 (2021).</w:t>
      </w:r>
      <w:r>
        <w:t xml:space="preserve"> </w:t>
      </w:r>
      <w:hyperlink r:id="rId40">
        <w:r>
          <w:rPr>
            <w:rStyle w:val="VerbatimChar"/>
          </w:rPr>
          <w:t xml:space="preserve">https://doi.org/10.1007/s11042-021-11170-x</w:t>
        </w:r>
      </w:hyperlink>
    </w:p>
    <w:p>
      <w:pPr>
        <w:pStyle w:val="BodyText"/>
      </w:pPr>
      <w:r>
        <w:t xml:space="preserve">[5]</w:t>
      </w:r>
      <w:r>
        <w:t xml:space="preserve"> </w:t>
      </w:r>
      <w:r>
        <w:t xml:space="preserve">Singh, P., Devi, K.J., Thakkar, H.K., Bilal, M., Nayyar, A., Kwak, D.: Robust and secure medical image watermarking for edge-enabled e-healthcare. IEEE Access</w:t>
      </w:r>
      <w:r>
        <w:t xml:space="preserve"> </w:t>
      </w:r>
      <w:r>
        <w:rPr>
          <w:b/>
          <w:bCs/>
        </w:rPr>
        <w:t xml:space="preserve">11</w:t>
      </w:r>
      <w:r>
        <w:t xml:space="preserve">, 135831–135845 (2023).</w:t>
      </w:r>
      <w:r>
        <w:t xml:space="preserve"> </w:t>
      </w:r>
      <w:hyperlink r:id="rId41">
        <w:r>
          <w:rPr>
            <w:rStyle w:val="VerbatimChar"/>
          </w:rPr>
          <w:t xml:space="preserve">https://doi.org/10.1109/ACCESS.2023.3335172</w:t>
        </w:r>
      </w:hyperlink>
    </w:p>
    <w:p>
      <w:pPr>
        <w:pStyle w:val="BodyText"/>
      </w:pPr>
      <w:r>
        <w:t xml:space="preserve">[6]</w:t>
      </w:r>
      <w:r>
        <w:t xml:space="preserve"> </w:t>
      </w:r>
      <w:r>
        <w:t xml:space="preserve">Tayachi, M., Nana, L., Pascu, A.C., Benzarti, F.: A hybrid watermarking approach for DICOM images security. Appl. Sci.</w:t>
      </w:r>
      <w:r>
        <w:t xml:space="preserve"> </w:t>
      </w:r>
      <w:r>
        <w:rPr>
          <w:b/>
          <w:bCs/>
        </w:rPr>
        <w:t xml:space="preserve">13</w:t>
      </w:r>
      <w:r>
        <w:t xml:space="preserve">(10), 6132 (2023).</w:t>
      </w:r>
      <w:r>
        <w:t xml:space="preserve"> </w:t>
      </w:r>
      <w:hyperlink r:id="rId42">
        <w:r>
          <w:rPr>
            <w:rStyle w:val="VerbatimChar"/>
          </w:rPr>
          <w:t xml:space="preserve">https://doi.org/10.3390/app13106132</w:t>
        </w:r>
      </w:hyperlink>
    </w:p>
    <w:p>
      <w:pPr>
        <w:pStyle w:val="BodyText"/>
      </w:pPr>
      <w:r>
        <w:t xml:space="preserve">[7]</w:t>
      </w:r>
      <w:r>
        <w:t xml:space="preserve"> </w:t>
      </w:r>
      <w:r>
        <w:t xml:space="preserve">Abirami, R., Malathy, C.: Secured DICOM medical image transition with optimized chaos method for encryption and customized deep learning model for watermarking. Automatika</w:t>
      </w:r>
      <w:r>
        <w:t xml:space="preserve"> </w:t>
      </w:r>
      <w:r>
        <w:rPr>
          <w:b/>
          <w:bCs/>
        </w:rPr>
        <w:t xml:space="preserve">66</w:t>
      </w:r>
      <w:r>
        <w:t xml:space="preserve">(2), 241–253 (2024).</w:t>
      </w:r>
      <w:r>
        <w:t xml:space="preserve"> </w:t>
      </w:r>
      <w:hyperlink r:id="rId43">
        <w:r>
          <w:rPr>
            <w:rStyle w:val="VerbatimChar"/>
          </w:rPr>
          <w:t xml:space="preserve">https://doi.org/10.1080/00051144.2024.2415120</w:t>
        </w:r>
      </w:hyperlink>
    </w:p>
    <w:p>
      <w:pPr>
        <w:pStyle w:val="BodyText"/>
      </w:pPr>
      <w:r>
        <w:t xml:space="preserve">[8]</w:t>
      </w:r>
      <w:r>
        <w:t xml:space="preserve"> </w:t>
      </w:r>
      <w:r>
        <w:t xml:space="preserve">Mahmood, S.D., Drira, F., Mahdi, H.F., Alimi, A.M.: Secure medical image sharing: Technologies, watermarking insights, and open issues. IEEE Access</w:t>
      </w:r>
      <w:r>
        <w:t xml:space="preserve"> </w:t>
      </w:r>
      <w:r>
        <w:rPr>
          <w:b/>
          <w:bCs/>
        </w:rPr>
        <w:t xml:space="preserve">13</w:t>
      </w:r>
      <w:r>
        <w:t xml:space="preserve">, 18452–18471 (2025).</w:t>
      </w:r>
      <w:r>
        <w:t xml:space="preserve"> </w:t>
      </w:r>
      <w:hyperlink r:id="rId44">
        <w:r>
          <w:rPr>
            <w:rStyle w:val="VerbatimChar"/>
          </w:rPr>
          <w:t xml:space="preserve">https://doi.org/10.1109/ACCESS.2025.3574477</w:t>
        </w:r>
      </w:hyperlink>
    </w:p>
    <w:p>
      <w:pPr>
        <w:pStyle w:val="BodyText"/>
      </w:pPr>
      <w:r>
        <w:t xml:space="preserve">[9]</w:t>
      </w:r>
      <w:r>
        <w:t xml:space="preserve"> </w:t>
      </w:r>
      <w:r>
        <w:t xml:space="preserve">Singh, P., Devi, K.J., Nayyar, A., Bilal, M.: Ensuring integrity and security of medical image transmission in IoMT applications through robust watermarking. Sci. Rep.</w:t>
      </w:r>
      <w:r>
        <w:t xml:space="preserve"> </w:t>
      </w:r>
      <w:r>
        <w:rPr>
          <w:b/>
          <w:bCs/>
        </w:rPr>
        <w:t xml:space="preserve">15</w:t>
      </w:r>
      <w:r>
        <w:t xml:space="preserve">(1), 14210 (2025).</w:t>
      </w:r>
      <w:r>
        <w:t xml:space="preserve"> </w:t>
      </w:r>
      <w:hyperlink r:id="rId45">
        <w:r>
          <w:rPr>
            <w:rStyle w:val="VerbatimChar"/>
          </w:rPr>
          <w:t xml:space="preserve">https://doi.org/10.1038/s41598-025-54321-x</w:t>
        </w:r>
      </w:hyperlink>
    </w:p>
    <w:p>
      <w:pPr>
        <w:pStyle w:val="BodyText"/>
      </w:pPr>
      <w:r>
        <w:t xml:space="preserve">[10]</w:t>
      </w:r>
      <w:r>
        <w:t xml:space="preserve"> </w:t>
      </w:r>
      <w:r>
        <w:t xml:space="preserve">Jasim, Z.A., Hadi, A.K.: Optimizing blockchain network performance using BLAKE3 hash function in POS consensus algorithm. IEEE Access</w:t>
      </w:r>
      <w:r>
        <w:t xml:space="preserve"> </w:t>
      </w:r>
      <w:r>
        <w:rPr>
          <w:b/>
          <w:bCs/>
        </w:rPr>
        <w:t xml:space="preserve">13</w:t>
      </w:r>
      <w:r>
        <w:t xml:space="preserve">, 44760–44774 (2025).</w:t>
      </w:r>
      <w:r>
        <w:t xml:space="preserve"> </w:t>
      </w:r>
      <w:hyperlink r:id="rId46">
        <w:r>
          <w:rPr>
            <w:rStyle w:val="VerbatimChar"/>
          </w:rPr>
          <w:t xml:space="preserve">https://doi.org/10.1109/ACCESS.2025.3532101</w:t>
        </w:r>
      </w:hyperlink>
    </w:p>
    <w:p>
      <w:pPr>
        <w:pStyle w:val="BodyText"/>
      </w:pPr>
      <w:r>
        <w:t xml:space="preserve">[11]</w:t>
      </w:r>
      <w:r>
        <w:t xml:space="preserve"> </w:t>
      </w:r>
      <w:r>
        <w:t xml:space="preserve">Balas, V.E., Kumar, R., Nguyen, G.N.: Lightweight stream cipher performance benchmarks on ARM Cortex-A edge controllers. Microprocess. Microsyst.</w:t>
      </w:r>
      <w:r>
        <w:t xml:space="preserve"> </w:t>
      </w:r>
      <w:r>
        <w:rPr>
          <w:b/>
          <w:bCs/>
        </w:rPr>
        <w:t xml:space="preserve">104</w:t>
      </w:r>
      <w:r>
        <w:t xml:space="preserve">, 104992 (2024).</w:t>
      </w:r>
      <w:r>
        <w:t xml:space="preserve"> </w:t>
      </w:r>
      <w:hyperlink r:id="rId47">
        <w:r>
          <w:rPr>
            <w:rStyle w:val="VerbatimChar"/>
          </w:rPr>
          <w:t xml:space="preserve">https://doi.org/10.1016/j.micpro.2024.104992</w:t>
        </w:r>
      </w:hyperlink>
    </w:p>
    <w:p>
      <w:pPr>
        <w:pStyle w:val="BodyText"/>
      </w:pPr>
      <w:r>
        <w:t xml:space="preserve">[12]</w:t>
      </w:r>
      <w:r>
        <w:t xml:space="preserve"> </w:t>
      </w:r>
      <w:r>
        <w:t xml:space="preserve">O’Connor, J., Aumasson, J.P., Neves, S., Wilcox-O’Hearn, Z.: BLAKE3: One function, fast everywhere. Real World Crypto (2020).</w:t>
      </w:r>
      <w:r>
        <w:t xml:space="preserve"> </w:t>
      </w:r>
      <w:hyperlink r:id="rId48">
        <w:r>
          <w:rPr>
            <w:rStyle w:val="VerbatimChar"/>
          </w:rPr>
          <w:t xml:space="preserve">https://doi.org/10.5281/zenodo.3899478</w:t>
        </w:r>
      </w:hyperlink>
    </w:p>
    <w:p>
      <w:pPr>
        <w:pStyle w:val="BodyText"/>
      </w:pPr>
      <w:r>
        <w:t xml:space="preserve">[13]</w:t>
      </w:r>
      <w:r>
        <w:t xml:space="preserve"> </w:t>
      </w:r>
      <w:r>
        <w:t xml:space="preserve">Barker, E.: Recommendation for Key Management: Part 1—General. NIST Special Publication 800-57 Part 1 Rev. 5, National Institute of Standards and Technology (2020).</w:t>
      </w:r>
      <w:r>
        <w:t xml:space="preserve"> </w:t>
      </w:r>
      <w:hyperlink r:id="rId49">
        <w:r>
          <w:rPr>
            <w:rStyle w:val="VerbatimChar"/>
          </w:rPr>
          <w:t xml:space="preserve">https://doi.org/10.6028/NIST.SP.800-57pt1r5</w:t>
        </w:r>
      </w:hyperlink>
    </w:p>
    <w:p>
      <w:pPr>
        <w:pStyle w:val="BodyText"/>
      </w:pPr>
      <w:r>
        <w:t xml:space="preserve">[14]</w:t>
      </w:r>
      <w:r>
        <w:t xml:space="preserve"> </w:t>
      </w:r>
      <w:r>
        <w:t xml:space="preserve">NEMA: Digital Imaging and Communications in Medicine (DICOM) Standard,</w:t>
      </w:r>
      <w:r>
        <w:t xml:space="preserve"> </w:t>
      </w:r>
      <w:r>
        <w:t xml:space="preserve">PS3.1–PS3.20. National Electrical Manufacturers Association, Rosslyn, VA (2024).</w:t>
      </w:r>
      <w:r>
        <w:t xml:space="preserve"> </w:t>
      </w:r>
      <w:r>
        <w:t xml:space="preserve">Available at:</w:t>
      </w:r>
      <w:r>
        <w:t xml:space="preserve"> </w:t>
      </w:r>
      <w:hyperlink r:id="rId50">
        <w:r>
          <w:rPr>
            <w:rStyle w:val="Hyperlink"/>
          </w:rPr>
          <w:t xml:space="preserve">https://www.dicomstandard.org/</w:t>
        </w:r>
      </w:hyperlink>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20" Target="media/rId20.png" /><Relationship Type="http://schemas.openxmlformats.org/officeDocument/2006/relationships/image" Id="rId30" Target="media/rId30.png" /><Relationship Type="http://schemas.openxmlformats.org/officeDocument/2006/relationships/image" Id="rId25" Target="media/rId25.png" /><Relationship Type="http://schemas.openxmlformats.org/officeDocument/2006/relationships/hyperlink" Id="rId40" Target="https://doi.org/10.1007/s11042-021-11170-x" TargetMode="External" /><Relationship Type="http://schemas.openxmlformats.org/officeDocument/2006/relationships/hyperlink" Id="rId47" Target="https://doi.org/10.1016/j.micpro.2024.104992" TargetMode="External" /><Relationship Type="http://schemas.openxmlformats.org/officeDocument/2006/relationships/hyperlink" Id="rId45" Target="https://doi.org/10.1038/s41598-025-54321-x" TargetMode="External" /><Relationship Type="http://schemas.openxmlformats.org/officeDocument/2006/relationships/hyperlink" Id="rId43" Target="https://doi.org/10.1080/00051144.2024.2415120" TargetMode="External" /><Relationship Type="http://schemas.openxmlformats.org/officeDocument/2006/relationships/hyperlink" Id="rId37" Target="https://doi.org/10.1109/ACCESS.2020.2989175" TargetMode="External" /><Relationship Type="http://schemas.openxmlformats.org/officeDocument/2006/relationships/hyperlink" Id="rId39" Target="https://doi.org/10.1109/ACCESS.2021.3104985" TargetMode="External" /><Relationship Type="http://schemas.openxmlformats.org/officeDocument/2006/relationships/hyperlink" Id="rId41" Target="https://doi.org/10.1109/ACCESS.2023.3335172" TargetMode="External" /><Relationship Type="http://schemas.openxmlformats.org/officeDocument/2006/relationships/hyperlink" Id="rId46" Target="https://doi.org/10.1109/ACCESS.2025.3532101" TargetMode="External" /><Relationship Type="http://schemas.openxmlformats.org/officeDocument/2006/relationships/hyperlink" Id="rId44" Target="https://doi.org/10.1109/ACCESS.2025.3574477" TargetMode="External" /><Relationship Type="http://schemas.openxmlformats.org/officeDocument/2006/relationships/hyperlink" Id="rId38" Target="https://doi.org/10.1109/TCSS.2021.3126628" TargetMode="External" /><Relationship Type="http://schemas.openxmlformats.org/officeDocument/2006/relationships/hyperlink" Id="rId42" Target="https://doi.org/10.3390/app13106132" TargetMode="External" /><Relationship Type="http://schemas.openxmlformats.org/officeDocument/2006/relationships/hyperlink" Id="rId48" Target="https://doi.org/10.5281/zenodo.3899478" TargetMode="External" /><Relationship Type="http://schemas.openxmlformats.org/officeDocument/2006/relationships/hyperlink" Id="rId49" Target="https://doi.org/10.6028/NIST.SP.800-57pt1r5" TargetMode="External" /><Relationship Type="http://schemas.openxmlformats.org/officeDocument/2006/relationships/hyperlink" Id="rId50" Target="https://www.dicomstandard.org/" TargetMode="External" /></Relationships>
</file>

<file path=word/_rels/footnotes.xml.rels><?xml version="1.0" encoding="UTF-8"?><Relationships xmlns="http://schemas.openxmlformats.org/package/2006/relationships"><Relationship Type="http://schemas.openxmlformats.org/officeDocument/2006/relationships/hyperlink" Id="rId40" Target="https://doi.org/10.1007/s11042-021-11170-x" TargetMode="External" /><Relationship Type="http://schemas.openxmlformats.org/officeDocument/2006/relationships/hyperlink" Id="rId47" Target="https://doi.org/10.1016/j.micpro.2024.104992" TargetMode="External" /><Relationship Type="http://schemas.openxmlformats.org/officeDocument/2006/relationships/hyperlink" Id="rId45" Target="https://doi.org/10.1038/s41598-025-54321-x" TargetMode="External" /><Relationship Type="http://schemas.openxmlformats.org/officeDocument/2006/relationships/hyperlink" Id="rId43" Target="https://doi.org/10.1080/00051144.2024.2415120" TargetMode="External" /><Relationship Type="http://schemas.openxmlformats.org/officeDocument/2006/relationships/hyperlink" Id="rId37" Target="https://doi.org/10.1109/ACCESS.2020.2989175" TargetMode="External" /><Relationship Type="http://schemas.openxmlformats.org/officeDocument/2006/relationships/hyperlink" Id="rId39" Target="https://doi.org/10.1109/ACCESS.2021.3104985" TargetMode="External" /><Relationship Type="http://schemas.openxmlformats.org/officeDocument/2006/relationships/hyperlink" Id="rId41" Target="https://doi.org/10.1109/ACCESS.2023.3335172" TargetMode="External" /><Relationship Type="http://schemas.openxmlformats.org/officeDocument/2006/relationships/hyperlink" Id="rId46" Target="https://doi.org/10.1109/ACCESS.2025.3532101" TargetMode="External" /><Relationship Type="http://schemas.openxmlformats.org/officeDocument/2006/relationships/hyperlink" Id="rId44" Target="https://doi.org/10.1109/ACCESS.2025.3574477" TargetMode="External" /><Relationship Type="http://schemas.openxmlformats.org/officeDocument/2006/relationships/hyperlink" Id="rId38" Target="https://doi.org/10.1109/TCSS.2021.3126628" TargetMode="External" /><Relationship Type="http://schemas.openxmlformats.org/officeDocument/2006/relationships/hyperlink" Id="rId42" Target="https://doi.org/10.3390/app13106132" TargetMode="External" /><Relationship Type="http://schemas.openxmlformats.org/officeDocument/2006/relationships/hyperlink" Id="rId48" Target="https://doi.org/10.5281/zenodo.3899478" TargetMode="External" /><Relationship Type="http://schemas.openxmlformats.org/officeDocument/2006/relationships/hyperlink" Id="rId49" Target="https://doi.org/10.6028/NIST.SP.800-57pt1r5" TargetMode="External" /><Relationship Type="http://schemas.openxmlformats.org/officeDocument/2006/relationships/hyperlink" Id="rId50" Target="https://www.dicomstandard.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Edge-Assisted Secure Medical Telemetry Using Lightweight Watermarking and Cryptographic Authentication in 5G Healthcare Networks</dc:title>
  <dc:creator/>
  <cp:keywords/>
  <dcterms:created xsi:type="dcterms:W3CDTF">2026-09-18T12:48:16Z</dcterms:created>
  <dcterms:modified xsi:type="dcterms:W3CDTF">2026-09-18T12:48:16Z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When a 5G-connected ambulance streams a trauma patient’s CT scan to a hospital’s PACS server, the image usually arrives encrypted—but stripped of any way to prove, after decryption, that it is the same image the ambulance sent. A single flipped bit, an injected artifact, or a delayed replay can silently reach the reading radiologist, and classical AES/SHA pipelines have no mechanism left to catch it once the cryptographic envelope is removed. This paper introduces SecureMark-Med, a lightweight framework that keeps a tamper-evident fingerprint alive on the far side of decryption. It embeds patient, device, and timestamp metadata directly into the DICOM pixel matrix via least-significant-bit (LSB) watermarking, binds that watermark to a keyed BLAKE3 integrity token, and wraps the result in ChaCha20-Poly1305 authenticated encryption—a pairing chosen specifically because it runs efficiently on edge gateways that lack AES-NI hardware acceleration. A receiver-side replay window closes the remaining gap against delayed or duplicated packets. On a Raspberry Pi 3 Model B+ edge node, the pipeline completed encryption in 28.61\,\text{ms} and integrity verification in 11.92\,\text{ms}, roughly 3\times faster than an AES-256/HMAC-SHA256 baseline, while preserving diagnostic image quality (\text{PSNR} &gt; 51.4\,\text{dB}, \text{SSIM} &gt; 0.999). We detail the architecture, validate performance on clinical DICOM instances, and demonstrate robust tamper localization across wireless transmission channels.</vt:lpwstr>
  </property>
</Properties>
</file>