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：理解通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make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生成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执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行文件的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程。（要求在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报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告中写出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下述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问题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的回答）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列出本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中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对应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OS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原理的知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识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点，并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说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明本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中的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部分如何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对应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和体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现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了原理中的基本概念和关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键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知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在此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中，大家需要通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静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态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分析代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码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来了解：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操作系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统镜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像文件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ucore.img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是如何一步一步生成的？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需要比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较详细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地解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释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Makefile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中每一条相关命令和命令参数的含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义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，以及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说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明命令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导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致的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结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果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971800" cy="112776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一个被系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统认为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是符合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范的硬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盘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主引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导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扇区的特征是什么？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：使用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qemu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执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行并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调试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lab1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中的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软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件。（要求在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报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告中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简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要写出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练习过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程）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为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了熟悉使用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qemu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gdb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进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调试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工作，我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们进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行如下的小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从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CPU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加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电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后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执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行的第一条指令开始，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步跟踪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BIOS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执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行。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修改lab1/tools/gdbinit，内容为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744980" cy="259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然后在lab1中执行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413760" cy="243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在调试界面输入命令：si来进行单步跟踪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执行命令来查看BIOS代码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665220" cy="5715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在初始化位置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0x7c00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置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实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地址断点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测试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断点正常。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489960" cy="12268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从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0x7c00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开始跟踪代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码运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将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步跟踪反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汇编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得到的代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码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与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bootasm.S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bootblock.asm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进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行比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较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377440" cy="124206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自己找一个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bootloader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或内核中的代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码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位置，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置断点并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进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测试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修改gdbinit文件，在0x7c4a 处设置断点，然后输入make debug,得到结果：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398520" cy="6858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：分析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bootloader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进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入保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护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模式的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程。（要求在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报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告中写出分析）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BIOS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将通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过读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取硬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盘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主引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导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扇区到内存，并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转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跳到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对应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内存中的位置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执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bootloader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请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分析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bootloader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是如何完成从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实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式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进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入保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护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模式的。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提示：需要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阅读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小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节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保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护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模式和分段机制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lab1/boot/bootasm.S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源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码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，了解如何从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实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模式切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换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到保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护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模式，需要了解：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为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何开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启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A20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，以及如何开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启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A20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打开流程：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等待8042 Input buffer为空；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发送Write 8042 Output Port （P2）命令到8042 Input buffer；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等待8042 Input buffer为空；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将8042 Output Port（P2）得到字节的第2位置1，然后写入8042 Input buffer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如何初始化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GDT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1载入GDT表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Lgdt gdtdesc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如何使能和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进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入保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护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模式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movl %cr0, %eax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orl $CR0_PE_ON, %eax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movl %eax, %cr0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：分析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bootloader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加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载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ELF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格式的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lang w:val="en-US" w:eastAsia="zh-CN" w:bidi="ar"/>
        </w:rPr>
        <w:t>OS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程。（要求在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报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告中写出分析）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通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过阅读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bootmain.c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，了解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bootloader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如何加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载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ELF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文件。通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分析源代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码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和通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过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qemu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来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运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行并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调试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bootloader&amp;OS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bootloader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如何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读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取硬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盘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扇区的？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bootloader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是如何加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载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ELF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格式的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OS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？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B7079"/>
    <w:multiLevelType w:val="singleLevel"/>
    <w:tmpl w:val="7B8B70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0FEE"/>
    <w:rsid w:val="0A5B7421"/>
    <w:rsid w:val="12CC55A5"/>
    <w:rsid w:val="33BC51CD"/>
    <w:rsid w:val="45E56EBE"/>
    <w:rsid w:val="6780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2019-10-21T08:45:00Z</dcterms:created>
  <dc:creator>哈哈哈哈哈刀哈哈哈哈哈</dc:creator>
  <cp:lastModifiedBy>哈哈哈哈哈刀哈哈哈哈哈</cp:lastModifiedBy>
  <dcterms:modified xsi:type="dcterms:W3CDTF">2019-10-22T09:03:45Z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