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44"/>
        </w:rPr>
        <w:t>Metodología para la identificación automática de</w:t>
        <w:br/>
        <w:t>borreguiles y wet meadows de montaña</w:t>
      </w:r>
    </w:p>
    <w:p>
      <w:pPr>
        <w:jc w:val="center"/>
      </w:pPr>
      <w:r>
        <w:rPr>
          <w:i/>
          <w:sz w:val="24"/>
        </w:rPr>
        <w:t>Pipeline multi-sensor reproducible, transferible a otras zonas protegidas de alta montaña</w:t>
      </w:r>
    </w:p>
    <w:p/>
    <w:p>
      <w:pPr>
        <w:jc w:val="center"/>
      </w:pPr>
      <w:r>
        <w:rPr>
          <w:i/>
          <w:sz w:val="20"/>
        </w:rPr>
        <w:t>Versión 2.0 · Caso de estudio: Sierra Nevada (Andalucía, España)</w:t>
      </w:r>
    </w:p>
    <w:p/>
    <w:p/>
    <w:p>
      <w:pPr>
        <w:pStyle w:val="Heading1"/>
      </w:pPr>
      <w:r>
        <w:t>Resumen ejecutivo</w:t>
      </w:r>
    </w:p>
    <w:p>
      <w:r>
        <w:t>Los borreguiles (mountain wet meadows / cervunales higroturbosos) son humedales pequeños y dispersos del piso oromediterráneo y crioromediterráneo, con un alto valor de conservación y muy sensibles al cambio climático. Su cartografía precisa es costosa porque tienen tamaños típicos de 30-100 m y se mezclan con pastizales secos, piornales y roquedos de aspecto similar.</w:t>
      </w:r>
    </w:p>
    <w:p>
      <w:r>
        <w:t>Esta metodología combina CUATRO sensores complementarios: imagen aérea de muy alta resolución (ESRI World Imagery), modelo digital del terreno (Copernicus DEM 30 m), imagen óptica satelital multi-temporal (Sentinel-2 L2A) e imagen radar terrain-flattened (Sentinel-1 RTC), más capas auxiliares de OpenStreetMap. Las imágenes satelitales se procesan con Microsoft Planetary Computer (sin coste ni autenticación) y se integran en un clasificador Random Forest con 50 variables por punto.</w:t>
      </w:r>
    </w:p>
    <w:p>
      <w:r>
        <w:t>Aplicada a Sierra Nevada con 557 puntos de campo efectivos (160 positivos / 397 negativos, tras excluir 27 dudas), en validación cruzada honesta por cuencas (GroupKFold) alcanza AUC = 0,868; el ajuste sobre los propios datos de entrenamiento da AUC = 0,988. La incorporación del radar Sentinel-1 RTC elevó el AUC honesto de 0,854 (solo óptico + topografía + imagen) a 0,868, aportando una dimensión de humedad/estructura independiente del óptico.</w:t>
      </w:r>
    </w:p>
    <w:p>
      <w:r>
        <w:t>El método es directamente transferible a otras zonas de montaña con borreguiles, wet meadows alpinos, bofedales andinos, vegas, mires o peatlands, siempre que se disponga del número mínimo de puntos verificados en campo que se detalla en la sección 8.</w:t>
      </w:r>
    </w:p>
    <w:p>
      <w:r>
        <w:br w:type="page"/>
      </w:r>
    </w:p>
    <w:p>
      <w:pPr>
        <w:pStyle w:val="Heading1"/>
      </w:pPr>
      <w:r>
        <w:t>1. Objetivo y alcance</w:t>
      </w:r>
    </w:p>
    <w:p>
      <w:r>
        <w:t>Disponer de un procedimiento reproducible y económico para:</w:t>
      </w:r>
    </w:p>
    <w:p>
      <w:r>
        <w:t>• Clasificar como BORREGUIL / NO BORREGUIL un conjunto de puntos candidatos (coordenadas) sobre cualquier zona de montaña con suficiente cobertura de imagen satelital de Sentinel-2 y Sentinel-1 (todo el mundo, libre).</w:t>
        <w:br/>
        <w:t>• Producir un informe Word + una hoja Excel + una capa de mapa con la decisión final, las métricas y la imagen de fondo para cada punto.</w:t>
        <w:br/>
        <w:t>• Permitir que el modelo sea entrenable y validado con datos locales de verdad-terreno, evitando que la clasificación dependa de una sola fuente (cartografía existente) o de una sola firma (NDVI).</w:t>
      </w:r>
    </w:p>
    <w:p>
      <w:pPr>
        <w:pStyle w:val="Heading1"/>
      </w:pPr>
      <w:r>
        <w:t>2. Caracterización del objeto a mapear</w:t>
      </w:r>
    </w:p>
    <w:p>
      <w:r>
        <w:t>Los wet meadows de alta montaña presentan, con variaciones locales, una combinación de rasgos que permiten su discriminación por teledetección:</w:t>
      </w:r>
    </w:p>
    <w:tbl>
      <w:tblPr>
        <w:tblStyle w:val="LightGrid-Accent1"/>
        <w:tblW w:type="auto" w:w="0"/>
        <w:tblLook w:firstColumn="1" w:firstRow="1" w:lastColumn="0" w:lastRow="0" w:noHBand="0" w:noVBand="1" w:val="04A0"/>
      </w:tblPr>
      <w:tblGrid>
        <w:gridCol w:w="4706"/>
        <w:gridCol w:w="4706"/>
      </w:tblGrid>
      <w:tr>
        <w:tc>
          <w:tcPr>
            <w:tcW w:type="dxa" w:w="1984"/>
          </w:tcPr>
          <w:p>
            <w:r>
              <w:rPr>
                <w:b/>
              </w:rPr>
              <w:t>Rasgo</w:t>
            </w:r>
          </w:p>
        </w:tc>
        <w:tc>
          <w:tcPr>
            <w:tcW w:type="dxa" w:w="7370"/>
          </w:tcPr>
          <w:p>
            <w:r>
              <w:rPr>
                <w:b/>
              </w:rPr>
              <w:t>Firma observable</w:t>
            </w:r>
          </w:p>
        </w:tc>
      </w:tr>
      <w:tr>
        <w:tc>
          <w:tcPr>
            <w:tcW w:type="dxa" w:w="1984"/>
          </w:tcPr>
          <w:p>
            <w:r>
              <w:rPr>
                <w:b/>
              </w:rPr>
              <w:t>Fisionomía</w:t>
            </w:r>
          </w:p>
        </w:tc>
        <w:tc>
          <w:tcPr>
            <w:tcW w:type="dxa" w:w="7370"/>
          </w:tcPr>
          <w:p>
            <w:r>
              <w:t>Alfombra continua de gramíneas y ciperáceas higrófilas (Nardus, Carex, Festuca iberica, Sphagnum, Pinguicula…). Textura muy lisa y uniforme.</w:t>
            </w:r>
          </w:p>
        </w:tc>
      </w:tr>
      <w:tr>
        <w:tc>
          <w:tcPr>
            <w:tcW w:type="dxa" w:w="1984"/>
          </w:tcPr>
          <w:p>
            <w:r>
              <w:rPr>
                <w:b/>
              </w:rPr>
              <w:t>Cromaticidad</w:t>
            </w:r>
          </w:p>
        </w:tc>
        <w:tc>
          <w:tcPr>
            <w:tcW w:type="dxa" w:w="7370"/>
          </w:tcPr>
          <w:p>
            <w:r>
              <w:t>Verde saturado en imagen aérea, fuertemente contrastado con el sustrato pétreo o el pastizal psicroxerófilo circundante.</w:t>
            </w:r>
          </w:p>
        </w:tc>
      </w:tr>
      <w:tr>
        <w:tc>
          <w:tcPr>
            <w:tcW w:type="dxa" w:w="1984"/>
          </w:tcPr>
          <w:p>
            <w:r>
              <w:rPr>
                <w:b/>
              </w:rPr>
              <w:t>Estacionalidad</w:t>
            </w:r>
          </w:p>
        </w:tc>
        <w:tc>
          <w:tcPr>
            <w:tcW w:type="dxa" w:w="7370"/>
          </w:tcPr>
          <w:p>
            <w:r>
              <w:t>Mantiene actividad fotosintética hasta final de verano por la disponibilidad hídrica continua; el pastizal seco circundante se agosta antes (NDVI &lt; 0,15 vs borreguil ≥ 0,25-0,35).</w:t>
            </w:r>
          </w:p>
        </w:tc>
      </w:tr>
      <w:tr>
        <w:tc>
          <w:tcPr>
            <w:tcW w:type="dxa" w:w="1984"/>
          </w:tcPr>
          <w:p>
            <w:r>
              <w:rPr>
                <w:b/>
              </w:rPr>
              <w:t>Topografía</w:t>
            </w:r>
          </w:p>
        </w:tc>
        <w:tc>
          <w:tcPr>
            <w:tcW w:type="dxa" w:w="7370"/>
          </w:tcPr>
          <w:p>
            <w:r>
              <w:t>Zonas cóncavas / vaguadas / pies de manantial. Pendientes suaves (mediana 10°; literatura: umbral &lt; 4,5° para delineation). Cota alta (en Sierra Nevada, &gt; 2 200 m).</w:t>
            </w:r>
          </w:p>
        </w:tc>
      </w:tr>
      <w:tr>
        <w:tc>
          <w:tcPr>
            <w:tcW w:type="dxa" w:w="1984"/>
          </w:tcPr>
          <w:p>
            <w:r>
              <w:rPr>
                <w:b/>
              </w:rPr>
              <w:t>Hidrología</w:t>
            </w:r>
          </w:p>
        </w:tc>
        <w:tc>
          <w:tcPr>
            <w:tcW w:type="dxa" w:w="7370"/>
          </w:tcPr>
          <w:p>
            <w:r>
              <w:t>Asociado a manantial, surgencia o cauce permanente / temporal. Alta acumulación de flujo (TWI elevado) y mayor humedad de suelo/dosel (señal SAR).</w:t>
            </w:r>
          </w:p>
        </w:tc>
      </w:tr>
      <w:tr>
        <w:tc>
          <w:tcPr>
            <w:tcW w:type="dxa" w:w="1984"/>
          </w:tcPr>
          <w:p>
            <w:r>
              <w:rPr>
                <w:b/>
              </w:rPr>
              <w:t>Tamaño</w:t>
            </w:r>
          </w:p>
        </w:tc>
        <w:tc>
          <w:tcPr>
            <w:tcW w:type="dxa" w:w="7370"/>
          </w:tcPr>
          <w:p>
            <w:r>
              <w:t>Manchas de 30-300 m. Frecuentemente forma "cintas" siguiendo la red de drenaje, no polígonos compactos.</w:t>
            </w:r>
          </w:p>
        </w:tc>
      </w:tr>
      <w:tr>
        <w:tc>
          <w:tcPr>
            <w:tcW w:type="dxa" w:w="1984"/>
          </w:tcPr>
          <w:p>
            <w:r>
              <w:rPr>
                <w:b/>
              </w:rPr>
              <w:t>Patrón espacial</w:t>
            </w:r>
          </w:p>
        </w:tc>
        <w:tc>
          <w:tcPr>
            <w:tcW w:type="dxa" w:w="7370"/>
          </w:tcPr>
          <w:p>
            <w:r>
              <w:t>Mancha continua. Se distingue de matorral (piornal, enebral) por la ausencia de blobs dispersos separados por suelo desnudo.</w:t>
            </w:r>
          </w:p>
        </w:tc>
      </w:tr>
    </w:tbl>
    <w:p>
      <w:pPr>
        <w:pStyle w:val="Heading1"/>
      </w:pPr>
      <w:r>
        <w:t>3. Inputs requeridos</w:t>
      </w:r>
    </w:p>
    <w:p>
      <w:r>
        <w:t>Para aplicar el pipeline a una zona nueva basta con:</w:t>
      </w:r>
    </w:p>
    <w:p>
      <w:pPr>
        <w:pStyle w:val="Heading2"/>
      </w:pPr>
      <w:r>
        <w:t>3.1 Obligatorios</w:t>
      </w:r>
    </w:p>
    <w:p>
      <w:r>
        <w:t>• KML / Shapefile / GeoJSON con los PUNTOS CANDIDATOS a clasificar (n: 100-10 000). Pueden venir de muestreo regular, de un inventario previo, o de un muestreo estratificado por cuencas como en el caso de Sierra Nevada (588 puntos en 20 cuencas).</w:t>
        <w:br/>
        <w:t>• Bounding box de la zona (lat/lon). Se deduce automáticamente de los puntos.</w:t>
      </w:r>
    </w:p>
    <w:p>
      <w:pPr>
        <w:pStyle w:val="Heading2"/>
      </w:pPr>
      <w:r>
        <w:t>3.2 Opcionales pero muy recomendados</w:t>
      </w:r>
    </w:p>
    <w:p>
      <w:r>
        <w:t>• Subconjunto de puntos VERIFICADOS EN CAMPO con etiqueta binaria (BORREGUIL = sí/no) y opcionalmente DUDA = sí/no. Cuanto mayor el conjunto, mejor el modelo: ver sección 8 para tamaño muestral mínimo.</w:t>
        <w:br/>
        <w:t>• Inventario existente (capa REDIAM, OBSNEV, LORITE, GESTEMA, equivalentes locales) con polígonos / puntos de borreguiles confirmados. Sirve para clasificar por proximidad y, si no hay verdad-terreno, para crear etiquetas sintéticas (con las limitaciones que se exponen en la sección 9).</w:t>
      </w:r>
    </w:p>
    <w:p>
      <w:pPr>
        <w:pStyle w:val="Heading2"/>
      </w:pPr>
      <w:r>
        <w:t>3.3 Externos descargados por el script</w:t>
      </w:r>
    </w:p>
    <w:p>
      <w:r>
        <w:t>El pipeline descarga automáticamente, para la bbox de la zona, sin token ni coste:</w:t>
        <w:br/>
        <w:t>• ESRI World Imagery (servicio público REST/export).</w:t>
        <w:br/>
        <w:t>• OpenStreetMap (vía Overpass API). Capas: waterway, natural=spring, aerialway, highway, building.</w:t>
        <w:br/>
        <w:t>• Copernicus DEM GLO-30 (Microsoft Planetary Computer STAC).</w:t>
        <w:br/>
        <w:t>• Sentinel-2 L2A multi-temporal y multi-año (MPC STAC). Bandas: B02, B03, B04, B05, B06, B07, B08, B11, B12, SCL.</w:t>
        <w:br/>
        <w:t>• Sentinel-1 RTC (Radiometrically Terrain Corrected, MPC STAC). Polarizaciones VV y VH.</w:t>
      </w:r>
    </w:p>
    <w:p>
      <w:r>
        <w:br w:type="page"/>
      </w:r>
    </w:p>
    <w:p>
      <w:pPr>
        <w:pStyle w:val="Heading1"/>
      </w:pPr>
      <w:r>
        <w:t>4. Arquitectura del pipeline</w:t>
      </w:r>
    </w:p>
    <w:p>
      <w:r>
        <w:t>El pipeline extrae, para cada punto, un vector de 50 variables procedentes de cuatro sensores, lo clasifica con un Random Forest entrenado en modo presence-only y sintetiza una decisión por umbrales. El diagrama siguiente resume el flujo completo:</w:t>
      </w:r>
    </w:p>
    <w:p>
      <w:r>
        <w:drawing>
          <wp:inline xmlns:a="http://schemas.openxmlformats.org/drawingml/2006/main" xmlns:pic="http://schemas.openxmlformats.org/drawingml/2006/picture">
            <wp:extent cx="5976000" cy="4655895"/>
            <wp:docPr id="1" name="Picture 1"/>
            <wp:cNvGraphicFramePr>
              <a:graphicFrameLocks noChangeAspect="1"/>
            </wp:cNvGraphicFramePr>
            <a:graphic>
              <a:graphicData uri="http://schemas.openxmlformats.org/drawingml/2006/picture">
                <pic:pic>
                  <pic:nvPicPr>
                    <pic:cNvPr id="0" name="flowchart_metodologia.png"/>
                    <pic:cNvPicPr/>
                  </pic:nvPicPr>
                  <pic:blipFill>
                    <a:blip r:embed="rId9"/>
                    <a:stretch>
                      <a:fillRect/>
                    </a:stretch>
                  </pic:blipFill>
                  <pic:spPr>
                    <a:xfrm>
                      <a:off x="0" y="0"/>
                      <a:ext cx="5976000" cy="4655895"/>
                    </a:xfrm>
                    <a:prstGeom prst="rect"/>
                  </pic:spPr>
                </pic:pic>
              </a:graphicData>
            </a:graphic>
          </wp:inline>
        </w:drawing>
      </w:r>
    </w:p>
    <w:p>
      <w:pPr>
        <w:jc w:val="center"/>
      </w:pPr>
      <w:r>
        <w:rPr>
          <w:i/>
          <w:sz w:val="18"/>
        </w:rPr>
        <w:t>Figura 1. Flujo de la metodología: de los puntos candidatos a los productos finales.</w:t>
      </w:r>
    </w:p>
    <w:p/>
    <w:p>
      <w:pPr>
        <w:pStyle w:val="Heading2"/>
      </w:pPr>
      <w:r>
        <w:t>Pasos del procesamiento</w:t>
      </w:r>
    </w:p>
    <w:p>
      <w:pPr>
        <w:pStyle w:val="Heading3"/>
      </w:pPr>
      <w:r>
        <w:t>Paso 1 — Descarga de imagen ESRI World Imagery</w:t>
      </w:r>
    </w:p>
    <w:p>
      <w:r>
        <w:t>Para cada punto se descarga una imagen JPG centrada en él de unos 550 × 440 m (ESRI World Imagery REST). Se añade un marcador rojo. Tamaño total típico: 588 puntos ≈ 27 MB.</w:t>
      </w:r>
    </w:p>
    <w:p>
      <w:pPr>
        <w:pStyle w:val="Heading3"/>
      </w:pPr>
      <w:r>
        <w:t>Paso 2 — Descriptores de la imagen aérea</w:t>
      </w:r>
    </w:p>
    <w:p>
      <w:r>
        <w:t>Sobre cada imagen, en un parche central de 120 × 120 px (~130 × 130 m), se calculan 12 descriptores: cromáticos (frac_bgreen, exg_mean), texturales GLCM (4 direcciones, 32 niveles: homogeneidad, contraste), de rugosidad (edge_density por Sobel, laplacian_var), de contexto (vegcontrast centro-vs-anillo, surr_rock = % de roca) y de patrón espacial (granulometría morfológica granul_5, componentes conectados largest_frac / n_components, matorral_score). Detalle en la sección 5.1.</w:t>
      </w:r>
    </w:p>
    <w:p>
      <w:pPr>
        <w:pStyle w:val="Heading3"/>
      </w:pPr>
      <w:r>
        <w:t>Paso 3 — Capas OSM (banderas, no entran al modelo)</w:t>
      </w:r>
    </w:p>
    <w:p>
      <w:r>
        <w:t>Consulta Overpass por bbox. Para cada punto se calcula la distancia (EPSG métrico) a hidrografía (waterway + natural=spring → dist_water_m), a infraestructuras (aerialway + highway + building → dist_infra_m) y específicamente a pistas de esquí (dist_ski_m). Estas distancias NO son variables del clasificador: se usan como BANDERAS en la decisión final (p. ej. descartar artefactos de praderas artificiales junto a la estación de esquí).</w:t>
      </w:r>
    </w:p>
    <w:p>
      <w:pPr>
        <w:pStyle w:val="Heading3"/>
      </w:pPr>
      <w:r>
        <w:t>Paso 4 — Topografía (Copernicus DEM 30 m vía MPC)</w:t>
      </w:r>
    </w:p>
    <w:p>
      <w:r>
        <w:t>STAC search en cop-dem-glo-30 cubriendo la bbox; reproyección al UTM local a 30 m. Sobre el ráster se calculan altitud (elev_dem_m), pendiente (slope_deg), curvatura (laplaciano del DEM) y el Topographic Wetness Index TWI = ln(área_específica / tan pendiente), con la acumulación de flujo por D8. Se muestrean en la posición de cada punto. Cuatro de estas variables entran al modelo (sección 5.1).</w:t>
      </w:r>
    </w:p>
    <w:p>
      <w:pPr>
        <w:pStyle w:val="Heading3"/>
      </w:pPr>
      <w:r>
        <w:t>Paso 5 — Sentinel-2 L2A multi-temporal vía MPC</w:t>
      </w:r>
    </w:p>
    <w:p>
      <w:r>
        <w:t>STAC search en sentinel-2-l2a (filtro eo:cloud_cover &lt; 30 %), sobre 2017-2025. Se extraen DOS familias de variables ópticas (detalle temporal en la sección 5.2):</w:t>
        <w:br/>
        <w:t xml:space="preserve">   • BI-TEMPORAL (fenológica): medianas inter-escena en dos ventanas — early summer (15-jun → 25-jul, vegetación en pleno desarrollo) y late summer (1-ago → 30-sep, firma de persistencia hídrica) — de NDVI, Clre, GNDVI, NDMI, EVI y NBR, más ΔNDVI.</w:t>
        <w:br/>
        <w:t xml:space="preserve">   • MULTI-ANUAL (estadística): media, mínimo, máximo y desviación estándar sobre TODAS las escenas válidas de jun-sep 2017-2025 de WAVI, ALBEDO, NDMI y NDWI.</w:t>
        <w:br/>
        <w:t>Muestreo por punto: ventana 5×5 px en bandas de 10 m y 3×3 en las de 20 m (~50 × 50 m), con máscara de calidad SCL (+ nieve) descrita en la sección 5.4.</w:t>
      </w:r>
    </w:p>
    <w:p>
      <w:pPr>
        <w:pStyle w:val="Heading3"/>
      </w:pPr>
      <w:r>
        <w:t>Paso 6 — Sentinel-1 RTC (radar) vía MPC</w:t>
      </w:r>
    </w:p>
    <w:p>
      <w:r>
        <w:t>STAC search en sentinel-1-rtc (gamma-0 radiométricamente corregido por terreno, imprescindible en montaña). Por punto, ventana 5×5 px (~50 × 50 m) sobre todas las escenas de verano (jun-sep) de 2019-2024, polarizaciones VV y VH; los valores RTC (potencia lineal) se convierten a decibelios. Se calculan 5 variables: media y desviación estándar temporal de VV y VH, y el ratio VV−VH (dB). El radar penetra nubes y mide humedad/estructura del dosel, una dimensión independiente del óptico (sección 5.1). Se obtiene SIEMPRE vía MPC para que entrenamiento e inferencia compartan la misma radiometría.</w:t>
      </w:r>
    </w:p>
    <w:p>
      <w:pPr>
        <w:pStyle w:val="Heading3"/>
      </w:pPr>
      <w:r>
        <w:t>Paso 7 — Random Forest</w:t>
      </w:r>
    </w:p>
    <w:p>
      <w:r>
        <w:t>Clasificador supervisado con las 50 variables (12 imagen + 4 topografía + 29 Sentinel-2 + 5 Sentinel-1). 400 árboles, max_depth = 12, min_samples_leaf = 2, class_weight = "balanced". Entrenamiento en modo presence-only (sección 7); validación honesta GroupKFold por cuenca (sección 6).</w:t>
      </w:r>
    </w:p>
    <w:p>
      <w:pPr>
        <w:pStyle w:val="Heading3"/>
      </w:pPr>
      <w:r>
        <w:t>Paso 8 — Decisión final</w:t>
      </w:r>
    </w:p>
    <w:p>
      <w:r>
        <w:t>Para cada punto se sintetiza:</w:t>
        <w:br/>
        <w:t xml:space="preserve">   • Si tiene verdad-terreno (sí/no/duda) ⇒ se usa esa etiqueta como decisión.</w:t>
        <w:br/>
        <w:t xml:space="preserve">   • Si no, se usa rf_proba con cuatro umbrales: ≥ 0,70 BORREGUIL PROBABLE, 0,50-0,70 POSIBLE, 0,20-0,50 INCIERTO, ≤ 0,20 NO BORREGUIL.</w:t>
        <w:br/>
        <w:t xml:space="preserve">   • Banderas (a partir de OSM y de los índices): cerca de pista de esquí (artefacto), NDVI alto aislado (posible borreguil no inventariado), patrón de matorral o de roca incompatible.</w:t>
      </w:r>
    </w:p>
    <w:p>
      <w:pPr>
        <w:pStyle w:val="Heading3"/>
      </w:pPr>
      <w:r>
        <w:t>Paso 9 — Productos</w:t>
      </w:r>
    </w:p>
    <w:p>
      <w:r>
        <w:t>El pipeline genera Excel (xlsx con color-scales y autofiltro), Word (docx con portada, metodología, resumen por clase y una tarjeta por punto), CSV completo, GeoJSON de hidrografía OSM y, opcionalmente, un mapa Folium HTML con marcadores coloreados por probabilidad RF.</w:t>
      </w:r>
    </w:p>
    <w:p>
      <w:pPr>
        <w:pStyle w:val="Heading1"/>
      </w:pPr>
      <w:r>
        <w:t>5. Variables de entrada del modelo en detalle</w:t>
      </w:r>
    </w:p>
    <w:p>
      <w:r>
        <w:t>El clasificador recibe 50 variables por punto, organizadas en cinco grupos según su sensor y su tratamiento temporal. Esta sección detalla cada variable, su definición y —el aspecto clave de esta metodología— CÓMO se resume su información en el tiempo.</w:t>
      </w:r>
    </w:p>
    <w:p>
      <w:pPr>
        <w:pStyle w:val="Heading2"/>
      </w:pPr>
      <w:r>
        <w:t>5.1 Inventario completo de variables</w:t>
      </w:r>
    </w:p>
    <w:p>
      <w:pPr>
        <w:pStyle w:val="Heading3"/>
      </w:pPr>
      <w:r>
        <w:t>Grupo A — Imagen aérea ESRI (12 variables, fecha única)</w:t>
      </w:r>
    </w:p>
    <w:tbl>
      <w:tblPr>
        <w:tblStyle w:val="LightGrid-Accent1"/>
        <w:tblW w:type="auto" w:w="0"/>
        <w:tblLook w:firstColumn="1" w:firstRow="1" w:lastColumn="0" w:lastRow="0" w:noHBand="0" w:noVBand="1" w:val="04A0"/>
      </w:tblPr>
      <w:tblGrid>
        <w:gridCol w:w="3137"/>
        <w:gridCol w:w="3137"/>
        <w:gridCol w:w="3137"/>
      </w:tblGrid>
      <w:tr>
        <w:tc>
          <w:tcPr>
            <w:tcW w:type="dxa" w:w="1814"/>
          </w:tcPr>
          <w:p>
            <w:r>
              <w:rPr>
                <w:b/>
              </w:rPr>
              <w:t>Variable</w:t>
            </w:r>
          </w:p>
        </w:tc>
        <w:tc>
          <w:tcPr>
            <w:tcW w:type="dxa" w:w="5896"/>
          </w:tcPr>
          <w:p>
            <w:r>
              <w:rPr>
                <w:b/>
              </w:rPr>
              <w:t>Definición</w:t>
            </w:r>
          </w:p>
        </w:tc>
        <w:tc>
          <w:tcPr>
            <w:tcW w:type="dxa" w:w="1701"/>
          </w:tcPr>
          <w:p>
            <w:r>
              <w:rPr>
                <w:b/>
              </w:rPr>
              <w:t>Tipo</w:t>
            </w:r>
          </w:p>
        </w:tc>
      </w:tr>
      <w:tr>
        <w:tc>
          <w:tcPr>
            <w:tcW w:type="dxa" w:w="1814"/>
          </w:tcPr>
          <w:p>
            <w:r>
              <w:t>frac_bgreen</w:t>
            </w:r>
          </w:p>
        </w:tc>
        <w:tc>
          <w:tcPr>
            <w:tcW w:type="dxa" w:w="5896"/>
          </w:tcPr>
          <w:p>
            <w:r>
              <w:t>Fracción de píxeles de verde saturado en espacio HSV.</w:t>
            </w:r>
          </w:p>
        </w:tc>
        <w:tc>
          <w:tcPr>
            <w:tcW w:type="dxa" w:w="1701"/>
          </w:tcPr>
          <w:p>
            <w:r>
              <w:t>Cromático</w:t>
            </w:r>
          </w:p>
        </w:tc>
      </w:tr>
      <w:tr>
        <w:tc>
          <w:tcPr>
            <w:tcW w:type="dxa" w:w="1814"/>
          </w:tcPr>
          <w:p>
            <w:r>
              <w:t>exg_mean</w:t>
            </w:r>
          </w:p>
        </w:tc>
        <w:tc>
          <w:tcPr>
            <w:tcW w:type="dxa" w:w="5896"/>
          </w:tcPr>
          <w:p>
            <w:r>
              <w:t>Excess Green = 2G − R − B (proxy de verdor sin infrarrojo).</w:t>
            </w:r>
          </w:p>
        </w:tc>
        <w:tc>
          <w:tcPr>
            <w:tcW w:type="dxa" w:w="1701"/>
          </w:tcPr>
          <w:p>
            <w:r>
              <w:t>Cromático</w:t>
            </w:r>
          </w:p>
        </w:tc>
      </w:tr>
      <w:tr>
        <w:tc>
          <w:tcPr>
            <w:tcW w:type="dxa" w:w="1814"/>
          </w:tcPr>
          <w:p>
            <w:r>
              <w:t>glcm_homog</w:t>
            </w:r>
          </w:p>
        </w:tc>
        <w:tc>
          <w:tcPr>
            <w:tcW w:type="dxa" w:w="5896"/>
          </w:tcPr>
          <w:p>
            <w:r>
              <w:t>Homogeneidad de la matriz de co-ocurrencia (4 direcciones, 32 niveles).</w:t>
            </w:r>
          </w:p>
        </w:tc>
        <w:tc>
          <w:tcPr>
            <w:tcW w:type="dxa" w:w="1701"/>
          </w:tcPr>
          <w:p>
            <w:r>
              <w:t>Textura</w:t>
            </w:r>
          </w:p>
        </w:tc>
      </w:tr>
      <w:tr>
        <w:tc>
          <w:tcPr>
            <w:tcW w:type="dxa" w:w="1814"/>
          </w:tcPr>
          <w:p>
            <w:r>
              <w:t>glcm_contrast</w:t>
            </w:r>
          </w:p>
        </w:tc>
        <w:tc>
          <w:tcPr>
            <w:tcW w:type="dxa" w:w="5896"/>
          </w:tcPr>
          <w:p>
            <w:r>
              <w:t>Contraste GLCM (variación local de tono).</w:t>
            </w:r>
          </w:p>
        </w:tc>
        <w:tc>
          <w:tcPr>
            <w:tcW w:type="dxa" w:w="1701"/>
          </w:tcPr>
          <w:p>
            <w:r>
              <w:t>Textura</w:t>
            </w:r>
          </w:p>
        </w:tc>
      </w:tr>
      <w:tr>
        <w:tc>
          <w:tcPr>
            <w:tcW w:type="dxa" w:w="1814"/>
          </w:tcPr>
          <w:p>
            <w:r>
              <w:t>edge_density</w:t>
            </w:r>
          </w:p>
        </w:tc>
        <w:tc>
          <w:tcPr>
            <w:tcW w:type="dxa" w:w="5896"/>
          </w:tcPr>
          <w:p>
            <w:r>
              <w:t>Densidad de bordes (filtro Sobel).</w:t>
            </w:r>
          </w:p>
        </w:tc>
        <w:tc>
          <w:tcPr>
            <w:tcW w:type="dxa" w:w="1701"/>
          </w:tcPr>
          <w:p>
            <w:r>
              <w:t>Rugosidad</w:t>
            </w:r>
          </w:p>
        </w:tc>
      </w:tr>
      <w:tr>
        <w:tc>
          <w:tcPr>
            <w:tcW w:type="dxa" w:w="1814"/>
          </w:tcPr>
          <w:p>
            <w:r>
              <w:t>laplacian_var</w:t>
            </w:r>
          </w:p>
        </w:tc>
        <w:tc>
          <w:tcPr>
            <w:tcW w:type="dxa" w:w="5896"/>
          </w:tcPr>
          <w:p>
            <w:r>
              <w:t>Varianza del laplaciano (nitidez / micro-rugosidad).</w:t>
            </w:r>
          </w:p>
        </w:tc>
        <w:tc>
          <w:tcPr>
            <w:tcW w:type="dxa" w:w="1701"/>
          </w:tcPr>
          <w:p>
            <w:r>
              <w:t>Rugosidad</w:t>
            </w:r>
          </w:p>
        </w:tc>
      </w:tr>
      <w:tr>
        <w:tc>
          <w:tcPr>
            <w:tcW w:type="dxa" w:w="1814"/>
          </w:tcPr>
          <w:p>
            <w:r>
              <w:t>vegcontrast</w:t>
            </w:r>
          </w:p>
        </w:tc>
        <w:tc>
          <w:tcPr>
            <w:tcW w:type="dxa" w:w="5896"/>
          </w:tcPr>
          <w:p>
            <w:r>
              <w:t>Contraste de verdor entre el centro y un anillo de 300 m.</w:t>
            </w:r>
          </w:p>
        </w:tc>
        <w:tc>
          <w:tcPr>
            <w:tcW w:type="dxa" w:w="1701"/>
          </w:tcPr>
          <w:p>
            <w:r>
              <w:t>Contexto</w:t>
            </w:r>
          </w:p>
        </w:tc>
      </w:tr>
      <w:tr>
        <w:tc>
          <w:tcPr>
            <w:tcW w:type="dxa" w:w="1814"/>
          </w:tcPr>
          <w:p>
            <w:r>
              <w:t>surr_rock</w:t>
            </w:r>
          </w:p>
        </w:tc>
        <w:tc>
          <w:tcPr>
            <w:tcW w:type="dxa" w:w="5896"/>
          </w:tcPr>
          <w:p>
            <w:r>
              <w:t>Porcentaje de roca gris en el entorno (contexto alpino).</w:t>
            </w:r>
          </w:p>
        </w:tc>
        <w:tc>
          <w:tcPr>
            <w:tcW w:type="dxa" w:w="1701"/>
          </w:tcPr>
          <w:p>
            <w:r>
              <w:t>Contexto</w:t>
            </w:r>
          </w:p>
        </w:tc>
      </w:tr>
      <w:tr>
        <w:tc>
          <w:tcPr>
            <w:tcW w:type="dxa" w:w="1814"/>
          </w:tcPr>
          <w:p>
            <w:r>
              <w:t>granul_5</w:t>
            </w:r>
          </w:p>
        </w:tc>
        <w:tc>
          <w:tcPr>
            <w:tcW w:type="dxa" w:w="5896"/>
          </w:tcPr>
          <w:p>
            <w:r>
              <w:t>Granulometría por apertura morfológica r = 5 px (grano de la mancha verde).</w:t>
            </w:r>
          </w:p>
        </w:tc>
        <w:tc>
          <w:tcPr>
            <w:tcW w:type="dxa" w:w="1701"/>
          </w:tcPr>
          <w:p>
            <w:r>
              <w:t>Patrón</w:t>
            </w:r>
          </w:p>
        </w:tc>
      </w:tr>
      <w:tr>
        <w:tc>
          <w:tcPr>
            <w:tcW w:type="dxa" w:w="1814"/>
          </w:tcPr>
          <w:p>
            <w:r>
              <w:t>largest_frac</w:t>
            </w:r>
          </w:p>
        </w:tc>
        <w:tc>
          <w:tcPr>
            <w:tcW w:type="dxa" w:w="5896"/>
          </w:tcPr>
          <w:p>
            <w:r>
              <w:t>Fracción del mayor componente verde conectado.</w:t>
            </w:r>
          </w:p>
        </w:tc>
        <w:tc>
          <w:tcPr>
            <w:tcW w:type="dxa" w:w="1701"/>
          </w:tcPr>
          <w:p>
            <w:r>
              <w:t>Patrón</w:t>
            </w:r>
          </w:p>
        </w:tc>
      </w:tr>
      <w:tr>
        <w:tc>
          <w:tcPr>
            <w:tcW w:type="dxa" w:w="1814"/>
          </w:tcPr>
          <w:p>
            <w:r>
              <w:t>matorral_score</w:t>
            </w:r>
          </w:p>
        </w:tc>
        <w:tc>
          <w:tcPr>
            <w:tcW w:type="dxa" w:w="5896"/>
          </w:tcPr>
          <w:p>
            <w:r>
              <w:t>Puntuación de patrón "matorral" (blobs dispersos sobre suelo desnudo).</w:t>
            </w:r>
          </w:p>
        </w:tc>
        <w:tc>
          <w:tcPr>
            <w:tcW w:type="dxa" w:w="1701"/>
          </w:tcPr>
          <w:p>
            <w:r>
              <w:t>Patrón</w:t>
            </w:r>
          </w:p>
        </w:tc>
      </w:tr>
      <w:tr>
        <w:tc>
          <w:tcPr>
            <w:tcW w:type="dxa" w:w="1814"/>
          </w:tcPr>
          <w:p>
            <w:r>
              <w:t>n_components</w:t>
            </w:r>
          </w:p>
        </w:tc>
        <w:tc>
          <w:tcPr>
            <w:tcW w:type="dxa" w:w="5896"/>
          </w:tcPr>
          <w:p>
            <w:r>
              <w:t>Número de componentes verdes conectados.</w:t>
            </w:r>
          </w:p>
        </w:tc>
        <w:tc>
          <w:tcPr>
            <w:tcW w:type="dxa" w:w="1701"/>
          </w:tcPr>
          <w:p>
            <w:r>
              <w:t>Patrón</w:t>
            </w:r>
          </w:p>
        </w:tc>
      </w:tr>
    </w:tbl>
    <w:p>
      <w:r>
        <w:t>Tratamiento temporal: fecha única (mosaico ESRI más reciente disponible). Aportan la resolución espacial (~0,5 m) que el satélite no tiene: textura, forma y contexto de la mancha.</w:t>
      </w:r>
    </w:p>
    <w:p>
      <w:pPr>
        <w:pStyle w:val="Heading3"/>
      </w:pPr>
      <w:r>
        <w:t>Grupo B — Topografía Copernicus DEM 30 m (4 variables, estáticas)</w:t>
      </w:r>
    </w:p>
    <w:tbl>
      <w:tblPr>
        <w:tblStyle w:val="LightGrid-Accent1"/>
        <w:tblW w:type="auto" w:w="0"/>
        <w:tblLook w:firstColumn="1" w:firstRow="1" w:lastColumn="0" w:lastRow="0" w:noHBand="0" w:noVBand="1" w:val="04A0"/>
      </w:tblPr>
      <w:tblGrid>
        <w:gridCol w:w="3137"/>
        <w:gridCol w:w="3137"/>
        <w:gridCol w:w="3137"/>
      </w:tblGrid>
      <w:tr>
        <w:tc>
          <w:tcPr>
            <w:tcW w:type="dxa" w:w="1814"/>
          </w:tcPr>
          <w:p>
            <w:r>
              <w:rPr>
                <w:b/>
              </w:rPr>
              <w:t>Variable</w:t>
            </w:r>
          </w:p>
        </w:tc>
        <w:tc>
          <w:tcPr>
            <w:tcW w:type="dxa" w:w="4762"/>
          </w:tcPr>
          <w:p>
            <w:r>
              <w:rPr>
                <w:b/>
              </w:rPr>
              <w:t>Definición</w:t>
            </w:r>
          </w:p>
        </w:tc>
        <w:tc>
          <w:tcPr>
            <w:tcW w:type="dxa" w:w="2835"/>
          </w:tcPr>
          <w:p>
            <w:r>
              <w:rPr>
                <w:b/>
              </w:rPr>
              <w:t>Relevancia</w:t>
            </w:r>
          </w:p>
        </w:tc>
      </w:tr>
      <w:tr>
        <w:tc>
          <w:tcPr>
            <w:tcW w:type="dxa" w:w="1814"/>
          </w:tcPr>
          <w:p>
            <w:r>
              <w:t>elev_dem_m</w:t>
            </w:r>
          </w:p>
        </w:tc>
        <w:tc>
          <w:tcPr>
            <w:tcW w:type="dxa" w:w="4762"/>
          </w:tcPr>
          <w:p>
            <w:r>
              <w:t>Altitud (m).</w:t>
            </w:r>
          </w:p>
        </w:tc>
        <w:tc>
          <w:tcPr>
            <w:tcW w:type="dxa" w:w="2835"/>
          </w:tcPr>
          <w:p>
            <w:r>
              <w:t>Piso bioclimático del borreguil.</w:t>
            </w:r>
          </w:p>
        </w:tc>
      </w:tr>
      <w:tr>
        <w:tc>
          <w:tcPr>
            <w:tcW w:type="dxa" w:w="1814"/>
          </w:tcPr>
          <w:p>
            <w:r>
              <w:t>slope_deg</w:t>
            </w:r>
          </w:p>
        </w:tc>
        <w:tc>
          <w:tcPr>
            <w:tcW w:type="dxa" w:w="4762"/>
          </w:tcPr>
          <w:p>
            <w:r>
              <w:t>Pendiente (°).</w:t>
            </w:r>
          </w:p>
        </w:tc>
        <w:tc>
          <w:tcPr>
            <w:tcW w:type="dxa" w:w="2835"/>
          </w:tcPr>
          <w:p>
            <w:r>
              <w:t>Los wet meadows se asientan en pendientes suaves.</w:t>
            </w:r>
          </w:p>
        </w:tc>
      </w:tr>
      <w:tr>
        <w:tc>
          <w:tcPr>
            <w:tcW w:type="dxa" w:w="1814"/>
          </w:tcPr>
          <w:p>
            <w:r>
              <w:t>twi</w:t>
            </w:r>
          </w:p>
        </w:tc>
        <w:tc>
          <w:tcPr>
            <w:tcW w:type="dxa" w:w="4762"/>
          </w:tcPr>
          <w:p>
            <w:r>
              <w:t>Topographic Wetness Index = ln(área específica / tan pendiente).</w:t>
            </w:r>
          </w:p>
        </w:tc>
        <w:tc>
          <w:tcPr>
            <w:tcW w:type="dxa" w:w="2835"/>
          </w:tcPr>
          <w:p>
            <w:r>
              <w:t>Acumulación hídrica: alto en vaguadas húmedas.</w:t>
            </w:r>
          </w:p>
        </w:tc>
      </w:tr>
      <w:tr>
        <w:tc>
          <w:tcPr>
            <w:tcW w:type="dxa" w:w="1814"/>
          </w:tcPr>
          <w:p>
            <w:r>
              <w:t>curvature</w:t>
            </w:r>
          </w:p>
        </w:tc>
        <w:tc>
          <w:tcPr>
            <w:tcW w:type="dxa" w:w="4762"/>
          </w:tcPr>
          <w:p>
            <w:r>
              <w:t>Curvatura (laplaciano del DEM).</w:t>
            </w:r>
          </w:p>
        </w:tc>
        <w:tc>
          <w:tcPr>
            <w:tcW w:type="dxa" w:w="2835"/>
          </w:tcPr>
          <w:p>
            <w:r>
              <w:t>Cóncavo (acumula agua) vs convexo.</w:t>
            </w:r>
          </w:p>
        </w:tc>
      </w:tr>
    </w:tbl>
    <w:p>
      <w:r>
        <w:t>Tratamiento temporal: estáticas (el relieve no varía en la escala del estudio).</w:t>
      </w:r>
    </w:p>
    <w:p>
      <w:pPr>
        <w:pStyle w:val="Heading3"/>
      </w:pPr>
      <w:r>
        <w:t>Grupo C — Sentinel-2 bi-temporal / fenológico (13 variables)</w:t>
      </w:r>
    </w:p>
    <w:tbl>
      <w:tblPr>
        <w:tblStyle w:val="LightGrid-Accent1"/>
        <w:tblW w:type="auto" w:w="0"/>
        <w:tblLook w:firstColumn="1" w:firstRow="1" w:lastColumn="0" w:lastRow="0" w:noHBand="0" w:noVBand="1" w:val="04A0"/>
      </w:tblPr>
      <w:tblGrid>
        <w:gridCol w:w="3137"/>
        <w:gridCol w:w="3137"/>
        <w:gridCol w:w="3137"/>
      </w:tblGrid>
      <w:tr>
        <w:tc>
          <w:tcPr>
            <w:tcW w:type="dxa" w:w="2154"/>
          </w:tcPr>
          <w:p>
            <w:r>
              <w:rPr>
                <w:b/>
              </w:rPr>
              <w:t>Variable</w:t>
            </w:r>
          </w:p>
        </w:tc>
        <w:tc>
          <w:tcPr>
            <w:tcW w:type="dxa" w:w="3175"/>
          </w:tcPr>
          <w:p>
            <w:r>
              <w:rPr>
                <w:b/>
              </w:rPr>
              <w:t>Fórmula</w:t>
            </w:r>
          </w:p>
        </w:tc>
        <w:tc>
          <w:tcPr>
            <w:tcW w:type="dxa" w:w="4082"/>
          </w:tcPr>
          <w:p>
            <w:r>
              <w:rPr>
                <w:b/>
              </w:rPr>
              <w:t>Qué mide</w:t>
            </w:r>
          </w:p>
        </w:tc>
      </w:tr>
      <w:tr>
        <w:tc>
          <w:tcPr>
            <w:tcW w:type="dxa" w:w="2154"/>
          </w:tcPr>
          <w:p>
            <w:r>
              <w:t>ndvi_early / ndvi_late</w:t>
            </w:r>
          </w:p>
        </w:tc>
        <w:tc>
          <w:tcPr>
            <w:tcW w:type="dxa" w:w="3175"/>
          </w:tcPr>
          <w:p>
            <w:r>
              <w:t>(B8 − B4)/(B8 + B4)</w:t>
            </w:r>
          </w:p>
        </w:tc>
        <w:tc>
          <w:tcPr>
            <w:tcW w:type="dxa" w:w="4082"/>
          </w:tcPr>
          <w:p>
            <w:r>
              <w:t>Vigor vegetal a inicio y final de verano.</w:t>
            </w:r>
          </w:p>
        </w:tc>
      </w:tr>
      <w:tr>
        <w:tc>
          <w:tcPr>
            <w:tcW w:type="dxa" w:w="2154"/>
          </w:tcPr>
          <w:p>
            <w:r>
              <w:t>ndvi_drop</w:t>
            </w:r>
          </w:p>
        </w:tc>
        <w:tc>
          <w:tcPr>
            <w:tcW w:type="dxa" w:w="3175"/>
          </w:tcPr>
          <w:p>
            <w:r>
              <w:t>ndvi_early − ndvi_late</w:t>
            </w:r>
          </w:p>
        </w:tc>
        <w:tc>
          <w:tcPr>
            <w:tcW w:type="dxa" w:w="4082"/>
          </w:tcPr>
          <w:p>
            <w:r>
              <w:t>Caída fenológica (el borreguil cae menos).</w:t>
            </w:r>
          </w:p>
        </w:tc>
      </w:tr>
      <w:tr>
        <w:tc>
          <w:tcPr>
            <w:tcW w:type="dxa" w:w="2154"/>
          </w:tcPr>
          <w:p>
            <w:r>
              <w:t>clre_early / clre_late</w:t>
            </w:r>
          </w:p>
        </w:tc>
        <w:tc>
          <w:tcPr>
            <w:tcW w:type="dxa" w:w="3175"/>
          </w:tcPr>
          <w:p>
            <w:r>
              <w:t>B8/B5 − 1</w:t>
            </w:r>
          </w:p>
        </w:tc>
        <w:tc>
          <w:tcPr>
            <w:tcW w:type="dxa" w:w="4082"/>
          </w:tcPr>
          <w:p>
            <w:r>
              <w:t>Clorofila red-edge (sensible a Carex).</w:t>
            </w:r>
          </w:p>
        </w:tc>
      </w:tr>
      <w:tr>
        <w:tc>
          <w:tcPr>
            <w:tcW w:type="dxa" w:w="2154"/>
          </w:tcPr>
          <w:p>
            <w:r>
              <w:t>gndvi_early / gndvi_late</w:t>
            </w:r>
          </w:p>
        </w:tc>
        <w:tc>
          <w:tcPr>
            <w:tcW w:type="dxa" w:w="3175"/>
          </w:tcPr>
          <w:p>
            <w:r>
              <w:t>(B8 − B3)/(B8 + B3)</w:t>
            </w:r>
          </w:p>
        </w:tc>
        <w:tc>
          <w:tcPr>
            <w:tcW w:type="dxa" w:w="4082"/>
          </w:tcPr>
          <w:p>
            <w:r>
              <w:t>Verdor en el verde (clorofila).</w:t>
            </w:r>
          </w:p>
        </w:tc>
      </w:tr>
      <w:tr>
        <w:tc>
          <w:tcPr>
            <w:tcW w:type="dxa" w:w="2154"/>
          </w:tcPr>
          <w:p>
            <w:r>
              <w:t>ndmi_early / ndmi_late</w:t>
            </w:r>
          </w:p>
        </w:tc>
        <w:tc>
          <w:tcPr>
            <w:tcW w:type="dxa" w:w="3175"/>
          </w:tcPr>
          <w:p>
            <w:r>
              <w:t>(B8 − B11)/(B8 + B11)</w:t>
            </w:r>
          </w:p>
        </w:tc>
        <w:tc>
          <w:tcPr>
            <w:tcW w:type="dxa" w:w="4082"/>
          </w:tcPr>
          <w:p>
            <w:r>
              <w:t>Humedad foliar (SWIR-1).</w:t>
            </w:r>
          </w:p>
        </w:tc>
      </w:tr>
      <w:tr>
        <w:tc>
          <w:tcPr>
            <w:tcW w:type="dxa" w:w="2154"/>
          </w:tcPr>
          <w:p>
            <w:r>
              <w:t>evi_early / evi_late</w:t>
            </w:r>
          </w:p>
        </w:tc>
        <w:tc>
          <w:tcPr>
            <w:tcW w:type="dxa" w:w="3175"/>
          </w:tcPr>
          <w:p>
            <w:r>
              <w:t>2,5(B8 − B4)/(B8 + 6·B4 − 7,5·B2 + 1)</w:t>
            </w:r>
          </w:p>
        </w:tc>
        <w:tc>
          <w:tcPr>
            <w:tcW w:type="dxa" w:w="4082"/>
          </w:tcPr>
          <w:p>
            <w:r>
              <w:t>Vigor robusto a suelo/atmósfera.</w:t>
            </w:r>
          </w:p>
        </w:tc>
      </w:tr>
      <w:tr>
        <w:tc>
          <w:tcPr>
            <w:tcW w:type="dxa" w:w="2154"/>
          </w:tcPr>
          <w:p>
            <w:r>
              <w:t>ndwi_late</w:t>
            </w:r>
          </w:p>
        </w:tc>
        <w:tc>
          <w:tcPr>
            <w:tcW w:type="dxa" w:w="3175"/>
          </w:tcPr>
          <w:p>
            <w:r>
              <w:t>(B3 − B8)/(B3 + B8)</w:t>
            </w:r>
          </w:p>
        </w:tc>
        <w:tc>
          <w:tcPr>
            <w:tcW w:type="dxa" w:w="4082"/>
          </w:tcPr>
          <w:p>
            <w:r>
              <w:t>Agua superficial / encharcamiento.</w:t>
            </w:r>
          </w:p>
        </w:tc>
      </w:tr>
      <w:tr>
        <w:tc>
          <w:tcPr>
            <w:tcW w:type="dxa" w:w="2154"/>
          </w:tcPr>
          <w:p>
            <w:r>
              <w:t>nbr_late</w:t>
            </w:r>
          </w:p>
        </w:tc>
        <w:tc>
          <w:tcPr>
            <w:tcW w:type="dxa" w:w="3175"/>
          </w:tcPr>
          <w:p>
            <w:r>
              <w:t>(B8 − B12)/(B8 + B12)</w:t>
            </w:r>
          </w:p>
        </w:tc>
        <w:tc>
          <w:tcPr>
            <w:tcW w:type="dxa" w:w="4082"/>
          </w:tcPr>
          <w:p>
            <w:r>
              <w:t>Aridez / senescencia (SWIR-2).</w:t>
            </w:r>
          </w:p>
        </w:tc>
      </w:tr>
    </w:tbl>
    <w:p>
      <w:r>
        <w:t>Tratamiento temporal: para cada índice y ventana (early / late) se toma la MEDIANA de las escenas válidas, agregada sobre todos los años 2017-2025. La comparación early-vs-late captura la FENOLOGÍA, que es la firma más discriminante del borreguil (sección 5.2).</w:t>
      </w:r>
    </w:p>
    <w:p>
      <w:pPr>
        <w:pStyle w:val="Heading3"/>
      </w:pPr>
      <w:r>
        <w:t>Grupo D — Sentinel-2 multi-anual / estadístico (16 variables)</w:t>
      </w:r>
    </w:p>
    <w:tbl>
      <w:tblPr>
        <w:tblStyle w:val="LightGrid-Accent1"/>
        <w:tblW w:type="auto" w:w="0"/>
        <w:tblLook w:firstColumn="1" w:firstRow="1" w:lastColumn="0" w:lastRow="0" w:noHBand="0" w:noVBand="1" w:val="04A0"/>
      </w:tblPr>
      <w:tblGrid>
        <w:gridCol w:w="3137"/>
        <w:gridCol w:w="3137"/>
        <w:gridCol w:w="3137"/>
      </w:tblGrid>
      <w:tr>
        <w:tc>
          <w:tcPr>
            <w:tcW w:type="dxa" w:w="2268"/>
          </w:tcPr>
          <w:p>
            <w:r>
              <w:rPr>
                <w:b/>
              </w:rPr>
              <w:t>Variables</w:t>
            </w:r>
          </w:p>
        </w:tc>
        <w:tc>
          <w:tcPr>
            <w:tcW w:type="dxa" w:w="3742"/>
          </w:tcPr>
          <w:p>
            <w:r>
              <w:rPr>
                <w:b/>
              </w:rPr>
              <w:t>Índice base</w:t>
            </w:r>
          </w:p>
        </w:tc>
        <w:tc>
          <w:tcPr>
            <w:tcW w:type="dxa" w:w="3402"/>
          </w:tcPr>
          <w:p>
            <w:r>
              <w:rPr>
                <w:b/>
              </w:rPr>
              <w:t>Qué mide</w:t>
            </w:r>
          </w:p>
        </w:tc>
      </w:tr>
      <w:tr>
        <w:tc>
          <w:tcPr>
            <w:tcW w:type="dxa" w:w="2268"/>
          </w:tcPr>
          <w:p>
            <w:r>
              <w:t>wavi_mean/min/max/sd</w:t>
            </w:r>
          </w:p>
        </w:tc>
        <w:tc>
          <w:tcPr>
            <w:tcW w:type="dxa" w:w="3742"/>
          </w:tcPr>
          <w:p>
            <w:r>
              <w:t>WAVI = 1,5(B8 − B2)/(B8 + B2 + 0,5)</w:t>
            </w:r>
          </w:p>
        </w:tc>
        <w:tc>
          <w:tcPr>
            <w:tcW w:type="dxa" w:w="3402"/>
          </w:tcPr>
          <w:p>
            <w:r>
              <w:t>Vegetación ajustada por agua (Water-Adjusted VI).</w:t>
            </w:r>
          </w:p>
        </w:tc>
      </w:tr>
      <w:tr>
        <w:tc>
          <w:tcPr>
            <w:tcW w:type="dxa" w:w="2268"/>
          </w:tcPr>
          <w:p>
            <w:r>
              <w:t>albedo_mean/min/max/sd</w:t>
            </w:r>
          </w:p>
        </w:tc>
        <w:tc>
          <w:tcPr>
            <w:tcW w:type="dxa" w:w="3742"/>
          </w:tcPr>
          <w:p>
            <w:r>
              <w:t>Albedo banda-ancha (comb. lineal B2…B12)</w:t>
            </w:r>
          </w:p>
        </w:tc>
        <w:tc>
          <w:tcPr>
            <w:tcW w:type="dxa" w:w="3402"/>
          </w:tcPr>
          <w:p>
            <w:r>
              <w:t>Reflectividad total; bajo en superficies húmedas/verdes.</w:t>
            </w:r>
          </w:p>
        </w:tc>
      </w:tr>
      <w:tr>
        <w:tc>
          <w:tcPr>
            <w:tcW w:type="dxa" w:w="2268"/>
          </w:tcPr>
          <w:p>
            <w:r>
              <w:t>ndmi_mean/min/max/sd</w:t>
            </w:r>
          </w:p>
        </w:tc>
        <w:tc>
          <w:tcPr>
            <w:tcW w:type="dxa" w:w="3742"/>
          </w:tcPr>
          <w:p>
            <w:r>
              <w:t>NDMI = (B8 − B11)/(B8 + B11)</w:t>
            </w:r>
          </w:p>
        </w:tc>
        <w:tc>
          <w:tcPr>
            <w:tcW w:type="dxa" w:w="3402"/>
          </w:tcPr>
          <w:p>
            <w:r>
              <w:t>Humedad foliar, perfil completo.</w:t>
            </w:r>
          </w:p>
        </w:tc>
      </w:tr>
      <w:tr>
        <w:tc>
          <w:tcPr>
            <w:tcW w:type="dxa" w:w="2268"/>
          </w:tcPr>
          <w:p>
            <w:r>
              <w:t>ndwi_mean/min/max/sd</w:t>
            </w:r>
          </w:p>
        </w:tc>
        <w:tc>
          <w:tcPr>
            <w:tcW w:type="dxa" w:w="3742"/>
          </w:tcPr>
          <w:p>
            <w:r>
              <w:t>NDWI = (B3 − B8)/(B3 + B8)</w:t>
            </w:r>
          </w:p>
        </w:tc>
        <w:tc>
          <w:tcPr>
            <w:tcW w:type="dxa" w:w="3402"/>
          </w:tcPr>
          <w:p>
            <w:r>
              <w:t>Agua, perfil completo.</w:t>
            </w:r>
          </w:p>
        </w:tc>
      </w:tr>
    </w:tbl>
    <w:p>
      <w:r>
        <w:t>Tratamiento temporal: a diferencia del grupo C (mediana en 2 ventanas), aquí se acumulan TODOS los valores por escena de jun-sep 2017-2025 y se calculan cuatro estadísticos: media (nivel típico), mínimo (peor momento / sequía), máximo (máximo verdor o humedad) y desviación estándar (amplitud de la variación estacional e interanual). Así se captura no solo el nivel sino la DINÁMICA: un borreguil, tamponado hídricamente, mantiene NDMI alto incluso en su mínimo.</w:t>
      </w:r>
    </w:p>
    <w:p>
      <w:pPr>
        <w:pStyle w:val="Heading3"/>
      </w:pPr>
      <w:r>
        <w:t>Grupo E — Sentinel-1 RTC / radar (5 variables)</w:t>
      </w:r>
    </w:p>
    <w:tbl>
      <w:tblPr>
        <w:tblStyle w:val="LightGrid-Accent1"/>
        <w:tblW w:type="auto" w:w="0"/>
        <w:tblLook w:firstColumn="1" w:firstRow="1" w:lastColumn="0" w:lastRow="0" w:noHBand="0" w:noVBand="1" w:val="04A0"/>
      </w:tblPr>
      <w:tblGrid>
        <w:gridCol w:w="3137"/>
        <w:gridCol w:w="3137"/>
        <w:gridCol w:w="3137"/>
      </w:tblGrid>
      <w:tr>
        <w:tc>
          <w:tcPr>
            <w:tcW w:type="dxa" w:w="1814"/>
          </w:tcPr>
          <w:p>
            <w:r>
              <w:rPr>
                <w:b/>
              </w:rPr>
              <w:t>Variable</w:t>
            </w:r>
          </w:p>
        </w:tc>
        <w:tc>
          <w:tcPr>
            <w:tcW w:type="dxa" w:w="3628"/>
          </w:tcPr>
          <w:p>
            <w:r>
              <w:rPr>
                <w:b/>
              </w:rPr>
              <w:t>Definición</w:t>
            </w:r>
          </w:p>
        </w:tc>
        <w:tc>
          <w:tcPr>
            <w:tcW w:type="dxa" w:w="3969"/>
          </w:tcPr>
          <w:p>
            <w:r>
              <w:rPr>
                <w:b/>
              </w:rPr>
              <w:t>Qué mide</w:t>
            </w:r>
          </w:p>
        </w:tc>
      </w:tr>
      <w:tr>
        <w:tc>
          <w:tcPr>
            <w:tcW w:type="dxa" w:w="1814"/>
          </w:tcPr>
          <w:p>
            <w:r>
              <w:t>s1_vv_mean</w:t>
            </w:r>
          </w:p>
        </w:tc>
        <w:tc>
          <w:tcPr>
            <w:tcW w:type="dxa" w:w="3628"/>
          </w:tcPr>
          <w:p>
            <w:r>
              <w:t>Retrodispersión media en VV (dB).</w:t>
            </w:r>
          </w:p>
        </w:tc>
        <w:tc>
          <w:tcPr>
            <w:tcW w:type="dxa" w:w="3969"/>
          </w:tcPr>
          <w:p>
            <w:r>
              <w:t>Rugosidad / humedad superficial.</w:t>
            </w:r>
          </w:p>
        </w:tc>
      </w:tr>
      <w:tr>
        <w:tc>
          <w:tcPr>
            <w:tcW w:type="dxa" w:w="1814"/>
          </w:tcPr>
          <w:p>
            <w:r>
              <w:t>s1_vh_mean</w:t>
            </w:r>
          </w:p>
        </w:tc>
        <w:tc>
          <w:tcPr>
            <w:tcW w:type="dxa" w:w="3628"/>
          </w:tcPr>
          <w:p>
            <w:r>
              <w:t>Retrodispersión media en VH (dB).</w:t>
            </w:r>
          </w:p>
        </w:tc>
        <w:tc>
          <w:tcPr>
            <w:tcW w:type="dxa" w:w="3969"/>
          </w:tcPr>
          <w:p>
            <w:r>
              <w:t>Dispersión de volumen (estructura del dosel).</w:t>
            </w:r>
          </w:p>
        </w:tc>
      </w:tr>
      <w:tr>
        <w:tc>
          <w:tcPr>
            <w:tcW w:type="dxa" w:w="1814"/>
          </w:tcPr>
          <w:p>
            <w:r>
              <w:t>s1_vv_sd</w:t>
            </w:r>
          </w:p>
        </w:tc>
        <w:tc>
          <w:tcPr>
            <w:tcW w:type="dxa" w:w="3628"/>
          </w:tcPr>
          <w:p>
            <w:r>
              <w:t>Desviación estándar temporal de VV (dB).</w:t>
            </w:r>
          </w:p>
        </w:tc>
        <w:tc>
          <w:tcPr>
            <w:tcW w:type="dxa" w:w="3969"/>
          </w:tcPr>
          <w:p>
            <w:r>
              <w:t>Variabilidad estacional de la señal.</w:t>
            </w:r>
          </w:p>
        </w:tc>
      </w:tr>
      <w:tr>
        <w:tc>
          <w:tcPr>
            <w:tcW w:type="dxa" w:w="1814"/>
          </w:tcPr>
          <w:p>
            <w:r>
              <w:t>s1_vh_sd</w:t>
            </w:r>
          </w:p>
        </w:tc>
        <w:tc>
          <w:tcPr>
            <w:tcW w:type="dxa" w:w="3628"/>
          </w:tcPr>
          <w:p>
            <w:r>
              <w:t>Desviación estándar temporal de VH (dB).</w:t>
            </w:r>
          </w:p>
        </w:tc>
        <w:tc>
          <w:tcPr>
            <w:tcW w:type="dxa" w:w="3969"/>
          </w:tcPr>
          <w:p>
            <w:r>
              <w:t>Variabilidad estructural (muy discriminante).</w:t>
            </w:r>
          </w:p>
        </w:tc>
      </w:tr>
      <w:tr>
        <w:tc>
          <w:tcPr>
            <w:tcW w:type="dxa" w:w="1814"/>
          </w:tcPr>
          <w:p>
            <w:r>
              <w:t>s1_ratio_mean</w:t>
            </w:r>
          </w:p>
        </w:tc>
        <w:tc>
          <w:tcPr>
            <w:tcW w:type="dxa" w:w="3628"/>
          </w:tcPr>
          <w:p>
            <w:r>
              <w:t>VV − VH (dB).</w:t>
            </w:r>
          </w:p>
        </w:tc>
        <w:tc>
          <w:tcPr>
            <w:tcW w:type="dxa" w:w="3969"/>
          </w:tcPr>
          <w:p>
            <w:r>
              <w:t>Mecanismo de dispersión (superficie vs volumen).</w:t>
            </w:r>
          </w:p>
        </w:tc>
      </w:tr>
    </w:tbl>
    <w:p>
      <w:r>
        <w:t>Tratamiento temporal: media y desviación estándar de las escenas de verano (jun-sep) sobre 2019-2024. El radar es activo y de microondas: penetra nubes (cobertura todo-tiempo) y responde a la humedad y la estructura del dosel —información física independiente del óptico—. Se usa el producto RTC (terrain-flattened): la corrección radiométrica por terreno es imprescindible en montaña porque, sin ella, la geometría relieve-radar domina la señal y se confunde con la presencia de borreguil (ver sección 9).</w:t>
      </w:r>
    </w:p>
    <w:p>
      <w:pPr>
        <w:pStyle w:val="Heading2"/>
      </w:pPr>
      <w:r>
        <w:t>5.2 Estrategia de análisis temporal</w:t>
      </w:r>
    </w:p>
    <w:p>
      <w:r>
        <w:t>El tiempo se trata de tres maneras distintas según la variable, porque cada fuente aporta un tipo de información temporal diferente:</w:t>
      </w:r>
    </w:p>
    <w:p>
      <w:r>
        <w:t>• ESTÁTICO (grupos A y B): la imagen aérea y la topografía no tienen dimensión temporal relevante; aportan forma, textura y relieve.</w:t>
        <w:br/>
        <w:t>• BI-TEMPORAL FENOLÓGICO (grupo C): dos ventanas de verano —principio (15-jun a 25-jul) y final (1-ago a 30-sep)—. La clave ecológica del borreguil es la PERSISTENCIA: cuando el pastizal psicroxerófilo circundante se agosta a final de verano, el borreguil sigue verde y húmedo por su alimentación hídrica continua. La diferencia early-vs-late (y en particular ndvi_drop, evi_late, ndmi_late) codifica esa persistencia mejor que cualquier índice de una sola fecha.</w:t>
        <w:br/>
        <w:t>• MULTI-ANUAL ESTADÍSTICO (grupos D y E): en lugar de fechas concretas, se resume el comportamiento de toda la serie de verano (2017-2025 en óptico, 2019-2024 en radar) mediante estadísticos. Esto convierte una colección de escenas ruidosas en una FIRMA CLIMATOLÓGICA estable, robusta a un año atípico y a nubes residuales.</w:t>
      </w:r>
    </w:p>
    <w:p>
      <w:r>
        <w:t>Agregar sobre varios años es deliberado: la disponibilidad hídrica varía mucho entre años secos y húmedos, y un único verano puede dar una imagen engañosa (un año seco agosta antes incluso a algunos borreguiles). La media plurianual y, sobre todo, la desviación estándar capturan ese régimen interanual.</w:t>
      </w:r>
    </w:p>
    <w:p>
      <w:pPr>
        <w:pStyle w:val="Heading2"/>
      </w:pPr>
      <w:r>
        <w:t>5.3 Estadísticos y métricas calculados</w:t>
      </w:r>
    </w:p>
    <w:tbl>
      <w:tblPr>
        <w:tblStyle w:val="LightGrid-Accent1"/>
        <w:tblW w:type="auto" w:w="0"/>
        <w:tblLook w:firstColumn="1" w:firstRow="1" w:lastColumn="0" w:lastRow="0" w:noHBand="0" w:noVBand="1" w:val="04A0"/>
      </w:tblPr>
      <w:tblGrid>
        <w:gridCol w:w="4706"/>
        <w:gridCol w:w="4706"/>
      </w:tblGrid>
      <w:tr>
        <w:tc>
          <w:tcPr>
            <w:tcW w:type="dxa" w:w="2041"/>
          </w:tcPr>
          <w:p>
            <w:r>
              <w:rPr>
                <w:b/>
              </w:rPr>
              <w:t>Métrica</w:t>
            </w:r>
          </w:p>
        </w:tc>
        <w:tc>
          <w:tcPr>
            <w:tcW w:type="dxa" w:w="7370"/>
          </w:tcPr>
          <w:p>
            <w:r>
              <w:rPr>
                <w:b/>
              </w:rPr>
              <w:t>Por qué y dónde se usa</w:t>
            </w:r>
          </w:p>
        </w:tc>
      </w:tr>
      <w:tr>
        <w:tc>
          <w:tcPr>
            <w:tcW w:type="dxa" w:w="2041"/>
          </w:tcPr>
          <w:p>
            <w:r>
              <w:t>Mediana inter-escena</w:t>
            </w:r>
          </w:p>
        </w:tc>
        <w:tc>
          <w:tcPr>
            <w:tcW w:type="dxa" w:w="7370"/>
          </w:tcPr>
          <w:p>
            <w:r>
              <w:t>Grupo C (bi-temporal). Resistente a nubes/nieve residuales y a valores atípicos: una nube no enmascarada no arrastra la mediana.</w:t>
            </w:r>
          </w:p>
        </w:tc>
      </w:tr>
      <w:tr>
        <w:tc>
          <w:tcPr>
            <w:tcW w:type="dxa" w:w="2041"/>
          </w:tcPr>
          <w:p>
            <w:r>
              <w:t>Media (mean)</w:t>
            </w:r>
          </w:p>
        </w:tc>
        <w:tc>
          <w:tcPr>
            <w:tcW w:type="dxa" w:w="7370"/>
          </w:tcPr>
          <w:p>
            <w:r>
              <w:t>Grupos D y E. Nivel típico del índice/retrodispersión en verano.</w:t>
            </w:r>
          </w:p>
        </w:tc>
      </w:tr>
      <w:tr>
        <w:tc>
          <w:tcPr>
            <w:tcW w:type="dxa" w:w="2041"/>
          </w:tcPr>
          <w:p>
            <w:r>
              <w:t>Mínimo / Máximo</w:t>
            </w:r>
          </w:p>
        </w:tc>
        <w:tc>
          <w:tcPr>
            <w:tcW w:type="dxa" w:w="7370"/>
          </w:tcPr>
          <w:p>
            <w:r>
              <w:t>Grupo D. Extremos del perfil estacional-interanual: el mínimo revela la resistencia a la sequía; el máximo, el pico de verdor/humedad.</w:t>
            </w:r>
          </w:p>
        </w:tc>
      </w:tr>
      <w:tr>
        <w:tc>
          <w:tcPr>
            <w:tcW w:type="dxa" w:w="2041"/>
          </w:tcPr>
          <w:p>
            <w:r>
              <w:t>Desviación estándar (sd)</w:t>
            </w:r>
          </w:p>
        </w:tc>
        <w:tc>
          <w:tcPr>
            <w:tcW w:type="dxa" w:w="7370"/>
          </w:tcPr>
          <w:p>
            <w:r>
              <w:t>Grupos D y E. Amplitud de la variación temporal. En SAR, s1_vh_sd resultó de las variables más discriminantes (sección 6.4).</w:t>
            </w:r>
          </w:p>
        </w:tc>
      </w:tr>
      <w:tr>
        <w:tc>
          <w:tcPr>
            <w:tcW w:type="dxa" w:w="2041"/>
          </w:tcPr>
          <w:p>
            <w:r>
              <w:t>Conversión a decibelios</w:t>
            </w:r>
          </w:p>
        </w:tc>
        <w:tc>
          <w:tcPr>
            <w:tcW w:type="dxa" w:w="7370"/>
          </w:tcPr>
          <w:p>
            <w:r>
              <w:t>Grupo E. El radar RTC viene en potencia lineal; se pasa a dB (10·log₁₀) para una escala perceptual y estadísticamente mejor condicionada.</w:t>
            </w:r>
          </w:p>
        </w:tc>
      </w:tr>
      <w:tr>
        <w:tc>
          <w:tcPr>
            <w:tcW w:type="dxa" w:w="2041"/>
          </w:tcPr>
          <w:p>
            <w:r>
              <w:t>Muestreo por ventana</w:t>
            </w:r>
          </w:p>
        </w:tc>
        <w:tc>
          <w:tcPr>
            <w:tcW w:type="dxa" w:w="7370"/>
          </w:tcPr>
          <w:p>
            <w:r>
              <w:t>Todas las satelitales: ventana de píxeles centrada en el punto (5×5 a 10 m, 3×3 a 20 m ≈ 50 × 50 m) promediando solo los píxeles válidos, para amortiguar el error de geolocalización y el ruido por píxel.</w:t>
            </w:r>
          </w:p>
        </w:tc>
      </w:tr>
    </w:tbl>
    <w:p>
      <w:pPr>
        <w:pStyle w:val="Heading2"/>
      </w:pPr>
      <w:r>
        <w:t>5.4 Enmascarado de calidad</w:t>
      </w:r>
    </w:p>
    <w:p>
      <w:r>
        <w:t>La calidad de las variables satelitales depende de descartar nubes, sombras y nieve:</w:t>
        <w:br/>
        <w:t>• Sentinel-2, índices del grupo C: se aceptan píxeles de clase SCL ∈ {4 vegetación, 5 suelo, 6 agua, 7 sin clasificar, 11 nieve}, exigiendo ≥ 50 % de píxeles válidos en la ventana; se descartan nubes y sombras (SCL 3, 8, 9, 10).</w:t>
        <w:br/>
        <w:t>• Sentinel-2, índices del grupo D: máscara más estricta SIN nieve —SCL ∈ {4,5,6,7} y NDSI &lt; 0,4— porque la nieve contamina WAVI y albedo.</w:t>
        <w:br/>
        <w:t>• Alternativa GEE (backend opcional): máscara fiel al estándar con s2cloudless (probabilidad de nube ≤ 30) + NDSI &lt; 0,4 + SCL ≠ 11.</w:t>
        <w:br/>
        <w:t>• Sentinel-1 RTC: se promedian solo los píxeles con valor válido (&gt; 0); el producto RTC ya enmascara sombras de radar y layover.</w:t>
      </w:r>
    </w:p>
    <w:p>
      <w:pPr>
        <w:pStyle w:val="Heading1"/>
      </w:pPr>
      <w:r>
        <w:t>6. Rendimiento alcanzado en Sierra Nevada</w:t>
      </w:r>
    </w:p>
    <w:p>
      <w:pPr>
        <w:pStyle w:val="Heading2"/>
      </w:pPr>
      <w:r>
        <w:t>6.1 Métricas globales (n = 557 etiquetados sin dudas)</w:t>
      </w:r>
    </w:p>
    <w:tbl>
      <w:tblPr>
        <w:tblStyle w:val="LightGrid-Accent1"/>
        <w:tblW w:type="auto" w:w="0"/>
        <w:tblLook w:firstColumn="1" w:firstRow="1" w:lastColumn="0" w:lastRow="0" w:noHBand="0" w:noVBand="1" w:val="04A0"/>
      </w:tblPr>
      <w:tblGrid>
        <w:gridCol w:w="3137"/>
        <w:gridCol w:w="3137"/>
        <w:gridCol w:w="3137"/>
      </w:tblGrid>
      <w:tr>
        <w:tc>
          <w:tcPr>
            <w:tcW w:type="dxa" w:w="3969"/>
          </w:tcPr>
          <w:p>
            <w:r>
              <w:rPr>
                <w:b/>
              </w:rPr>
              <w:t>Estrategia de validación</w:t>
            </w:r>
          </w:p>
        </w:tc>
        <w:tc>
          <w:tcPr>
            <w:tcW w:type="dxa" w:w="907"/>
          </w:tcPr>
          <w:p>
            <w:r>
              <w:rPr>
                <w:b/>
              </w:rPr>
              <w:t>AUC</w:t>
            </w:r>
          </w:p>
        </w:tc>
        <w:tc>
          <w:tcPr>
            <w:tcW w:type="dxa" w:w="4535"/>
          </w:tcPr>
          <w:p>
            <w:r>
              <w:rPr>
                <w:b/>
              </w:rPr>
              <w:t>Interpretación</w:t>
            </w:r>
          </w:p>
        </w:tc>
      </w:tr>
      <w:tr>
        <w:tc>
          <w:tcPr>
            <w:tcW w:type="dxa" w:w="3969"/>
          </w:tcPr>
          <w:p>
            <w:r>
              <w:t>GroupKFold por cuenca · 50 variables</w:t>
            </w:r>
          </w:p>
        </w:tc>
        <w:tc>
          <w:tcPr>
            <w:tcW w:type="dxa" w:w="907"/>
          </w:tcPr>
          <w:p>
            <w:r>
              <w:t>0,868</w:t>
            </w:r>
          </w:p>
        </w:tc>
        <w:tc>
          <w:tcPr>
            <w:tcW w:type="dxa" w:w="4535"/>
          </w:tcPr>
          <w:p>
            <w:r>
              <w:t>Generalización HONESTA: el modelo se entrena en 4 cuencas y se evalúa en una nunca vista. Es el escenario realista para extrapolar a una cuenca nueva. Métrica de referencia del modelo de producción.</w:t>
            </w:r>
          </w:p>
        </w:tc>
      </w:tr>
      <w:tr>
        <w:tc>
          <w:tcPr>
            <w:tcW w:type="dxa" w:w="3969"/>
          </w:tcPr>
          <w:p>
            <w:r>
              <w:t>GroupKFold por cuenca · 45 variables (sin radar)</w:t>
            </w:r>
          </w:p>
        </w:tc>
        <w:tc>
          <w:tcPr>
            <w:tcW w:type="dxa" w:w="907"/>
          </w:tcPr>
          <w:p>
            <w:r>
              <w:t>0,854</w:t>
            </w:r>
          </w:p>
        </w:tc>
        <w:tc>
          <w:tcPr>
            <w:tcW w:type="dxa" w:w="4535"/>
          </w:tcPr>
          <w:p>
            <w:r>
              <w:t>Referencia antes de incorporar Sentinel-1. La diferencia (+0,014) es la contribución limpia del radar terrain-flattened.</w:t>
            </w:r>
          </w:p>
        </w:tc>
      </w:tr>
      <w:tr>
        <w:tc>
          <w:tcPr>
            <w:tcW w:type="dxa" w:w="3969"/>
          </w:tcPr>
          <w:p>
            <w:r>
              <w:t>Ajuste sobre los 557 etiquetados</w:t>
            </w:r>
          </w:p>
        </w:tc>
        <w:tc>
          <w:tcPr>
            <w:tcW w:type="dxa" w:w="907"/>
          </w:tcPr>
          <w:p>
            <w:r>
              <w:t>0,988</w:t>
            </w:r>
          </w:p>
        </w:tc>
        <w:tc>
          <w:tcPr>
            <w:tcW w:type="dxa" w:w="4535"/>
          </w:tcPr>
          <w:p>
            <w:r>
              <w:t>Acuerdo con las etiquetas de campo cuando el modelo se evalúa sobre los mismos datos con que se entrenó. Mide la calidad del AJUSTE, no la generalización.</w:t>
            </w:r>
          </w:p>
        </w:tc>
      </w:tr>
    </w:tbl>
    <w:p>
      <w:pPr>
        <w:pStyle w:val="Heading2"/>
      </w:pPr>
      <w:r>
        <w:t>6.2 Acuerdo contra verdad-terreno (GroupKFold, modelo de 50 variables)</w:t>
      </w:r>
    </w:p>
    <w:tbl>
      <w:tblPr>
        <w:tblStyle w:val="LightGrid-Accent1"/>
        <w:tblW w:type="auto" w:w="0"/>
        <w:tblLook w:firstColumn="1" w:firstRow="1" w:lastColumn="0" w:lastRow="0" w:noHBand="0" w:noVBand="1" w:val="04A0"/>
      </w:tblPr>
      <w:tblGrid>
        <w:gridCol w:w="3137"/>
        <w:gridCol w:w="3137"/>
        <w:gridCol w:w="3137"/>
      </w:tblGrid>
      <w:tr>
        <w:tc>
          <w:tcPr>
            <w:tcW w:type="dxa" w:w="1701"/>
          </w:tcPr>
          <w:p>
            <w:r>
              <w:rPr>
                <w:b/>
              </w:rPr>
              <w:t>Métrica</w:t>
            </w:r>
          </w:p>
        </w:tc>
        <w:tc>
          <w:tcPr>
            <w:tcW w:type="dxa" w:w="2268"/>
          </w:tcPr>
          <w:p>
            <w:r>
              <w:rPr>
                <w:b/>
              </w:rPr>
              <w:t>Umbral 0,50</w:t>
            </w:r>
          </w:p>
        </w:tc>
        <w:tc>
          <w:tcPr>
            <w:tcW w:type="dxa" w:w="5443"/>
          </w:tcPr>
          <w:p>
            <w:r>
              <w:rPr>
                <w:b/>
              </w:rPr>
              <w:t>Umbral 0,30 (prioriza detección)</w:t>
            </w:r>
          </w:p>
        </w:tc>
      </w:tr>
      <w:tr>
        <w:tc>
          <w:tcPr>
            <w:tcW w:type="dxa" w:w="1701"/>
          </w:tcPr>
          <w:p>
            <w:r>
              <w:rPr>
                <w:b/>
              </w:rPr>
              <w:t>Accuracy</w:t>
            </w:r>
          </w:p>
        </w:tc>
        <w:tc>
          <w:tcPr>
            <w:tcW w:type="dxa" w:w="2268"/>
          </w:tcPr>
          <w:p>
            <w:r>
              <w:t>82 %</w:t>
            </w:r>
          </w:p>
        </w:tc>
        <w:tc>
          <w:tcPr>
            <w:tcW w:type="dxa" w:w="5443"/>
          </w:tcPr>
          <w:p>
            <w:r>
              <w:t>77 %</w:t>
            </w:r>
          </w:p>
        </w:tc>
      </w:tr>
      <w:tr>
        <w:tc>
          <w:tcPr>
            <w:tcW w:type="dxa" w:w="1701"/>
          </w:tcPr>
          <w:p>
            <w:r>
              <w:rPr>
                <w:b/>
              </w:rPr>
              <w:t>Precision</w:t>
            </w:r>
          </w:p>
        </w:tc>
        <w:tc>
          <w:tcPr>
            <w:tcW w:type="dxa" w:w="2268"/>
          </w:tcPr>
          <w:p>
            <w:r>
              <w:t>71 %</w:t>
            </w:r>
          </w:p>
        </w:tc>
        <w:tc>
          <w:tcPr>
            <w:tcW w:type="dxa" w:w="5443"/>
          </w:tcPr>
          <w:p>
            <w:r>
              <w:t>57 %</w:t>
            </w:r>
          </w:p>
        </w:tc>
      </w:tr>
      <w:tr>
        <w:tc>
          <w:tcPr>
            <w:tcW w:type="dxa" w:w="1701"/>
          </w:tcPr>
          <w:p>
            <w:r>
              <w:rPr>
                <w:b/>
              </w:rPr>
              <w:t>Recall</w:t>
            </w:r>
          </w:p>
        </w:tc>
        <w:tc>
          <w:tcPr>
            <w:tcW w:type="dxa" w:w="2268"/>
          </w:tcPr>
          <w:p>
            <w:r>
              <w:t>60 %</w:t>
            </w:r>
          </w:p>
        </w:tc>
        <w:tc>
          <w:tcPr>
            <w:tcW w:type="dxa" w:w="5443"/>
          </w:tcPr>
          <w:p>
            <w:r>
              <w:t>81 %</w:t>
            </w:r>
          </w:p>
        </w:tc>
      </w:tr>
      <w:tr>
        <w:tc>
          <w:tcPr>
            <w:tcW w:type="dxa" w:w="1701"/>
          </w:tcPr>
          <w:p>
            <w:r>
              <w:rPr>
                <w:b/>
              </w:rPr>
              <w:t>F1</w:t>
            </w:r>
          </w:p>
        </w:tc>
        <w:tc>
          <w:tcPr>
            <w:tcW w:type="dxa" w:w="2268"/>
          </w:tcPr>
          <w:p>
            <w:r>
              <w:t>0,65</w:t>
            </w:r>
          </w:p>
        </w:tc>
        <w:tc>
          <w:tcPr>
            <w:tcW w:type="dxa" w:w="5443"/>
          </w:tcPr>
          <w:p>
            <w:r>
              <w:t>0,67</w:t>
            </w:r>
          </w:p>
        </w:tc>
      </w:tr>
    </w:tbl>
    <w:p>
      <w:r>
        <w:t>Bajar el umbral a 0,30 eleva el recall del 60 % al 81 % (detecta 130 de 160 borreguiles reales) a costa de más falsos positivos. Es la operación recomendada cuando la salida se usa para PRIORIZAR el trabajo de campo: conviene revisar muchos posibles borreguiles antes que perder los reales.</w:t>
      </w:r>
    </w:p>
    <w:p>
      <w:pPr>
        <w:pStyle w:val="Heading2"/>
      </w:pPr>
      <w:r>
        <w:t>6.3 Patrón por cuenca</w:t>
      </w:r>
    </w:p>
    <w:p>
      <w:r>
        <w:t>Las cuencas bien muestreadas (≥ 5 positivos verificados) concentran la mayor parte de los aciertos. El foco de error recurrente es el entorno de la estación de esquí de Pradollano (Río Monachil), donde praderas artificiales irrigadas imitan la firma del borreguil; la bandera dist_ski_m (Paso 8) marca esos puntos para revisión. Las cuencas sin positivos no aportan métricas, pero el modelo tampoco las clasifica como borreguil.</w:t>
      </w:r>
    </w:p>
    <w:p>
      <w:pPr>
        <w:pStyle w:val="Heading2"/>
      </w:pPr>
      <w:r>
        <w:t>6.4 Variables más importantes (permutation importance)</w:t>
      </w:r>
    </w:p>
    <w:p>
      <w:r>
        <w:t>Caída de exactitud al permutar cada variable (RF ajustado, 15 repeticiones). Marcadas [S1] las de radar y [idx] los índices Sentinel-2 multi-anuales nuevos:</w:t>
      </w:r>
    </w:p>
    <w:tbl>
      <w:tblPr>
        <w:tblStyle w:val="LightGrid-Accent1"/>
        <w:tblW w:type="auto" w:w="0"/>
        <w:tblLook w:firstColumn="1" w:firstRow="1" w:lastColumn="0" w:lastRow="0" w:noHBand="0" w:noVBand="1" w:val="04A0"/>
      </w:tblPr>
      <w:tblGrid>
        <w:gridCol w:w="2353"/>
        <w:gridCol w:w="2353"/>
        <w:gridCol w:w="2353"/>
        <w:gridCol w:w="2353"/>
      </w:tblGrid>
      <w:tr>
        <w:tc>
          <w:tcPr>
            <w:tcW w:type="dxa" w:w="794"/>
          </w:tcPr>
          <w:p>
            <w:r>
              <w:rPr>
                <w:b/>
              </w:rPr>
              <w:t>Rank</w:t>
            </w:r>
          </w:p>
        </w:tc>
        <w:tc>
          <w:tcPr>
            <w:tcW w:type="dxa" w:w="2608"/>
          </w:tcPr>
          <w:p>
            <w:r>
              <w:rPr>
                <w:b/>
              </w:rPr>
              <w:t>Variable</w:t>
            </w:r>
          </w:p>
        </w:tc>
        <w:tc>
          <w:tcPr>
            <w:tcW w:type="dxa" w:w="2268"/>
          </w:tcPr>
          <w:p>
            <w:r>
              <w:rPr>
                <w:b/>
              </w:rPr>
              <w:t>Grupo</w:t>
            </w:r>
          </w:p>
        </w:tc>
        <w:tc>
          <w:tcPr>
            <w:tcW w:type="dxa" w:w="1474"/>
          </w:tcPr>
          <w:p>
            <w:r>
              <w:rPr>
                <w:b/>
              </w:rPr>
              <w:t>Importancia</w:t>
            </w:r>
          </w:p>
        </w:tc>
      </w:tr>
      <w:tr>
        <w:tc>
          <w:tcPr>
            <w:tcW w:type="dxa" w:w="794"/>
          </w:tcPr>
          <w:p>
            <w:r>
              <w:t>1</w:t>
            </w:r>
          </w:p>
        </w:tc>
        <w:tc>
          <w:tcPr>
            <w:tcW w:type="dxa" w:w="2608"/>
          </w:tcPr>
          <w:p>
            <w:r>
              <w:t>evi_early</w:t>
            </w:r>
          </w:p>
        </w:tc>
        <w:tc>
          <w:tcPr>
            <w:tcW w:type="dxa" w:w="2268"/>
          </w:tcPr>
          <w:p>
            <w:r>
              <w:t>S2 bi-temporal</w:t>
            </w:r>
          </w:p>
        </w:tc>
        <w:tc>
          <w:tcPr>
            <w:tcW w:type="dxa" w:w="1474"/>
          </w:tcPr>
          <w:p>
            <w:r>
              <w:t>0,0128</w:t>
            </w:r>
          </w:p>
        </w:tc>
      </w:tr>
      <w:tr>
        <w:tc>
          <w:tcPr>
            <w:tcW w:type="dxa" w:w="794"/>
          </w:tcPr>
          <w:p>
            <w:r>
              <w:t>2</w:t>
            </w:r>
          </w:p>
        </w:tc>
        <w:tc>
          <w:tcPr>
            <w:tcW w:type="dxa" w:w="2608"/>
          </w:tcPr>
          <w:p>
            <w:r>
              <w:t>s1_ratio_mean  [S1]</w:t>
            </w:r>
          </w:p>
        </w:tc>
        <w:tc>
          <w:tcPr>
            <w:tcW w:type="dxa" w:w="2268"/>
          </w:tcPr>
          <w:p>
            <w:r>
              <w:t>Sentinel-1</w:t>
            </w:r>
          </w:p>
        </w:tc>
        <w:tc>
          <w:tcPr>
            <w:tcW w:type="dxa" w:w="1474"/>
          </w:tcPr>
          <w:p>
            <w:r>
              <w:t>0,0087</w:t>
            </w:r>
          </w:p>
        </w:tc>
      </w:tr>
      <w:tr>
        <w:tc>
          <w:tcPr>
            <w:tcW w:type="dxa" w:w="794"/>
          </w:tcPr>
          <w:p>
            <w:r>
              <w:t>3</w:t>
            </w:r>
          </w:p>
        </w:tc>
        <w:tc>
          <w:tcPr>
            <w:tcW w:type="dxa" w:w="2608"/>
          </w:tcPr>
          <w:p>
            <w:r>
              <w:t>s1_vh_sd  [S1]</w:t>
            </w:r>
          </w:p>
        </w:tc>
        <w:tc>
          <w:tcPr>
            <w:tcW w:type="dxa" w:w="2268"/>
          </w:tcPr>
          <w:p>
            <w:r>
              <w:t>Sentinel-1</w:t>
            </w:r>
          </w:p>
        </w:tc>
        <w:tc>
          <w:tcPr>
            <w:tcW w:type="dxa" w:w="1474"/>
          </w:tcPr>
          <w:p>
            <w:r>
              <w:t>0,0051</w:t>
            </w:r>
          </w:p>
        </w:tc>
      </w:tr>
      <w:tr>
        <w:tc>
          <w:tcPr>
            <w:tcW w:type="dxa" w:w="794"/>
          </w:tcPr>
          <w:p>
            <w:r>
              <w:t>4</w:t>
            </w:r>
          </w:p>
        </w:tc>
        <w:tc>
          <w:tcPr>
            <w:tcW w:type="dxa" w:w="2608"/>
          </w:tcPr>
          <w:p>
            <w:r>
              <w:t>evi_late</w:t>
            </w:r>
          </w:p>
        </w:tc>
        <w:tc>
          <w:tcPr>
            <w:tcW w:type="dxa" w:w="2268"/>
          </w:tcPr>
          <w:p>
            <w:r>
              <w:t>S2 bi-temporal</w:t>
            </w:r>
          </w:p>
        </w:tc>
        <w:tc>
          <w:tcPr>
            <w:tcW w:type="dxa" w:w="1474"/>
          </w:tcPr>
          <w:p>
            <w:r>
              <w:t>0,0048</w:t>
            </w:r>
          </w:p>
        </w:tc>
      </w:tr>
      <w:tr>
        <w:tc>
          <w:tcPr>
            <w:tcW w:type="dxa" w:w="794"/>
          </w:tcPr>
          <w:p>
            <w:r>
              <w:t>5</w:t>
            </w:r>
          </w:p>
        </w:tc>
        <w:tc>
          <w:tcPr>
            <w:tcW w:type="dxa" w:w="2608"/>
          </w:tcPr>
          <w:p>
            <w:r>
              <w:t>albedo_mean  [idx]</w:t>
            </w:r>
          </w:p>
        </w:tc>
        <w:tc>
          <w:tcPr>
            <w:tcW w:type="dxa" w:w="2268"/>
          </w:tcPr>
          <w:p>
            <w:r>
              <w:t>S2 multi-anual</w:t>
            </w:r>
          </w:p>
        </w:tc>
        <w:tc>
          <w:tcPr>
            <w:tcW w:type="dxa" w:w="1474"/>
          </w:tcPr>
          <w:p>
            <w:r>
              <w:t>0,0042</w:t>
            </w:r>
          </w:p>
        </w:tc>
      </w:tr>
      <w:tr>
        <w:tc>
          <w:tcPr>
            <w:tcW w:type="dxa" w:w="794"/>
          </w:tcPr>
          <w:p>
            <w:r>
              <w:t>6</w:t>
            </w:r>
          </w:p>
        </w:tc>
        <w:tc>
          <w:tcPr>
            <w:tcW w:type="dxa" w:w="2608"/>
          </w:tcPr>
          <w:p>
            <w:r>
              <w:t>frac_bgreen</w:t>
            </w:r>
          </w:p>
        </w:tc>
        <w:tc>
          <w:tcPr>
            <w:tcW w:type="dxa" w:w="2268"/>
          </w:tcPr>
          <w:p>
            <w:r>
              <w:t>Imagen ESRI</w:t>
            </w:r>
          </w:p>
        </w:tc>
        <w:tc>
          <w:tcPr>
            <w:tcW w:type="dxa" w:w="1474"/>
          </w:tcPr>
          <w:p>
            <w:r>
              <w:t>0,0038</w:t>
            </w:r>
          </w:p>
        </w:tc>
      </w:tr>
      <w:tr>
        <w:tc>
          <w:tcPr>
            <w:tcW w:type="dxa" w:w="794"/>
          </w:tcPr>
          <w:p>
            <w:r>
              <w:t>7</w:t>
            </w:r>
          </w:p>
        </w:tc>
        <w:tc>
          <w:tcPr>
            <w:tcW w:type="dxa" w:w="2608"/>
          </w:tcPr>
          <w:p>
            <w:r>
              <w:t>exg_mean</w:t>
            </w:r>
          </w:p>
        </w:tc>
        <w:tc>
          <w:tcPr>
            <w:tcW w:type="dxa" w:w="2268"/>
          </w:tcPr>
          <w:p>
            <w:r>
              <w:t>Imagen ESRI</w:t>
            </w:r>
          </w:p>
        </w:tc>
        <w:tc>
          <w:tcPr>
            <w:tcW w:type="dxa" w:w="1474"/>
          </w:tcPr>
          <w:p>
            <w:r>
              <w:t>0,0036</w:t>
            </w:r>
          </w:p>
        </w:tc>
      </w:tr>
      <w:tr>
        <w:tc>
          <w:tcPr>
            <w:tcW w:type="dxa" w:w="794"/>
          </w:tcPr>
          <w:p>
            <w:r>
              <w:t>8</w:t>
            </w:r>
          </w:p>
        </w:tc>
        <w:tc>
          <w:tcPr>
            <w:tcW w:type="dxa" w:w="2608"/>
          </w:tcPr>
          <w:p>
            <w:r>
              <w:t>twi</w:t>
            </w:r>
          </w:p>
        </w:tc>
        <w:tc>
          <w:tcPr>
            <w:tcW w:type="dxa" w:w="2268"/>
          </w:tcPr>
          <w:p>
            <w:r>
              <w:t>Topografía</w:t>
            </w:r>
          </w:p>
        </w:tc>
        <w:tc>
          <w:tcPr>
            <w:tcW w:type="dxa" w:w="1474"/>
          </w:tcPr>
          <w:p>
            <w:r>
              <w:t>0,0034</w:t>
            </w:r>
          </w:p>
        </w:tc>
      </w:tr>
      <w:tr>
        <w:tc>
          <w:tcPr>
            <w:tcW w:type="dxa" w:w="794"/>
          </w:tcPr>
          <w:p>
            <w:r>
              <w:t>9</w:t>
            </w:r>
          </w:p>
        </w:tc>
        <w:tc>
          <w:tcPr>
            <w:tcW w:type="dxa" w:w="2608"/>
          </w:tcPr>
          <w:p>
            <w:r>
              <w:t>ndmi_mean  [idx]</w:t>
            </w:r>
          </w:p>
        </w:tc>
        <w:tc>
          <w:tcPr>
            <w:tcW w:type="dxa" w:w="2268"/>
          </w:tcPr>
          <w:p>
            <w:r>
              <w:t>S2 multi-anual</w:t>
            </w:r>
          </w:p>
        </w:tc>
        <w:tc>
          <w:tcPr>
            <w:tcW w:type="dxa" w:w="1474"/>
          </w:tcPr>
          <w:p>
            <w:r>
              <w:t>0,0029</w:t>
            </w:r>
          </w:p>
        </w:tc>
      </w:tr>
      <w:tr>
        <w:tc>
          <w:tcPr>
            <w:tcW w:type="dxa" w:w="794"/>
          </w:tcPr>
          <w:p>
            <w:r>
              <w:t>10</w:t>
            </w:r>
          </w:p>
        </w:tc>
        <w:tc>
          <w:tcPr>
            <w:tcW w:type="dxa" w:w="2608"/>
          </w:tcPr>
          <w:p>
            <w:r>
              <w:t>albedo_sd  [idx]</w:t>
            </w:r>
          </w:p>
        </w:tc>
        <w:tc>
          <w:tcPr>
            <w:tcW w:type="dxa" w:w="2268"/>
          </w:tcPr>
          <w:p>
            <w:r>
              <w:t>S2 multi-anual</w:t>
            </w:r>
          </w:p>
        </w:tc>
        <w:tc>
          <w:tcPr>
            <w:tcW w:type="dxa" w:w="1474"/>
          </w:tcPr>
          <w:p>
            <w:r>
              <w:t>0,0028</w:t>
            </w:r>
          </w:p>
        </w:tc>
      </w:tr>
    </w:tbl>
    <w:p>
      <w:r>
        <w:t>Dos de las tres variables más importantes (tras evi_early) son de Sentinel-1 —el ratio VV/VH y la variabilidad temporal de VH—, y tres de las diez primeras son de los índices multi-anuales nuevos (albedo y NDMI). Esto confirma que ambas incorporaciones aportan señal real y no redundante.</w:t>
      </w:r>
    </w:p>
    <w:p>
      <w:pPr>
        <w:pStyle w:val="Heading1"/>
      </w:pPr>
      <w:r>
        <w:t>7. Estrategia de etiquetado para entrenamiento</w:t>
      </w:r>
    </w:p>
    <w:p>
      <w:pPr>
        <w:pStyle w:val="Heading2"/>
      </w:pPr>
      <w:r>
        <w:t>7.1 Verdad-terreno (recomendado)</w:t>
      </w:r>
    </w:p>
    <w:p>
      <w:r>
        <w:t>Idealmente, un equipo botánico-edafológico visita una muestra de puntos y los etiqueta como BORREGUIL = sí / no, con una columna adicional DUDA = sí cuando no se puede decidir con certeza. Los puntos con duda se EXCLUYEN del entrenamiento pero se mantienen como categoría propia en la salida final.</w:t>
      </w:r>
    </w:p>
    <w:p>
      <w:r>
        <w:t>Esta fue la estrategia usada en Sierra Nevada con 584 puntos verificados (178 sí, 406 no, de los que 27 son dudas → 557 efectivos para entrenar: 160 positivos y 397 negativos).</w:t>
      </w:r>
    </w:p>
    <w:p>
      <w:pPr>
        <w:pStyle w:val="Heading2"/>
      </w:pPr>
      <w:r>
        <w:t>7.2 Etiquetas sintéticas (fallback)</w:t>
      </w:r>
    </w:p>
    <w:p>
      <w:r>
        <w:t>Si no hay verdad-terreno y solo se dispone de un inventario cartográfico:</w:t>
        <w:br/>
        <w:t xml:space="preserve">   • Positivos: puntos a &lt; 25-50 m de un polígono / punto inventariado.</w:t>
        <w:br/>
        <w:t xml:space="preserve">   • Negativos: puntos a &gt; 2-5 km del inventario más cercano Y en cota claramente fuera del piso del wet meadow.</w:t>
      </w:r>
    </w:p>
    <w:p>
      <w:r>
        <w:t>ATENCIÓN: este esquema introduce SESGO GEOGRÁFICO porque positivos y negativos están sistemáticamente en zonas distintas. En Sierra Nevada, un RF entrenado con etiquetas sintéticas reportó AUC = 1,0 en CV pero al evaluarse sobre la verdad-terreno se quedó en AUC = 0,65 (174 falsos positivos, 73 falsos negativos): había aprendido la geografía del inventario, no la firma del borreguil. TENER VERDAD-TERRENO ES IRREEMPLAZABLE.</w:t>
      </w:r>
    </w:p>
    <w:p>
      <w:pPr>
        <w:pStyle w:val="Heading2"/>
      </w:pPr>
      <w:r>
        <w:t>7.3 Active learning sobre la salida del modelo</w:t>
      </w:r>
    </w:p>
    <w:p>
      <w:r>
        <w:t>Estrategia eficaz para ampliar el conjunto etiquetado con mínimo esfuerzo de campo:</w:t>
        <w:br/>
        <w:t>1. Entrenar el modelo con los etiquetados iniciales (mínimo de la sección 8).</w:t>
        <w:br/>
        <w:t>2. Aplicarlo a todos los candidatos no etiquetados.</w:t>
        <w:br/>
        <w:t>3. Validar en campo ~30 puntos en el rango de probabilidad 0,40-0,60 (máxima incertidumbre).</w:t>
        <w:br/>
        <w:t>4. Añadir esas etiquetas y reentrenar.</w:t>
        <w:br/>
        <w:t>5. Repetir 2-4 hasta que el AUC en validación honesta deje de mejorar.</w:t>
      </w:r>
    </w:p>
    <w:p>
      <w:pPr>
        <w:pStyle w:val="Heading1"/>
      </w:pPr>
      <w:r>
        <w:t>8. Tamaño muestral mínimo por zona</w:t>
      </w:r>
    </w:p>
    <w:p>
      <w:r>
        <w:t>El número de puntos verificados depende de la heterogeneidad de la zona, del tamaño y distribución de los wet meadows y del nivel de exigencia. A partir de la literatura y del experimento de Sierra Nevada se proponen tres escenarios:</w:t>
      </w:r>
    </w:p>
    <w:tbl>
      <w:tblPr>
        <w:tblStyle w:val="LightGrid-Accent1"/>
        <w:tblW w:type="auto" w:w="0"/>
        <w:tblLook w:firstColumn="1" w:firstRow="1" w:lastColumn="0" w:lastRow="0" w:noHBand="0" w:noVBand="1" w:val="04A0"/>
      </w:tblPr>
      <w:tblGrid>
        <w:gridCol w:w="1882"/>
        <w:gridCol w:w="1882"/>
        <w:gridCol w:w="1882"/>
        <w:gridCol w:w="1882"/>
        <w:gridCol w:w="1882"/>
      </w:tblGrid>
      <w:tr>
        <w:tc>
          <w:tcPr>
            <w:tcW w:type="dxa" w:w="2835"/>
          </w:tcPr>
          <w:p>
            <w:r>
              <w:rPr>
                <w:b/>
              </w:rPr>
              <w:t>Escenario</w:t>
            </w:r>
          </w:p>
        </w:tc>
        <w:tc>
          <w:tcPr>
            <w:tcW w:type="dxa" w:w="1474"/>
          </w:tcPr>
          <w:p>
            <w:r>
              <w:rPr>
                <w:b/>
              </w:rPr>
              <w:t>Positivos</w:t>
            </w:r>
          </w:p>
        </w:tc>
        <w:tc>
          <w:tcPr>
            <w:tcW w:type="dxa" w:w="1474"/>
          </w:tcPr>
          <w:p>
            <w:r>
              <w:rPr>
                <w:b/>
              </w:rPr>
              <w:t>Negativos</w:t>
            </w:r>
          </w:p>
        </w:tc>
        <w:tc>
          <w:tcPr>
            <w:tcW w:type="dxa" w:w="1701"/>
          </w:tcPr>
          <w:p>
            <w:r>
              <w:rPr>
                <w:b/>
              </w:rPr>
              <w:t>Mínimo cuencas</w:t>
            </w:r>
          </w:p>
        </w:tc>
        <w:tc>
          <w:tcPr>
            <w:tcW w:type="dxa" w:w="1928"/>
          </w:tcPr>
          <w:p>
            <w:r>
              <w:rPr>
                <w:b/>
              </w:rPr>
              <w:t>Esperado AUC</w:t>
            </w:r>
          </w:p>
        </w:tc>
      </w:tr>
      <w:tr>
        <w:tc>
          <w:tcPr>
            <w:tcW w:type="dxa" w:w="2835"/>
          </w:tcPr>
          <w:p>
            <w:r>
              <w:rPr>
                <w:b/>
              </w:rPr>
              <w:t>MÍNIMO viable</w:t>
            </w:r>
          </w:p>
        </w:tc>
        <w:tc>
          <w:tcPr>
            <w:tcW w:type="dxa" w:w="1474"/>
          </w:tcPr>
          <w:p>
            <w:r>
              <w:t>30</w:t>
            </w:r>
          </w:p>
        </w:tc>
        <w:tc>
          <w:tcPr>
            <w:tcW w:type="dxa" w:w="1474"/>
          </w:tcPr>
          <w:p>
            <w:r>
              <w:t>60</w:t>
            </w:r>
          </w:p>
        </w:tc>
        <w:tc>
          <w:tcPr>
            <w:tcW w:type="dxa" w:w="1701"/>
          </w:tcPr>
          <w:p>
            <w:r>
              <w:t>3</w:t>
            </w:r>
          </w:p>
        </w:tc>
        <w:tc>
          <w:tcPr>
            <w:tcW w:type="dxa" w:w="1928"/>
          </w:tcPr>
          <w:p>
            <w:r>
              <w:t>0,75-0,80</w:t>
            </w:r>
          </w:p>
        </w:tc>
      </w:tr>
      <w:tr>
        <w:tc>
          <w:tcPr>
            <w:tcW w:type="dxa" w:w="2835"/>
          </w:tcPr>
          <w:p>
            <w:r>
              <w:rPr>
                <w:b/>
              </w:rPr>
              <w:t>RECOMENDADO (operativo)</w:t>
            </w:r>
          </w:p>
        </w:tc>
        <w:tc>
          <w:tcPr>
            <w:tcW w:type="dxa" w:w="1474"/>
          </w:tcPr>
          <w:p>
            <w:r>
              <w:t>80-150</w:t>
            </w:r>
          </w:p>
        </w:tc>
        <w:tc>
          <w:tcPr>
            <w:tcW w:type="dxa" w:w="1474"/>
          </w:tcPr>
          <w:p>
            <w:r>
              <w:t>150-300</w:t>
            </w:r>
          </w:p>
        </w:tc>
        <w:tc>
          <w:tcPr>
            <w:tcW w:type="dxa" w:w="1701"/>
          </w:tcPr>
          <w:p>
            <w:r>
              <w:t>5-8</w:t>
            </w:r>
          </w:p>
        </w:tc>
        <w:tc>
          <w:tcPr>
            <w:tcW w:type="dxa" w:w="1928"/>
          </w:tcPr>
          <w:p>
            <w:r>
              <w:t>0,85-0,90</w:t>
            </w:r>
          </w:p>
        </w:tc>
      </w:tr>
      <w:tr>
        <w:tc>
          <w:tcPr>
            <w:tcW w:type="dxa" w:w="2835"/>
          </w:tcPr>
          <w:p>
            <w:r>
              <w:rPr>
                <w:b/>
              </w:rPr>
              <w:t>ÓPTIMO (publicación)</w:t>
            </w:r>
          </w:p>
        </w:tc>
        <w:tc>
          <w:tcPr>
            <w:tcW w:type="dxa" w:w="1474"/>
          </w:tcPr>
          <w:p>
            <w:r>
              <w:t>300+</w:t>
            </w:r>
          </w:p>
        </w:tc>
        <w:tc>
          <w:tcPr>
            <w:tcW w:type="dxa" w:w="1474"/>
          </w:tcPr>
          <w:p>
            <w:r>
              <w:t>300+</w:t>
            </w:r>
          </w:p>
        </w:tc>
        <w:tc>
          <w:tcPr>
            <w:tcW w:type="dxa" w:w="1701"/>
          </w:tcPr>
          <w:p>
            <w:r>
              <w:t>10+</w:t>
            </w:r>
          </w:p>
        </w:tc>
        <w:tc>
          <w:tcPr>
            <w:tcW w:type="dxa" w:w="1928"/>
          </w:tcPr>
          <w:p>
            <w:r>
              <w:t>&gt; 0,90</w:t>
            </w:r>
          </w:p>
        </w:tc>
      </w:tr>
    </w:tbl>
    <w:p/>
    <w:p>
      <w:pPr>
        <w:pStyle w:val="Heading2"/>
      </w:pPr>
      <w:r>
        <w:t>8.1 Justificación de los tamaños</w:t>
      </w:r>
    </w:p>
    <w:p>
      <w:r>
        <w:t>• Mínimo 30 positivos: bajo este umbral las curvas ROC del Random Forest se vuelven muy ruidosas. Es el límite inferior absoluto.</w:t>
        <w:br/>
        <w:t>• 80-150 positivos: equivalente a las 5-6 cuencas mejor muestreadas de Sierra Nevada (Lanjarón, Genil, Trevélez, Poqueira, Dílar). Con esta cantidad F1 ≥ 0,90 es alcanzable.</w:t>
        <w:br/>
        <w:t>• 300+ positivos: rango en el que la literatura indica accuracies &gt; 90 % de forma estable (Tai et al. 2025, 342 puntos en Shule River Basin; Dubeau et al. 2017, 507 sitios en Dabus, Ethiopia).</w:t>
        <w:br/>
        <w:t>• Relación positivos:negativos de 1:1 a 1:3 funciona bien con class_weight='balanced'. Razones &gt; 1:5 requieren oversampling explícito.</w:t>
        <w:br/>
        <w:t>• Mínimo de cuencas: para que GroupKFold sea fiable se necesitan 3-5 grupos, cada uno con 5-10 positivos.</w:t>
      </w:r>
    </w:p>
    <w:p>
      <w:pPr>
        <w:pStyle w:val="Heading2"/>
      </w:pPr>
      <w:r>
        <w:t>8.2 Distribución geográfica recomendada</w:t>
      </w:r>
    </w:p>
    <w:p>
      <w:r>
        <w:t>• Cubrir el rango altitudinal completo donde puedan aparecer wet meadows (en Sierra Nevada: 2 200-3 000 m).</w:t>
        <w:br/>
        <w:t>• Incluir todas las orientaciones (N, S, E, O).</w:t>
        <w:br/>
        <w:t>• Al menos 3 cuencas hidrográficas diferentes.</w:t>
        <w:br/>
        <w:t>• Distinguir muestras de borde (con duda) de muestras de centro de mancha.</w:t>
        <w:br/>
        <w:t>• Cuando sea posible, repetir el muestreo en varios años (los positivos varían con la disponibilidad hídrica anual).</w:t>
      </w:r>
    </w:p>
    <w:p>
      <w:pPr>
        <w:pStyle w:val="Heading2"/>
      </w:pPr>
      <w:r>
        <w:t>8.3 Tamaño de la validación</w:t>
      </w:r>
    </w:p>
    <w:p>
      <w:r>
        <w:t>Se recomienda reservar al menos el 20 % de las etiquetas para test independiente, además de la validación cruzada. Para reportar un AUC con error &lt; 0,05 se necesita un test de al menos 50 positivos y 50 negativos.</w:t>
      </w:r>
    </w:p>
    <w:p>
      <w:pPr>
        <w:pStyle w:val="Heading1"/>
      </w:pPr>
      <w:r>
        <w:t>9. Limitaciones y precauciones</w:t>
      </w:r>
    </w:p>
    <w:p>
      <w:r>
        <w:rPr>
          <w:b/>
        </w:rPr>
        <w:t xml:space="preserve">Sesgo geográfico: </w:t>
      </w:r>
      <w:r>
        <w:t>Cualquier variable que correlacione con la localización (distancia a un punto fijo, cuenca como categórica, coordenadas brutas) infla el AUC en validación cruzada estándar. Es OBLIGATORIO validar con GroupKFold por cuenca o por área protegida.</w:t>
      </w:r>
    </w:p>
    <w:p>
      <w:r>
        <w:rPr>
          <w:b/>
        </w:rPr>
        <w:t xml:space="preserve">Confounding topográfico en el radar: </w:t>
      </w:r>
      <w:r>
        <w:t>En montaña, la retrodispersión SAR sin corregir (sigma-0) depende fuertemente de la geometría relieve-radar, que correlaciona espuriamente con dónde se asientan los borreguiles: un experimento con Sentinel-1 sigma-0 dio una mejora aparente de +0,030 que era en gran parte geometría, no humedad, y NO transferible. Por eso se usa el producto RTC (terrain-flattened), cuya mejora limpia (+0,014) sí es física y transferible. Lección: en montaña, terrain-flattening obligatorio.</w:t>
      </w:r>
    </w:p>
    <w:p>
      <w:r>
        <w:rPr>
          <w:b/>
        </w:rPr>
        <w:t xml:space="preserve">Praderas antropogénicas: </w:t>
      </w:r>
      <w:r>
        <w:t>Pistas de esquí, cortafuegos sembrados, pastos regados o cunetas pueden simular la firma del borreguil. El filtro por OSM (aerialway, highway) descarta los más obvios; el resto requiere revisión visual.</w:t>
      </w:r>
    </w:p>
    <w:p>
      <w:r>
        <w:rPr>
          <w:b/>
        </w:rPr>
        <w:t xml:space="preserve">Boundary uncertainty: </w:t>
      </w:r>
      <w:r>
        <w:t>Los wet meadows tienen bordes graduales hacia el pastizal y el roquedo (la literatura reporta ~38 % de overlap entre clasificadores en transición). La columna DUDA es esencial para no forzar decisiones binarias imposibles.</w:t>
      </w:r>
    </w:p>
    <w:p>
      <w:r>
        <w:rPr>
          <w:b/>
        </w:rPr>
        <w:t xml:space="preserve">Cobertura de nubes en óptico: </w:t>
      </w:r>
      <w:r>
        <w:t>En zonas tropicales o monzónicas (Andes, Himalaya) puede haber &lt; 5 escenas ópticas válidas por punto. La integración de Sentinel-1 (radar, todo-tiempo) mitiga parcialmente esta carencia; aun así conviene ampliar la ventana temporal o añadir Landsat.</w:t>
      </w:r>
    </w:p>
    <w:p>
      <w:r>
        <w:rPr>
          <w:b/>
        </w:rPr>
        <w:t xml:space="preserve">Resolución insuficiente: </w:t>
      </w:r>
      <w:r>
        <w:t>Sentinel-2/1 a 10 m detectan wet meadows desde ~30 × 30 m. Para parches menores se necesita imagen aérea (UAV, ortofotos) o satélite de muy alta resolución.</w:t>
      </w:r>
    </w:p>
    <w:p>
      <w:r>
        <w:rPr>
          <w:b/>
        </w:rPr>
        <w:t xml:space="preserve">Estacionalidad atípica: </w:t>
      </w:r>
      <w:r>
        <w:t>Años muy secos pueden agostar los wet meadows antes de tiempo. La agregación multi-anual (sección 5.2) mitiga el problema, pero no lo elimina.</w:t>
      </w:r>
    </w:p>
    <w:p>
      <w:r>
        <w:rPr>
          <w:b/>
        </w:rPr>
        <w:t xml:space="preserve">No sustituye al campo: </w:t>
      </w:r>
      <w:r>
        <w:t>La salida del modelo es una HIPÓTESIS PRIORIZADA, no un mapa definitivo. Cada punto BORREGUIL PROBABLE debe verificarse en campo antes de incorporarse a inventarios oficiales.</w:t>
      </w:r>
    </w:p>
    <w:p>
      <w:pPr>
        <w:pStyle w:val="Heading1"/>
      </w:pPr>
      <w:r>
        <w:t>10. Implementación práctica</w:t>
      </w:r>
    </w:p>
    <w:p>
      <w:r>
        <w:t>El pipeline está implementado en Python 3.11. Dos formas de uso:</w:t>
      </w:r>
    </w:p>
    <w:p>
      <w:pPr>
        <w:pStyle w:val="Heading2"/>
      </w:pPr>
      <w:r>
        <w:t>10.1 CLI (línea de comandos)</w:t>
      </w:r>
    </w:p>
    <w:p>
      <w:r>
        <w:t>Script único borreguil_pipeline.py. Toma un KML/Shapefile de puntos candidatos y opcionalmente otro con etiquetas verdad-terreno (atributos 'Borreguil' y 'Duda'). Genera el Excel, el Word y los CSV intermedios.</w:t>
      </w:r>
    </w:p>
    <w:p>
      <w:r>
        <w:rPr>
          <w:rFonts w:ascii="Consolas" w:hAnsi="Consolas"/>
          <w:sz w:val="20"/>
        </w:rPr>
        <w:t xml:space="preserve">  python borreguil_pipeline.py --input puntos.kml --truth verdad.kml --output ./out</w:t>
      </w:r>
    </w:p>
    <w:p>
      <w:pPr>
        <w:pStyle w:val="Heading2"/>
      </w:pPr>
      <w:r>
        <w:t>10.2 App Streamlit</w:t>
      </w:r>
    </w:p>
    <w:p>
      <w:r>
        <w:t>Interfaz web local: el experto sube un KML, ajusta parámetros (años Sentinel-2, umbral RF, área de estudio, backend MPC o GEE), visualiza el resultado en un mapa Folium con marcadores coloreados y reentrena con etiquetas propias (active learning).</w:t>
      </w:r>
    </w:p>
    <w:p>
      <w:r>
        <w:rPr>
          <w:rFonts w:ascii="Consolas" w:hAnsi="Consolas"/>
          <w:sz w:val="20"/>
        </w:rPr>
        <w:t xml:space="preserve">  streamlit run app.py</w:t>
      </w:r>
    </w:p>
    <w:p>
      <w:pPr>
        <w:pStyle w:val="Heading2"/>
      </w:pPr>
      <w:r>
        <w:t>10.3 Recursos computacionales</w:t>
      </w:r>
    </w:p>
    <w:p>
      <w:r>
        <w:t>• Tiempo típico para 500 puntos: 20-30 min en un portátil estándar (lo dominante es la descarga de imágenes ESRI y la lectura de bandas Sentinel-2/1).</w:t>
        <w:br/>
        <w:t>• RAM: 8 GB suficientes.</w:t>
        <w:br/>
        <w:t>• Disco: ~30 MB imágenes ESRI + ~6 MB DEM + outputs.</w:t>
        <w:br/>
        <w:t>• Internet imprescindible (todas las descargas son online).</w:t>
      </w:r>
    </w:p>
    <w:p>
      <w:pPr>
        <w:pStyle w:val="Heading2"/>
      </w:pPr>
      <w:r>
        <w:t>10.4 Transferencia a otra zona protegida</w:t>
      </w:r>
    </w:p>
    <w:p>
      <w:r>
        <w:t>1. Reunir un KML con los puntos candidatos (mínimo 100).</w:t>
        <w:br/>
        <w:t>2. Si hay puntos verificados en campo, prepararlos en un KML con atributos 'Borreguil' (si/no) y 'Duda' (si/no).</w:t>
        <w:br/>
        <w:t>3. Lanzar el pipeline. Sin etiquetas, el modelo usa los umbrales calibrados sobre Sierra Nevada (precaución: ver sección 9 sobre transferencia ciega).</w:t>
        <w:br/>
        <w:t>4. Revisar el Excel y el Word; primera ronda de campo sobre los POSIBLE BORREGUIL (0,50-0,70) y los marcados con bandera.</w:t>
        <w:br/>
        <w:t>5. Reentrenar con las nuevas etiquetas y repetir.</w:t>
      </w:r>
    </w:p>
    <w:p>
      <w:pPr>
        <w:pStyle w:val="Heading1"/>
      </w:pPr>
      <w:r>
        <w:t>11. Referencias clave</w:t>
      </w:r>
    </w:p>
    <w:p>
      <w:pPr>
        <w:ind w:left="283" w:hanging="283"/>
      </w:pPr>
      <w:r>
        <w:t>Davis JD, Blesius L, Slocombe M, et al. (2020) Unpiloted Aerial System Supported Biogeomorphic Analysis of Restored Sierra Nevada Montane Meadows. Remote Sensing.</w:t>
      </w:r>
    </w:p>
    <w:p>
      <w:pPr>
        <w:ind w:left="283" w:hanging="283"/>
      </w:pPr>
      <w:r>
        <w:t>Du K, Shao Y, Yao N, et al. (2025) Alpine Meadow Fractional Vegetation Cover Estimation Using UAV-Aided Sentinel-2 Imagery.</w:t>
      </w:r>
    </w:p>
    <w:p>
      <w:pPr>
        <w:ind w:left="283" w:hanging="283"/>
      </w:pPr>
      <w:r>
        <w:t>Kluczek M, Zagajewski B, Kycko M (2022) Airborne HySpex Hyperspectral Versus Multitemporal Sentinel-2 Images for Mountain Plant Communities Mapping. RS.</w:t>
      </w:r>
    </w:p>
    <w:p>
      <w:pPr>
        <w:ind w:left="283" w:hanging="283"/>
      </w:pPr>
      <w:r>
        <w:t>Chimner R, Bourgeau-Chavez L, Grelik S, et al. (2019) Mapping Mountain Peatlands and Wet Meadows Using Multi-Date, Multi-Sensor Remote Sensing in the Cordillera Blanca, Peru. Wetlands.</w:t>
      </w:r>
    </w:p>
    <w:p>
      <w:pPr>
        <w:ind w:left="283" w:hanging="283"/>
      </w:pPr>
      <w:r>
        <w:t>Chignell SM, Luizza M, Skach S, et al. (2018) An integrative modeling approach to mapping wetlands and riparian areas in a heterogeneous Rocky Mountain watershed.</w:t>
      </w:r>
    </w:p>
    <w:p>
      <w:pPr>
        <w:ind w:left="283" w:hanging="283"/>
      </w:pPr>
      <w:r>
        <w:t>Dubeau P, King D, Unbushe D, Rebelo L (2017) Mapping the Dabus Wetlands, Ethiopia, Using Random Forest Classification of Landsat, PALSAR and Topographic Data.</w:t>
      </w:r>
    </w:p>
    <w:p>
      <w:pPr>
        <w:ind w:left="283" w:hanging="283"/>
      </w:pPr>
      <w:r>
        <w:t>Small D (2011) Flattening Gamma: Radiometric Terrain Correction for SAR Imagery. IEEE Transactions on Geoscience and Remote Sensing 49(8).</w:t>
      </w:r>
    </w:p>
    <w:p>
      <w:pPr>
        <w:ind w:left="283" w:hanging="283"/>
      </w:pPr>
      <w:r>
        <w:t>Vollrath A, Mullissa A, Reiche J (2020) Angular-Based Radiometric Slope Correction for Sentinel-1 on Google Earth Engine. Remote Sensing 12(11).</w:t>
      </w:r>
    </w:p>
    <w:p>
      <w:pPr>
        <w:ind w:left="283" w:hanging="283"/>
      </w:pPr>
      <w:r>
        <w:t>Zhang W, Lu Q, Song K, et al. (2014) Remotely sensing the ecological influences of ditches in Zoige Peatland, eastern Tibetan Plateau. Int. J. RS.</w:t>
      </w:r>
    </w:p>
    <w:p>
      <w:pPr>
        <w:ind w:left="283" w:hanging="283"/>
      </w:pPr>
      <w:r>
        <w:t>Hernández-Romero G, Álvarez-Martínez JM, Pérez-Silos I, et al. (2022) From Forest Dynamics to Wetland Siltation in Mountainous Landscapes: An RS-Based Framework. RS.</w:t>
      </w:r>
    </w:p>
    <w:p>
      <w:pPr>
        <w:ind w:left="283" w:hanging="283"/>
      </w:pPr>
      <w:r>
        <w:t>Carlson B, Hébert M, Reeth C, et al. (2020) Monitoring the Seasonal Hydrology of Alpine Wetlands in Response to Snow Cover Dynamics and Summer Climate: A Novel Approach with Sentinel-2. Remote Sensing.</w:t>
      </w:r>
    </w:p>
    <w:p>
      <w:pPr>
        <w:ind w:left="283" w:hanging="283"/>
      </w:pPr>
      <w:r>
        <w:t>Microsoft Planetary Computer (2024). https://planetarycomputer.microsoft.com — STAC catalog para Sentinel-2 L2A, Sentinel-1 RTC y Copernicus DEM GLO-30.</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