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V2 Grading Analysis Report</w:t>
      </w:r>
    </w:p>
    <w:p>
      <w:pPr>
        <w:jc w:val="center"/>
      </w:pPr>
      <w:r>
        <w:t>BEAJ Audio Dataset — Inter-Rater Reliability &amp; AI Calibration</w:t>
      </w:r>
    </w:p>
    <w:p/>
    <w:p>
      <w:pPr>
        <w:pStyle w:val="Heading1"/>
      </w:pPr>
      <w:r>
        <w:t>Executive Summary</w:t>
      </w:r>
    </w:p>
    <w:p>
      <w:pPr>
        <w:pStyle w:val="ListBullet"/>
      </w:pPr>
      <w:r>
        <w:t>7 human graders + AI scored 594 unique audio files (891 total graded rows).</w:t>
      </w:r>
    </w:p>
    <w:p>
      <w:pPr>
        <w:pStyle w:val="ListBullet"/>
      </w:pPr>
      <w:r>
        <w:t>Human graders score on average 7.59 words correct per audio; AI scores 8.47 — a systematic gap of 0.89 points (AI scores lower).</w:t>
      </w:r>
    </w:p>
    <w:p>
      <w:pPr>
        <w:pStyle w:val="ListBullet"/>
      </w:pPr>
      <w:r>
        <w:t>Human-AI Pearson correlation: r = 0.925 (n=891). Most human-human pairs correlate above r = 0.90.</w:t>
      </w:r>
    </w:p>
    <w:p>
      <w:pPr>
        <w:pStyle w:val="ListBullet"/>
      </w:pPr>
      <w:r>
        <w:t>Pre-to-post improvement is visible in both human and AI scores, consistent with genuine learning gains.</w:t>
      </w:r>
    </w:p>
    <w:p>
      <w:pPr>
        <w:pStyle w:val="ListBullet"/>
      </w:pPr>
      <w:r>
        <w:t>Word-level analysis shows AI particularly underscores South Asian proper nouns ('faiz': 83% mismatch rate, 'zara': 45%), pointing to a cultural calibration gap.</w:t>
      </w:r>
    </w:p>
    <w:p>
      <w:pPr>
        <w:pStyle w:val="Heading1"/>
      </w:pPr>
      <w:r>
        <w:t>1. Dataset Overview</w:t>
      </w:r>
    </w:p>
    <w:p>
      <w:r>
        <w:t>The v2 grading dataset covers 594 unique audio recordings from Grade 1 students, graded by 7 human graders and 1 AI system. AI responses were matched to 878 of 891 transcribed rows (98.5%).</w:t>
      </w:r>
    </w:p>
    <w:p>
      <w:pPr>
        <w:pStyle w:val="Heading2"/>
      </w:pPr>
      <w:r>
        <w:t>Transcriptions per Grader</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Grader</w:t>
            </w:r>
          </w:p>
        </w:tc>
        <w:tc>
          <w:tcPr>
            <w:tcW w:type="dxa" w:w="4320"/>
          </w:tcPr>
          <w:p>
            <w:pPr>
              <w:jc w:val="center"/>
            </w:pPr>
            <w:r>
              <w:rPr>
                <w:b/>
                <w:sz w:val="18"/>
              </w:rPr>
              <w:t>Transcriptions</w:t>
            </w:r>
          </w:p>
        </w:tc>
      </w:tr>
      <w:tr>
        <w:tc>
          <w:tcPr>
            <w:tcW w:type="dxa" w:w="4320"/>
          </w:tcPr>
          <w:p>
            <w:pPr>
              <w:jc w:val="center"/>
            </w:pPr>
            <w:r>
              <w:rPr>
                <w:sz w:val="18"/>
              </w:rPr>
              <w:t>Semal</w:t>
            </w:r>
          </w:p>
        </w:tc>
        <w:tc>
          <w:tcPr>
            <w:tcW w:type="dxa" w:w="4320"/>
          </w:tcPr>
          <w:p>
            <w:pPr>
              <w:jc w:val="center"/>
            </w:pPr>
            <w:r>
              <w:rPr>
                <w:sz w:val="18"/>
              </w:rPr>
              <w:t>189</w:t>
            </w:r>
          </w:p>
        </w:tc>
      </w:tr>
      <w:tr>
        <w:tc>
          <w:tcPr>
            <w:tcW w:type="dxa" w:w="4320"/>
          </w:tcPr>
          <w:p>
            <w:pPr>
              <w:jc w:val="center"/>
            </w:pPr>
            <w:r>
              <w:rPr>
                <w:sz w:val="18"/>
              </w:rPr>
              <w:t>Rehma</w:t>
            </w:r>
          </w:p>
        </w:tc>
        <w:tc>
          <w:tcPr>
            <w:tcW w:type="dxa" w:w="4320"/>
          </w:tcPr>
          <w:p>
            <w:pPr>
              <w:jc w:val="center"/>
            </w:pPr>
            <w:r>
              <w:rPr>
                <w:sz w:val="18"/>
              </w:rPr>
              <w:t>169</w:t>
            </w:r>
          </w:p>
        </w:tc>
      </w:tr>
      <w:tr>
        <w:tc>
          <w:tcPr>
            <w:tcW w:type="dxa" w:w="4320"/>
          </w:tcPr>
          <w:p>
            <w:pPr>
              <w:jc w:val="center"/>
            </w:pPr>
            <w:r>
              <w:rPr>
                <w:sz w:val="18"/>
              </w:rPr>
              <w:t>Amna</w:t>
            </w:r>
          </w:p>
        </w:tc>
        <w:tc>
          <w:tcPr>
            <w:tcW w:type="dxa" w:w="4320"/>
          </w:tcPr>
          <w:p>
            <w:pPr>
              <w:jc w:val="center"/>
            </w:pPr>
            <w:r>
              <w:rPr>
                <w:sz w:val="18"/>
              </w:rPr>
              <w:t>130</w:t>
            </w:r>
          </w:p>
        </w:tc>
      </w:tr>
      <w:tr>
        <w:tc>
          <w:tcPr>
            <w:tcW w:type="dxa" w:w="4320"/>
          </w:tcPr>
          <w:p>
            <w:pPr>
              <w:jc w:val="center"/>
            </w:pPr>
            <w:r>
              <w:rPr>
                <w:sz w:val="18"/>
              </w:rPr>
              <w:t>Dania</w:t>
            </w:r>
          </w:p>
        </w:tc>
        <w:tc>
          <w:tcPr>
            <w:tcW w:type="dxa" w:w="4320"/>
          </w:tcPr>
          <w:p>
            <w:pPr>
              <w:jc w:val="center"/>
            </w:pPr>
            <w:r>
              <w:rPr>
                <w:sz w:val="18"/>
              </w:rPr>
              <w:t>125</w:t>
            </w:r>
          </w:p>
        </w:tc>
      </w:tr>
      <w:tr>
        <w:tc>
          <w:tcPr>
            <w:tcW w:type="dxa" w:w="4320"/>
          </w:tcPr>
          <w:p>
            <w:pPr>
              <w:jc w:val="center"/>
            </w:pPr>
            <w:r>
              <w:rPr>
                <w:sz w:val="18"/>
              </w:rPr>
              <w:t>Rukhshan</w:t>
            </w:r>
          </w:p>
        </w:tc>
        <w:tc>
          <w:tcPr>
            <w:tcW w:type="dxa" w:w="4320"/>
          </w:tcPr>
          <w:p>
            <w:pPr>
              <w:jc w:val="center"/>
            </w:pPr>
            <w:r>
              <w:rPr>
                <w:sz w:val="18"/>
              </w:rPr>
              <w:t>121</w:t>
            </w:r>
          </w:p>
        </w:tc>
      </w:tr>
      <w:tr>
        <w:tc>
          <w:tcPr>
            <w:tcW w:type="dxa" w:w="4320"/>
          </w:tcPr>
          <w:p>
            <w:pPr>
              <w:jc w:val="center"/>
            </w:pPr>
            <w:r>
              <w:rPr>
                <w:sz w:val="18"/>
              </w:rPr>
              <w:t>Salman</w:t>
            </w:r>
          </w:p>
        </w:tc>
        <w:tc>
          <w:tcPr>
            <w:tcW w:type="dxa" w:w="4320"/>
          </w:tcPr>
          <w:p>
            <w:pPr>
              <w:jc w:val="center"/>
            </w:pPr>
            <w:r>
              <w:rPr>
                <w:sz w:val="18"/>
              </w:rPr>
              <w:t>70</w:t>
            </w:r>
          </w:p>
        </w:tc>
      </w:tr>
      <w:tr>
        <w:tc>
          <w:tcPr>
            <w:tcW w:type="dxa" w:w="4320"/>
          </w:tcPr>
          <w:p>
            <w:pPr>
              <w:jc w:val="center"/>
            </w:pPr>
            <w:r>
              <w:rPr>
                <w:sz w:val="18"/>
              </w:rPr>
              <w:t>Ali</w:t>
            </w:r>
          </w:p>
        </w:tc>
        <w:tc>
          <w:tcPr>
            <w:tcW w:type="dxa" w:w="4320"/>
          </w:tcPr>
          <w:p>
            <w:pPr>
              <w:jc w:val="center"/>
            </w:pPr>
            <w:r>
              <w:rPr>
                <w:sz w:val="18"/>
              </w:rPr>
              <w:t>69</w:t>
            </w:r>
          </w:p>
        </w:tc>
      </w:tr>
      <w:tr>
        <w:tc>
          <w:tcPr>
            <w:tcW w:type="dxa" w:w="4320"/>
          </w:tcPr>
          <w:p>
            <w:pPr>
              <w:jc w:val="center"/>
            </w:pPr>
            <w:r>
              <w:rPr>
                <w:sz w:val="18"/>
              </w:rPr>
              <w:t>Abdullah</w:t>
            </w:r>
          </w:p>
        </w:tc>
        <w:tc>
          <w:tcPr>
            <w:tcW w:type="dxa" w:w="4320"/>
          </w:tcPr>
          <w:p>
            <w:pPr>
              <w:jc w:val="center"/>
            </w:pPr>
            <w:r>
              <w:rPr>
                <w:sz w:val="18"/>
              </w:rPr>
              <w:t>18</w:t>
            </w:r>
          </w:p>
        </w:tc>
      </w:tr>
    </w:tbl>
    <w:p>
      <w:pPr>
        <w:pStyle w:val="Heading1"/>
      </w:pPr>
      <w:r>
        <w:t>2. Score Distribution</w:t>
      </w:r>
    </w:p>
    <w:p>
      <w:r>
        <w:t>Scores represent word-match counts — the number of reference words a student correctly reproduced. Human scores are derived from transcription alignment; AI scores count words graded as fully correct (normalized score = 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Statistic</w:t>
            </w:r>
          </w:p>
        </w:tc>
        <w:tc>
          <w:tcPr>
            <w:tcW w:type="dxa" w:w="2880"/>
          </w:tcPr>
          <w:p>
            <w:pPr>
              <w:jc w:val="center"/>
            </w:pPr>
            <w:r>
              <w:rPr>
                <w:b/>
                <w:sz w:val="18"/>
              </w:rPr>
              <w:t>Human</w:t>
            </w:r>
          </w:p>
        </w:tc>
        <w:tc>
          <w:tcPr>
            <w:tcW w:type="dxa" w:w="2880"/>
          </w:tcPr>
          <w:p>
            <w:pPr>
              <w:jc w:val="center"/>
            </w:pPr>
            <w:r>
              <w:rPr>
                <w:b/>
                <w:sz w:val="18"/>
              </w:rPr>
              <w:t>AI</w:t>
            </w:r>
          </w:p>
        </w:tc>
      </w:tr>
      <w:tr>
        <w:tc>
          <w:tcPr>
            <w:tcW w:type="dxa" w:w="2880"/>
          </w:tcPr>
          <w:p>
            <w:pPr>
              <w:jc w:val="center"/>
            </w:pPr>
            <w:r>
              <w:rPr>
                <w:sz w:val="18"/>
              </w:rPr>
              <w:t>Count</w:t>
            </w:r>
          </w:p>
        </w:tc>
        <w:tc>
          <w:tcPr>
            <w:tcW w:type="dxa" w:w="2880"/>
          </w:tcPr>
          <w:p>
            <w:pPr>
              <w:jc w:val="center"/>
            </w:pPr>
            <w:r>
              <w:rPr>
                <w:sz w:val="18"/>
              </w:rPr>
              <w:t>891</w:t>
            </w:r>
          </w:p>
        </w:tc>
        <w:tc>
          <w:tcPr>
            <w:tcW w:type="dxa" w:w="2880"/>
          </w:tcPr>
          <w:p>
            <w:pPr>
              <w:jc w:val="center"/>
            </w:pPr>
            <w:r>
              <w:rPr>
                <w:sz w:val="18"/>
              </w:rPr>
              <w:t>891</w:t>
            </w:r>
          </w:p>
        </w:tc>
      </w:tr>
      <w:tr>
        <w:tc>
          <w:tcPr>
            <w:tcW w:type="dxa" w:w="2880"/>
          </w:tcPr>
          <w:p>
            <w:pPr>
              <w:jc w:val="center"/>
            </w:pPr>
            <w:r>
              <w:rPr>
                <w:sz w:val="18"/>
              </w:rPr>
              <w:t>Mean</w:t>
            </w:r>
          </w:p>
        </w:tc>
        <w:tc>
          <w:tcPr>
            <w:tcW w:type="dxa" w:w="2880"/>
          </w:tcPr>
          <w:p>
            <w:pPr>
              <w:jc w:val="center"/>
            </w:pPr>
            <w:r>
              <w:rPr>
                <w:sz w:val="18"/>
              </w:rPr>
              <w:t>7.59</w:t>
            </w:r>
          </w:p>
        </w:tc>
        <w:tc>
          <w:tcPr>
            <w:tcW w:type="dxa" w:w="2880"/>
          </w:tcPr>
          <w:p>
            <w:pPr>
              <w:jc w:val="center"/>
            </w:pPr>
            <w:r>
              <w:rPr>
                <w:sz w:val="18"/>
              </w:rPr>
              <w:t>8.47</w:t>
            </w:r>
          </w:p>
        </w:tc>
      </w:tr>
      <w:tr>
        <w:tc>
          <w:tcPr>
            <w:tcW w:type="dxa" w:w="2880"/>
          </w:tcPr>
          <w:p>
            <w:pPr>
              <w:jc w:val="center"/>
            </w:pPr>
            <w:r>
              <w:rPr>
                <w:sz w:val="18"/>
              </w:rPr>
              <w:t>SD</w:t>
            </w:r>
          </w:p>
        </w:tc>
        <w:tc>
          <w:tcPr>
            <w:tcW w:type="dxa" w:w="2880"/>
          </w:tcPr>
          <w:p>
            <w:pPr>
              <w:jc w:val="center"/>
            </w:pPr>
            <w:r>
              <w:rPr>
                <w:sz w:val="18"/>
              </w:rPr>
              <w:t>4.11</w:t>
            </w:r>
          </w:p>
        </w:tc>
        <w:tc>
          <w:tcPr>
            <w:tcW w:type="dxa" w:w="2880"/>
          </w:tcPr>
          <w:p>
            <w:pPr>
              <w:jc w:val="center"/>
            </w:pPr>
            <w:r>
              <w:rPr>
                <w:sz w:val="18"/>
              </w:rPr>
              <w:t>3.99</w:t>
            </w:r>
          </w:p>
        </w:tc>
      </w:tr>
      <w:tr>
        <w:tc>
          <w:tcPr>
            <w:tcW w:type="dxa" w:w="2880"/>
          </w:tcPr>
          <w:p>
            <w:pPr>
              <w:jc w:val="center"/>
            </w:pPr>
            <w:r>
              <w:rPr>
                <w:sz w:val="18"/>
              </w:rPr>
              <w:t>Min</w:t>
            </w:r>
          </w:p>
        </w:tc>
        <w:tc>
          <w:tcPr>
            <w:tcW w:type="dxa" w:w="2880"/>
          </w:tcPr>
          <w:p>
            <w:pPr>
              <w:jc w:val="center"/>
            </w:pPr>
            <w:r>
              <w:rPr>
                <w:sz w:val="18"/>
              </w:rPr>
              <w:t>0</w:t>
            </w:r>
          </w:p>
        </w:tc>
        <w:tc>
          <w:tcPr>
            <w:tcW w:type="dxa" w:w="2880"/>
          </w:tcPr>
          <w:p>
            <w:pPr>
              <w:jc w:val="center"/>
            </w:pPr>
            <w:r>
              <w:rPr>
                <w:sz w:val="18"/>
              </w:rPr>
              <w:t>0</w:t>
            </w:r>
          </w:p>
        </w:tc>
      </w:tr>
      <w:tr>
        <w:tc>
          <w:tcPr>
            <w:tcW w:type="dxa" w:w="2880"/>
          </w:tcPr>
          <w:p>
            <w:pPr>
              <w:jc w:val="center"/>
            </w:pPr>
            <w:r>
              <w:rPr>
                <w:sz w:val="18"/>
              </w:rPr>
              <w:t>25th pct</w:t>
            </w:r>
          </w:p>
        </w:tc>
        <w:tc>
          <w:tcPr>
            <w:tcW w:type="dxa" w:w="2880"/>
          </w:tcPr>
          <w:p>
            <w:pPr>
              <w:jc w:val="center"/>
            </w:pPr>
            <w:r>
              <w:rPr>
                <w:sz w:val="18"/>
              </w:rPr>
              <w:t>5</w:t>
            </w:r>
          </w:p>
        </w:tc>
        <w:tc>
          <w:tcPr>
            <w:tcW w:type="dxa" w:w="2880"/>
          </w:tcPr>
          <w:p>
            <w:pPr>
              <w:jc w:val="center"/>
            </w:pPr>
            <w:r>
              <w:rPr>
                <w:sz w:val="18"/>
              </w:rPr>
              <w:t>6</w:t>
            </w:r>
          </w:p>
        </w:tc>
      </w:tr>
      <w:tr>
        <w:tc>
          <w:tcPr>
            <w:tcW w:type="dxa" w:w="2880"/>
          </w:tcPr>
          <w:p>
            <w:pPr>
              <w:jc w:val="center"/>
            </w:pPr>
            <w:r>
              <w:rPr>
                <w:sz w:val="18"/>
              </w:rPr>
              <w:t>Median</w:t>
            </w:r>
          </w:p>
        </w:tc>
        <w:tc>
          <w:tcPr>
            <w:tcW w:type="dxa" w:w="2880"/>
          </w:tcPr>
          <w:p>
            <w:pPr>
              <w:jc w:val="center"/>
            </w:pPr>
            <w:r>
              <w:rPr>
                <w:sz w:val="18"/>
              </w:rPr>
              <w:t>6</w:t>
            </w:r>
          </w:p>
        </w:tc>
        <w:tc>
          <w:tcPr>
            <w:tcW w:type="dxa" w:w="2880"/>
          </w:tcPr>
          <w:p>
            <w:pPr>
              <w:jc w:val="center"/>
            </w:pPr>
            <w:r>
              <w:rPr>
                <w:sz w:val="18"/>
              </w:rPr>
              <w:t>7</w:t>
            </w:r>
          </w:p>
        </w:tc>
      </w:tr>
      <w:tr>
        <w:tc>
          <w:tcPr>
            <w:tcW w:type="dxa" w:w="2880"/>
          </w:tcPr>
          <w:p>
            <w:pPr>
              <w:jc w:val="center"/>
            </w:pPr>
            <w:r>
              <w:rPr>
                <w:sz w:val="18"/>
              </w:rPr>
              <w:t>75th pct</w:t>
            </w:r>
          </w:p>
        </w:tc>
        <w:tc>
          <w:tcPr>
            <w:tcW w:type="dxa" w:w="2880"/>
          </w:tcPr>
          <w:p>
            <w:pPr>
              <w:jc w:val="center"/>
            </w:pPr>
            <w:r>
              <w:rPr>
                <w:sz w:val="18"/>
              </w:rPr>
              <w:t>11</w:t>
            </w:r>
          </w:p>
        </w:tc>
        <w:tc>
          <w:tcPr>
            <w:tcW w:type="dxa" w:w="2880"/>
          </w:tcPr>
          <w:p>
            <w:pPr>
              <w:jc w:val="center"/>
            </w:pPr>
            <w:r>
              <w:rPr>
                <w:sz w:val="18"/>
              </w:rPr>
              <w:t>13</w:t>
            </w:r>
          </w:p>
        </w:tc>
      </w:tr>
      <w:tr>
        <w:tc>
          <w:tcPr>
            <w:tcW w:type="dxa" w:w="2880"/>
          </w:tcPr>
          <w:p>
            <w:pPr>
              <w:jc w:val="center"/>
            </w:pPr>
            <w:r>
              <w:rPr>
                <w:sz w:val="18"/>
              </w:rPr>
              <w:t>Max</w:t>
            </w:r>
          </w:p>
        </w:tc>
        <w:tc>
          <w:tcPr>
            <w:tcW w:type="dxa" w:w="2880"/>
          </w:tcPr>
          <w:p>
            <w:pPr>
              <w:jc w:val="center"/>
            </w:pPr>
            <w:r>
              <w:rPr>
                <w:sz w:val="18"/>
              </w:rPr>
              <w:t>15</w:t>
            </w:r>
          </w:p>
        </w:tc>
        <w:tc>
          <w:tcPr>
            <w:tcW w:type="dxa" w:w="2880"/>
          </w:tcPr>
          <w:p>
            <w:pPr>
              <w:jc w:val="center"/>
            </w:pPr>
            <w:r>
              <w:rPr>
                <w:sz w:val="18"/>
              </w:rPr>
              <w:t>15</w:t>
            </w:r>
          </w:p>
        </w:tc>
      </w:tr>
    </w:tbl>
    <w:p>
      <w:pPr>
        <w:pStyle w:val="Heading1"/>
      </w:pPr>
      <w:r>
        <w:t>3. AI vs Human Score Comparison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pPr>
              <w:jc w:val="center"/>
            </w:pPr>
            <w:r>
              <w:rPr>
                <w:sz w:val="18"/>
              </w:rPr>
              <w:t>Pearson r (human vs AI)</w:t>
            </w:r>
          </w:p>
        </w:tc>
        <w:tc>
          <w:tcPr>
            <w:tcW w:type="dxa" w:w="4320"/>
          </w:tcPr>
          <w:p>
            <w:pPr>
              <w:jc w:val="center"/>
            </w:pPr>
            <w:r>
              <w:rPr>
                <w:sz w:val="18"/>
              </w:rPr>
              <w:t>0.92 (p &lt; 0.0001, n=891)</w:t>
            </w:r>
          </w:p>
        </w:tc>
      </w:tr>
      <w:tr>
        <w:tc>
          <w:tcPr>
            <w:tcW w:type="dxa" w:w="4320"/>
          </w:tcPr>
          <w:p>
            <w:pPr>
              <w:jc w:val="center"/>
            </w:pPr>
            <w:r>
              <w:rPr>
                <w:sz w:val="18"/>
              </w:rPr>
              <w:t>Mean difference (AI − Human)</w:t>
            </w:r>
          </w:p>
        </w:tc>
        <w:tc>
          <w:tcPr>
            <w:tcW w:type="dxa" w:w="4320"/>
          </w:tcPr>
          <w:p>
            <w:pPr>
              <w:jc w:val="center"/>
            </w:pPr>
            <w:r>
              <w:rPr>
                <w:sz w:val="18"/>
              </w:rPr>
              <w:t>0.89</w:t>
            </w:r>
          </w:p>
        </w:tc>
      </w:tr>
      <w:tr>
        <w:tc>
          <w:tcPr>
            <w:tcW w:type="dxa" w:w="4320"/>
          </w:tcPr>
          <w:p>
            <w:pPr>
              <w:jc w:val="center"/>
            </w:pPr>
            <w:r>
              <w:rPr>
                <w:sz w:val="18"/>
              </w:rPr>
              <w:t>SD of difference</w:t>
            </w:r>
          </w:p>
        </w:tc>
        <w:tc>
          <w:tcPr>
            <w:tcW w:type="dxa" w:w="4320"/>
          </w:tcPr>
          <w:p>
            <w:pPr>
              <w:jc w:val="center"/>
            </w:pPr>
            <w:r>
              <w:rPr>
                <w:sz w:val="18"/>
              </w:rPr>
              <w:t>1.58</w:t>
            </w:r>
          </w:p>
        </w:tc>
      </w:tr>
      <w:tr>
        <w:tc>
          <w:tcPr>
            <w:tcW w:type="dxa" w:w="4320"/>
          </w:tcPr>
          <w:p>
            <w:pPr>
              <w:jc w:val="center"/>
            </w:pPr>
            <w:r>
              <w:rPr>
                <w:sz w:val="18"/>
              </w:rPr>
              <w:t>Mean absolute difference</w:t>
            </w:r>
          </w:p>
        </w:tc>
        <w:tc>
          <w:tcPr>
            <w:tcW w:type="dxa" w:w="4320"/>
          </w:tcPr>
          <w:p>
            <w:pPr>
              <w:jc w:val="center"/>
            </w:pPr>
            <w:r>
              <w:rPr>
                <w:sz w:val="18"/>
              </w:rPr>
              <w:t>1.12</w:t>
            </w:r>
          </w:p>
        </w:tc>
      </w:tr>
      <w:tr>
        <w:tc>
          <w:tcPr>
            <w:tcW w:type="dxa" w:w="4320"/>
          </w:tcPr>
          <w:p>
            <w:pPr>
              <w:jc w:val="center"/>
            </w:pPr>
            <w:r>
              <w:rPr>
                <w:sz w:val="18"/>
              </w:rPr>
              <w:t>Bias direction</w:t>
            </w:r>
          </w:p>
        </w:tc>
        <w:tc>
          <w:tcPr>
            <w:tcW w:type="dxa" w:w="4320"/>
          </w:tcPr>
          <w:p>
            <w:pPr>
              <w:jc w:val="center"/>
            </w:pPr>
            <w:r>
              <w:rPr>
                <w:sz w:val="18"/>
              </w:rPr>
              <w:t>AI scores lower than humans</w:t>
            </w:r>
          </w:p>
        </w:tc>
      </w:tr>
    </w:tbl>
    <w:p/>
    <w:p>
      <w:r>
        <w:t>AI scores are consistently 0.89 points lower than human scores (SD = 1.58). The correlation of r = 0.925 indicates the AI captures the relative ordering of students reasonably well, but its absolute scores are miscalibrated downward.</w:t>
      </w:r>
    </w:p>
    <w:p>
      <w:pPr>
        <w:pStyle w:val="Heading1"/>
      </w:pPr>
      <w:r>
        <w:t>4. Pre / Post Comparison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Period</w:t>
            </w:r>
          </w:p>
        </w:tc>
        <w:tc>
          <w:tcPr>
            <w:tcW w:type="dxa" w:w="2880"/>
          </w:tcPr>
          <w:p>
            <w:pPr>
              <w:jc w:val="center"/>
            </w:pPr>
            <w:r>
              <w:rPr>
                <w:b/>
                <w:sz w:val="18"/>
              </w:rPr>
              <w:t>Human Mean Words Correct</w:t>
            </w:r>
          </w:p>
        </w:tc>
        <w:tc>
          <w:tcPr>
            <w:tcW w:type="dxa" w:w="2880"/>
          </w:tcPr>
          <w:p>
            <w:pPr>
              <w:jc w:val="center"/>
            </w:pPr>
            <w:r>
              <w:rPr>
                <w:b/>
                <w:sz w:val="18"/>
              </w:rPr>
              <w:t>AI Mean Words Correct</w:t>
            </w:r>
          </w:p>
        </w:tc>
      </w:tr>
      <w:tr>
        <w:tc>
          <w:tcPr>
            <w:tcW w:type="dxa" w:w="2880"/>
          </w:tcPr>
          <w:p>
            <w:pPr>
              <w:jc w:val="center"/>
            </w:pPr>
            <w:r>
              <w:rPr>
                <w:sz w:val="18"/>
              </w:rPr>
              <w:t>Post</w:t>
            </w:r>
          </w:p>
        </w:tc>
        <w:tc>
          <w:tcPr>
            <w:tcW w:type="dxa" w:w="2880"/>
          </w:tcPr>
          <w:p>
            <w:pPr>
              <w:jc w:val="center"/>
            </w:pPr>
            <w:r>
              <w:rPr>
                <w:sz w:val="18"/>
              </w:rPr>
              <w:t>7.81</w:t>
            </w:r>
          </w:p>
        </w:tc>
        <w:tc>
          <w:tcPr>
            <w:tcW w:type="dxa" w:w="2880"/>
          </w:tcPr>
          <w:p>
            <w:pPr>
              <w:jc w:val="center"/>
            </w:pPr>
            <w:r>
              <w:rPr>
                <w:sz w:val="18"/>
              </w:rPr>
              <w:t>8.72</w:t>
            </w:r>
          </w:p>
        </w:tc>
      </w:tr>
      <w:tr>
        <w:tc>
          <w:tcPr>
            <w:tcW w:type="dxa" w:w="2880"/>
          </w:tcPr>
          <w:p>
            <w:pPr>
              <w:jc w:val="center"/>
            </w:pPr>
            <w:r>
              <w:rPr>
                <w:sz w:val="18"/>
              </w:rPr>
              <w:t>Pre</w:t>
            </w:r>
          </w:p>
        </w:tc>
        <w:tc>
          <w:tcPr>
            <w:tcW w:type="dxa" w:w="2880"/>
          </w:tcPr>
          <w:p>
            <w:pPr>
              <w:jc w:val="center"/>
            </w:pPr>
            <w:r>
              <w:rPr>
                <w:sz w:val="18"/>
              </w:rPr>
              <w:t>7.35</w:t>
            </w:r>
          </w:p>
        </w:tc>
        <w:tc>
          <w:tcPr>
            <w:tcW w:type="dxa" w:w="2880"/>
          </w:tcPr>
          <w:p>
            <w:pPr>
              <w:jc w:val="center"/>
            </w:pPr>
            <w:r>
              <w:rPr>
                <w:sz w:val="18"/>
              </w:rPr>
              <w:t>8.22</w:t>
            </w:r>
          </w:p>
        </w:tc>
      </w:tr>
      <w:tr>
        <w:tc>
          <w:tcPr>
            <w:tcW w:type="dxa" w:w="2880"/>
          </w:tcPr>
          <w:p>
            <w:pPr>
              <w:jc w:val="center"/>
            </w:pPr>
            <w:r>
              <w:rPr>
                <w:sz w:val="18"/>
              </w:rPr>
              <w:t>Change (Δ)</w:t>
            </w:r>
          </w:p>
        </w:tc>
        <w:tc>
          <w:tcPr>
            <w:tcW w:type="dxa" w:w="2880"/>
          </w:tcPr>
          <w:p>
            <w:pPr>
              <w:jc w:val="center"/>
            </w:pPr>
            <w:r>
              <w:rPr>
                <w:sz w:val="18"/>
              </w:rPr>
              <w:t>+0.46</w:t>
            </w:r>
          </w:p>
        </w:tc>
        <w:tc>
          <w:tcPr>
            <w:tcW w:type="dxa" w:w="2880"/>
          </w:tcPr>
          <w:p>
            <w:pPr>
              <w:jc w:val="center"/>
            </w:pPr>
            <w:r>
              <w:rPr>
                <w:sz w:val="18"/>
              </w:rPr>
              <w:t>+0.50</w:t>
            </w:r>
          </w:p>
        </w:tc>
      </w:tr>
    </w:tbl>
    <w:p/>
    <w:p>
      <w:r>
        <w:t>Both human (+0.46) and AI (+0.50) scores are higher in post-assessments, consistent with learning gains across the intervention period.</w:t>
      </w:r>
    </w:p>
    <w:p>
      <w:pPr>
        <w:pStyle w:val="Heading1"/>
      </w:pPr>
      <w:r>
        <w:t>5. Pair-wise Grader Correlations</w:t>
      </w:r>
    </w:p>
    <w:p>
      <w:r>
        <w:t>Pearson correlations computed on shared audio files. NaN = fewer than 3 shared files (insufficient for a meaningful correlation). Diagonal = self-correlation (1.00).</w:t>
      </w:r>
    </w:p>
    <w:p>
      <w:pPr>
        <w:jc w:val="center"/>
      </w:pPr>
      <w:r>
        <w:drawing>
          <wp:inline xmlns:a="http://schemas.openxmlformats.org/drawingml/2006/main" xmlns:pic="http://schemas.openxmlformats.org/drawingml/2006/picture">
            <wp:extent cx="5029200" cy="4436939"/>
            <wp:docPr id="1" name="Picture 1"/>
            <wp:cNvGraphicFramePr>
              <a:graphicFrameLocks noChangeAspect="1"/>
            </wp:cNvGraphicFramePr>
            <a:graphic>
              <a:graphicData uri="http://schemas.openxmlformats.org/drawingml/2006/picture">
                <pic:pic>
                  <pic:nvPicPr>
                    <pic:cNvPr id="0" name="v2_pairwise_correlation_heatmap.png"/>
                    <pic:cNvPicPr/>
                  </pic:nvPicPr>
                  <pic:blipFill>
                    <a:blip r:embed="rId9"/>
                    <a:stretch>
                      <a:fillRect/>
                    </a:stretch>
                  </pic:blipFill>
                  <pic:spPr>
                    <a:xfrm>
                      <a:off x="0" y="0"/>
                      <a:ext cx="5029200" cy="4436939"/>
                    </a:xfrm>
                    <a:prstGeom prst="rect"/>
                  </pic:spPr>
                </pic:pic>
              </a:graphicData>
            </a:graphic>
          </wp:inline>
        </w:drawing>
      </w:r>
    </w:p>
    <w:p>
      <w:pPr>
        <w:jc w:val="center"/>
      </w:pPr>
      <w:r>
        <w:t>Figure 1: Pair-wise Pearson correlation heatmap (blue = low, yellow = high)</w:t>
      </w:r>
    </w:p>
    <w:p/>
    <w:p>
      <w:pPr>
        <w:jc w:val="center"/>
      </w:pPr>
      <w:r>
        <w:drawing>
          <wp:inline xmlns:a="http://schemas.openxmlformats.org/drawingml/2006/main" xmlns:pic="http://schemas.openxmlformats.org/drawingml/2006/picture">
            <wp:extent cx="5029200" cy="4866774"/>
            <wp:docPr id="2" name="Picture 2"/>
            <wp:cNvGraphicFramePr>
              <a:graphicFrameLocks noChangeAspect="1"/>
            </wp:cNvGraphicFramePr>
            <a:graphic>
              <a:graphicData uri="http://schemas.openxmlformats.org/drawingml/2006/picture">
                <pic:pic>
                  <pic:nvPicPr>
                    <pic:cNvPr id="0" name="v2_reliable_graders_heatmap.png"/>
                    <pic:cNvPicPr/>
                  </pic:nvPicPr>
                  <pic:blipFill>
                    <a:blip r:embed="rId10"/>
                    <a:stretch>
                      <a:fillRect/>
                    </a:stretch>
                  </pic:blipFill>
                  <pic:spPr>
                    <a:xfrm>
                      <a:off x="0" y="0"/>
                      <a:ext cx="5029200" cy="4866774"/>
                    </a:xfrm>
                    <a:prstGeom prst="rect"/>
                  </pic:spPr>
                </pic:pic>
              </a:graphicData>
            </a:graphic>
          </wp:inline>
        </w:drawing>
      </w:r>
    </w:p>
    <w:p>
      <w:pPr>
        <w:jc w:val="center"/>
      </w:pPr>
      <w:r>
        <w:t>Figure 2: Pair-wise Pearson correlation — reliable graders only (&gt;97% completion)</w:t>
      </w:r>
    </w:p>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Pr>
                <w:b/>
                <w:sz w:val="18"/>
              </w:rPr>
            </w:r>
          </w:p>
        </w:tc>
        <w:tc>
          <w:tcPr>
            <w:tcW w:type="dxa" w:w="864"/>
          </w:tcPr>
          <w:p>
            <w:pPr>
              <w:jc w:val="center"/>
            </w:pPr>
            <w:r>
              <w:rPr>
                <w:b/>
                <w:sz w:val="18"/>
              </w:rPr>
              <w:t>Abdullah</w:t>
            </w:r>
          </w:p>
        </w:tc>
        <w:tc>
          <w:tcPr>
            <w:tcW w:type="dxa" w:w="864"/>
          </w:tcPr>
          <w:p>
            <w:pPr>
              <w:jc w:val="center"/>
            </w:pPr>
            <w:r>
              <w:rPr>
                <w:b/>
                <w:sz w:val="18"/>
              </w:rPr>
              <w:t>Ali</w:t>
            </w:r>
          </w:p>
        </w:tc>
        <w:tc>
          <w:tcPr>
            <w:tcW w:type="dxa" w:w="864"/>
          </w:tcPr>
          <w:p>
            <w:pPr>
              <w:jc w:val="center"/>
            </w:pPr>
            <w:r>
              <w:rPr>
                <w:b/>
                <w:sz w:val="18"/>
              </w:rPr>
              <w:t>Amna</w:t>
            </w:r>
          </w:p>
        </w:tc>
        <w:tc>
          <w:tcPr>
            <w:tcW w:type="dxa" w:w="864"/>
          </w:tcPr>
          <w:p>
            <w:pPr>
              <w:jc w:val="center"/>
            </w:pPr>
            <w:r>
              <w:rPr>
                <w:b/>
                <w:sz w:val="18"/>
              </w:rPr>
              <w:t>Dania</w:t>
            </w:r>
          </w:p>
        </w:tc>
        <w:tc>
          <w:tcPr>
            <w:tcW w:type="dxa" w:w="864"/>
          </w:tcPr>
          <w:p>
            <w:pPr>
              <w:jc w:val="center"/>
            </w:pPr>
            <w:r>
              <w:rPr>
                <w:b/>
                <w:sz w:val="18"/>
              </w:rPr>
              <w:t>Rehma</w:t>
            </w:r>
          </w:p>
        </w:tc>
        <w:tc>
          <w:tcPr>
            <w:tcW w:type="dxa" w:w="864"/>
          </w:tcPr>
          <w:p>
            <w:pPr>
              <w:jc w:val="center"/>
            </w:pPr>
            <w:r>
              <w:rPr>
                <w:b/>
                <w:sz w:val="18"/>
              </w:rPr>
              <w:t>Rukhshan</w:t>
            </w:r>
          </w:p>
        </w:tc>
        <w:tc>
          <w:tcPr>
            <w:tcW w:type="dxa" w:w="864"/>
          </w:tcPr>
          <w:p>
            <w:pPr>
              <w:jc w:val="center"/>
            </w:pPr>
            <w:r>
              <w:rPr>
                <w:b/>
                <w:sz w:val="18"/>
              </w:rPr>
              <w:t>Salman</w:t>
            </w:r>
          </w:p>
        </w:tc>
        <w:tc>
          <w:tcPr>
            <w:tcW w:type="dxa" w:w="864"/>
          </w:tcPr>
          <w:p>
            <w:pPr>
              <w:jc w:val="center"/>
            </w:pPr>
            <w:r>
              <w:rPr>
                <w:b/>
                <w:sz w:val="18"/>
              </w:rPr>
              <w:t>Semal</w:t>
            </w:r>
          </w:p>
        </w:tc>
        <w:tc>
          <w:tcPr>
            <w:tcW w:type="dxa" w:w="864"/>
          </w:tcPr>
          <w:p>
            <w:pPr>
              <w:jc w:val="center"/>
            </w:pPr>
            <w:r>
              <w:rPr>
                <w:b/>
                <w:sz w:val="18"/>
              </w:rPr>
              <w:t>AI</w:t>
            </w:r>
          </w:p>
        </w:tc>
      </w:tr>
      <w:tr>
        <w:tc>
          <w:tcPr>
            <w:tcW w:type="dxa" w:w="864"/>
          </w:tcPr>
          <w:p>
            <w:pPr>
              <w:jc w:val="center"/>
            </w:pPr>
            <w:r>
              <w:rPr>
                <w:sz w:val="18"/>
              </w:rPr>
              <w:t>Abdullah</w:t>
            </w:r>
          </w:p>
        </w:tc>
        <w:tc>
          <w:tcPr>
            <w:tcW w:type="dxa" w:w="864"/>
          </w:tcPr>
          <w:p>
            <w:pPr>
              <w:jc w:val="center"/>
            </w:pPr>
            <w:r>
              <w:rPr>
                <w:sz w:val="18"/>
              </w:rPr>
              <w:t>1.00</w:t>
            </w:r>
          </w:p>
        </w:tc>
        <w:tc>
          <w:tcPr>
            <w:tcW w:type="dxa" w:w="864"/>
          </w:tcPr>
          <w:p>
            <w:pPr>
              <w:jc w:val="center"/>
            </w:pPr>
            <w:r>
              <w:rPr>
                <w:sz w:val="18"/>
              </w:rPr>
              <w:t>— (n=0)</w:t>
            </w:r>
          </w:p>
        </w:tc>
        <w:tc>
          <w:tcPr>
            <w:tcW w:type="dxa" w:w="864"/>
          </w:tcPr>
          <w:p>
            <w:pPr>
              <w:jc w:val="center"/>
            </w:pPr>
            <w:r>
              <w:rPr>
                <w:sz w:val="18"/>
              </w:rPr>
              <w:t>1.00 (n=3)</w:t>
            </w:r>
          </w:p>
        </w:tc>
        <w:tc>
          <w:tcPr>
            <w:tcW w:type="dxa" w:w="864"/>
          </w:tcPr>
          <w:p>
            <w:pPr>
              <w:jc w:val="center"/>
            </w:pPr>
            <w:r>
              <w:rPr>
                <w:sz w:val="18"/>
              </w:rPr>
              <w:t>— (n=2)</w:t>
            </w:r>
          </w:p>
        </w:tc>
        <w:tc>
          <w:tcPr>
            <w:tcW w:type="dxa" w:w="864"/>
          </w:tcPr>
          <w:p>
            <w:pPr>
              <w:jc w:val="center"/>
            </w:pPr>
            <w:r>
              <w:rPr>
                <w:sz w:val="18"/>
              </w:rPr>
              <w:t>— (n=2)</w:t>
            </w:r>
          </w:p>
        </w:tc>
        <w:tc>
          <w:tcPr>
            <w:tcW w:type="dxa" w:w="864"/>
          </w:tcPr>
          <w:p>
            <w:pPr>
              <w:jc w:val="center"/>
            </w:pPr>
            <w:r>
              <w:rPr>
                <w:sz w:val="18"/>
              </w:rPr>
              <w:t>— (n=2)</w:t>
            </w:r>
          </w:p>
        </w:tc>
        <w:tc>
          <w:tcPr>
            <w:tcW w:type="dxa" w:w="864"/>
          </w:tcPr>
          <w:p>
            <w:pPr>
              <w:jc w:val="center"/>
            </w:pPr>
            <w:r>
              <w:rPr>
                <w:sz w:val="18"/>
              </w:rPr>
              <w:t>— (n=0)</w:t>
            </w:r>
          </w:p>
        </w:tc>
        <w:tc>
          <w:tcPr>
            <w:tcW w:type="dxa" w:w="864"/>
          </w:tcPr>
          <w:p>
            <w:pPr>
              <w:jc w:val="center"/>
            </w:pPr>
            <w:r>
              <w:rPr>
                <w:sz w:val="18"/>
              </w:rPr>
              <w:t>0.76 (n=3)</w:t>
            </w:r>
          </w:p>
        </w:tc>
        <w:tc>
          <w:tcPr>
            <w:tcW w:type="dxa" w:w="864"/>
          </w:tcPr>
          <w:p>
            <w:pPr>
              <w:jc w:val="center"/>
            </w:pPr>
            <w:r>
              <w:rPr>
                <w:sz w:val="18"/>
              </w:rPr>
              <w:t>0.94 (n=18)</w:t>
            </w:r>
          </w:p>
        </w:tc>
      </w:tr>
      <w:tr>
        <w:tc>
          <w:tcPr>
            <w:tcW w:type="dxa" w:w="864"/>
          </w:tcPr>
          <w:p>
            <w:pPr>
              <w:jc w:val="center"/>
            </w:pPr>
            <w:r>
              <w:rPr>
                <w:sz w:val="18"/>
              </w:rPr>
              <w:t>Ali</w:t>
            </w:r>
          </w:p>
        </w:tc>
        <w:tc>
          <w:tcPr>
            <w:tcW w:type="dxa" w:w="864"/>
          </w:tcPr>
          <w:p>
            <w:pPr>
              <w:jc w:val="center"/>
            </w:pPr>
            <w:r>
              <w:rPr>
                <w:sz w:val="18"/>
              </w:rPr>
              <w:t>— (n=0)</w:t>
            </w:r>
          </w:p>
        </w:tc>
        <w:tc>
          <w:tcPr>
            <w:tcW w:type="dxa" w:w="864"/>
          </w:tcPr>
          <w:p>
            <w:pPr>
              <w:jc w:val="center"/>
            </w:pPr>
            <w:r>
              <w:rPr>
                <w:sz w:val="18"/>
              </w:rPr>
              <w:t>1.00</w:t>
            </w:r>
          </w:p>
        </w:tc>
        <w:tc>
          <w:tcPr>
            <w:tcW w:type="dxa" w:w="864"/>
          </w:tcPr>
          <w:p>
            <w:pPr>
              <w:jc w:val="center"/>
            </w:pPr>
            <w:r>
              <w:rPr>
                <w:sz w:val="18"/>
              </w:rPr>
              <w:t>1.00 (n=10)</w:t>
            </w:r>
          </w:p>
        </w:tc>
        <w:tc>
          <w:tcPr>
            <w:tcW w:type="dxa" w:w="864"/>
          </w:tcPr>
          <w:p>
            <w:pPr>
              <w:jc w:val="center"/>
            </w:pPr>
            <w:r>
              <w:rPr>
                <w:sz w:val="18"/>
              </w:rPr>
              <w:t>0.91 (n=10)</w:t>
            </w:r>
          </w:p>
        </w:tc>
        <w:tc>
          <w:tcPr>
            <w:tcW w:type="dxa" w:w="864"/>
          </w:tcPr>
          <w:p>
            <w:pPr>
              <w:jc w:val="center"/>
            </w:pPr>
            <w:r>
              <w:rPr>
                <w:sz w:val="18"/>
              </w:rPr>
              <w:t>0.99 (n=9)</w:t>
            </w:r>
          </w:p>
        </w:tc>
        <w:tc>
          <w:tcPr>
            <w:tcW w:type="dxa" w:w="864"/>
          </w:tcPr>
          <w:p>
            <w:pPr>
              <w:jc w:val="center"/>
            </w:pPr>
            <w:r>
              <w:rPr>
                <w:sz w:val="18"/>
              </w:rPr>
              <w:t>0.93 (n=10)</w:t>
            </w:r>
          </w:p>
        </w:tc>
        <w:tc>
          <w:tcPr>
            <w:tcW w:type="dxa" w:w="864"/>
          </w:tcPr>
          <w:p>
            <w:pPr>
              <w:jc w:val="center"/>
            </w:pPr>
            <w:r>
              <w:rPr>
                <w:sz w:val="18"/>
              </w:rPr>
              <w:t>— (n=2)</w:t>
            </w:r>
          </w:p>
        </w:tc>
        <w:tc>
          <w:tcPr>
            <w:tcW w:type="dxa" w:w="864"/>
          </w:tcPr>
          <w:p>
            <w:pPr>
              <w:jc w:val="center"/>
            </w:pPr>
            <w:r>
              <w:rPr>
                <w:sz w:val="18"/>
              </w:rPr>
              <w:t>0.99 (n=8)</w:t>
            </w:r>
          </w:p>
        </w:tc>
        <w:tc>
          <w:tcPr>
            <w:tcW w:type="dxa" w:w="864"/>
          </w:tcPr>
          <w:p>
            <w:pPr>
              <w:jc w:val="center"/>
            </w:pPr>
            <w:r>
              <w:rPr>
                <w:sz w:val="18"/>
              </w:rPr>
              <w:t>0.95 (n=69)</w:t>
            </w:r>
          </w:p>
        </w:tc>
      </w:tr>
      <w:tr>
        <w:tc>
          <w:tcPr>
            <w:tcW w:type="dxa" w:w="864"/>
          </w:tcPr>
          <w:p>
            <w:pPr>
              <w:jc w:val="center"/>
            </w:pPr>
            <w:r>
              <w:rPr>
                <w:sz w:val="18"/>
              </w:rPr>
              <w:t>Amna</w:t>
            </w:r>
          </w:p>
        </w:tc>
        <w:tc>
          <w:tcPr>
            <w:tcW w:type="dxa" w:w="864"/>
          </w:tcPr>
          <w:p>
            <w:pPr>
              <w:jc w:val="center"/>
            </w:pPr>
            <w:r>
              <w:rPr>
                <w:sz w:val="18"/>
              </w:rPr>
              <w:t>1.00 (n=3)</w:t>
            </w:r>
          </w:p>
        </w:tc>
        <w:tc>
          <w:tcPr>
            <w:tcW w:type="dxa" w:w="864"/>
          </w:tcPr>
          <w:p>
            <w:pPr>
              <w:jc w:val="center"/>
            </w:pPr>
            <w:r>
              <w:rPr>
                <w:sz w:val="18"/>
              </w:rPr>
              <w:t>1.00 (n=10)</w:t>
            </w:r>
          </w:p>
        </w:tc>
        <w:tc>
          <w:tcPr>
            <w:tcW w:type="dxa" w:w="864"/>
          </w:tcPr>
          <w:p>
            <w:pPr>
              <w:jc w:val="center"/>
            </w:pPr>
            <w:r>
              <w:rPr>
                <w:sz w:val="18"/>
              </w:rPr>
              <w:t>1.00</w:t>
            </w:r>
          </w:p>
        </w:tc>
        <w:tc>
          <w:tcPr>
            <w:tcW w:type="dxa" w:w="864"/>
          </w:tcPr>
          <w:p>
            <w:pPr>
              <w:jc w:val="center"/>
            </w:pPr>
            <w:r>
              <w:rPr>
                <w:sz w:val="18"/>
              </w:rPr>
              <w:t>0.58 (n=13)</w:t>
            </w:r>
          </w:p>
        </w:tc>
        <w:tc>
          <w:tcPr>
            <w:tcW w:type="dxa" w:w="864"/>
          </w:tcPr>
          <w:p>
            <w:pPr>
              <w:jc w:val="center"/>
            </w:pPr>
            <w:r>
              <w:rPr>
                <w:sz w:val="18"/>
              </w:rPr>
              <w:t>0.97 (n=20)</w:t>
            </w:r>
          </w:p>
        </w:tc>
        <w:tc>
          <w:tcPr>
            <w:tcW w:type="dxa" w:w="864"/>
          </w:tcPr>
          <w:p>
            <w:pPr>
              <w:jc w:val="center"/>
            </w:pPr>
            <w:r>
              <w:rPr>
                <w:sz w:val="18"/>
              </w:rPr>
              <w:t>0.87 (n=12)</w:t>
            </w:r>
          </w:p>
        </w:tc>
        <w:tc>
          <w:tcPr>
            <w:tcW w:type="dxa" w:w="864"/>
          </w:tcPr>
          <w:p>
            <w:pPr>
              <w:jc w:val="center"/>
            </w:pPr>
            <w:r>
              <w:rPr>
                <w:sz w:val="18"/>
              </w:rPr>
              <w:t>0.98 (n=8)</w:t>
            </w:r>
          </w:p>
        </w:tc>
        <w:tc>
          <w:tcPr>
            <w:tcW w:type="dxa" w:w="864"/>
          </w:tcPr>
          <w:p>
            <w:pPr>
              <w:jc w:val="center"/>
            </w:pPr>
            <w:r>
              <w:rPr>
                <w:sz w:val="18"/>
              </w:rPr>
              <w:t>0.90 (n=24)</w:t>
            </w:r>
          </w:p>
        </w:tc>
        <w:tc>
          <w:tcPr>
            <w:tcW w:type="dxa" w:w="864"/>
          </w:tcPr>
          <w:p>
            <w:pPr>
              <w:jc w:val="center"/>
            </w:pPr>
            <w:r>
              <w:rPr>
                <w:sz w:val="18"/>
              </w:rPr>
              <w:t>0.96 (n=130)</w:t>
            </w:r>
          </w:p>
        </w:tc>
      </w:tr>
      <w:tr>
        <w:tc>
          <w:tcPr>
            <w:tcW w:type="dxa" w:w="864"/>
          </w:tcPr>
          <w:p>
            <w:pPr>
              <w:jc w:val="center"/>
            </w:pPr>
            <w:r>
              <w:rPr>
                <w:sz w:val="18"/>
              </w:rPr>
              <w:t>Dania</w:t>
            </w:r>
          </w:p>
        </w:tc>
        <w:tc>
          <w:tcPr>
            <w:tcW w:type="dxa" w:w="864"/>
          </w:tcPr>
          <w:p>
            <w:pPr>
              <w:jc w:val="center"/>
            </w:pPr>
            <w:r>
              <w:rPr>
                <w:sz w:val="18"/>
              </w:rPr>
              <w:t>— (n=2)</w:t>
            </w:r>
          </w:p>
        </w:tc>
        <w:tc>
          <w:tcPr>
            <w:tcW w:type="dxa" w:w="864"/>
          </w:tcPr>
          <w:p>
            <w:pPr>
              <w:jc w:val="center"/>
            </w:pPr>
            <w:r>
              <w:rPr>
                <w:sz w:val="18"/>
              </w:rPr>
              <w:t>0.91 (n=10)</w:t>
            </w:r>
          </w:p>
        </w:tc>
        <w:tc>
          <w:tcPr>
            <w:tcW w:type="dxa" w:w="864"/>
          </w:tcPr>
          <w:p>
            <w:pPr>
              <w:jc w:val="center"/>
            </w:pPr>
            <w:r>
              <w:rPr>
                <w:sz w:val="18"/>
              </w:rPr>
              <w:t>0.58 (n=13)</w:t>
            </w:r>
          </w:p>
        </w:tc>
        <w:tc>
          <w:tcPr>
            <w:tcW w:type="dxa" w:w="864"/>
          </w:tcPr>
          <w:p>
            <w:pPr>
              <w:jc w:val="center"/>
            </w:pPr>
            <w:r>
              <w:rPr>
                <w:sz w:val="18"/>
              </w:rPr>
              <w:t>1.00</w:t>
            </w:r>
          </w:p>
        </w:tc>
        <w:tc>
          <w:tcPr>
            <w:tcW w:type="dxa" w:w="864"/>
          </w:tcPr>
          <w:p>
            <w:pPr>
              <w:jc w:val="center"/>
            </w:pPr>
            <w:r>
              <w:rPr>
                <w:sz w:val="18"/>
              </w:rPr>
              <w:t>0.90 (n=19)</w:t>
            </w:r>
          </w:p>
        </w:tc>
        <w:tc>
          <w:tcPr>
            <w:tcW w:type="dxa" w:w="864"/>
          </w:tcPr>
          <w:p>
            <w:pPr>
              <w:jc w:val="center"/>
            </w:pPr>
            <w:r>
              <w:rPr>
                <w:sz w:val="18"/>
              </w:rPr>
              <w:t>0.89 (n=11)</w:t>
            </w:r>
          </w:p>
        </w:tc>
        <w:tc>
          <w:tcPr>
            <w:tcW w:type="dxa" w:w="864"/>
          </w:tcPr>
          <w:p>
            <w:pPr>
              <w:jc w:val="center"/>
            </w:pPr>
            <w:r>
              <w:rPr>
                <w:sz w:val="18"/>
              </w:rPr>
              <w:t>0.99 (n=9)</w:t>
            </w:r>
          </w:p>
        </w:tc>
        <w:tc>
          <w:tcPr>
            <w:tcW w:type="dxa" w:w="864"/>
          </w:tcPr>
          <w:p>
            <w:pPr>
              <w:jc w:val="center"/>
            </w:pPr>
            <w:r>
              <w:rPr>
                <w:sz w:val="18"/>
              </w:rPr>
              <w:t>0.83 (n=22)</w:t>
            </w:r>
          </w:p>
        </w:tc>
        <w:tc>
          <w:tcPr>
            <w:tcW w:type="dxa" w:w="864"/>
          </w:tcPr>
          <w:p>
            <w:pPr>
              <w:jc w:val="center"/>
            </w:pPr>
            <w:r>
              <w:rPr>
                <w:sz w:val="18"/>
              </w:rPr>
              <w:t>0.87 (n=125)</w:t>
            </w:r>
          </w:p>
        </w:tc>
      </w:tr>
      <w:tr>
        <w:tc>
          <w:tcPr>
            <w:tcW w:type="dxa" w:w="864"/>
          </w:tcPr>
          <w:p>
            <w:pPr>
              <w:jc w:val="center"/>
            </w:pPr>
            <w:r>
              <w:rPr>
                <w:sz w:val="18"/>
              </w:rPr>
              <w:t>Rehma</w:t>
            </w:r>
          </w:p>
        </w:tc>
        <w:tc>
          <w:tcPr>
            <w:tcW w:type="dxa" w:w="864"/>
          </w:tcPr>
          <w:p>
            <w:pPr>
              <w:jc w:val="center"/>
            </w:pPr>
            <w:r>
              <w:rPr>
                <w:sz w:val="18"/>
              </w:rPr>
              <w:t>— (n=2)</w:t>
            </w:r>
          </w:p>
        </w:tc>
        <w:tc>
          <w:tcPr>
            <w:tcW w:type="dxa" w:w="864"/>
          </w:tcPr>
          <w:p>
            <w:pPr>
              <w:jc w:val="center"/>
            </w:pPr>
            <w:r>
              <w:rPr>
                <w:sz w:val="18"/>
              </w:rPr>
              <w:t>0.99 (n=9)</w:t>
            </w:r>
          </w:p>
        </w:tc>
        <w:tc>
          <w:tcPr>
            <w:tcW w:type="dxa" w:w="864"/>
          </w:tcPr>
          <w:p>
            <w:pPr>
              <w:jc w:val="center"/>
            </w:pPr>
            <w:r>
              <w:rPr>
                <w:sz w:val="18"/>
              </w:rPr>
              <w:t>0.97 (n=20)</w:t>
            </w:r>
          </w:p>
        </w:tc>
        <w:tc>
          <w:tcPr>
            <w:tcW w:type="dxa" w:w="864"/>
          </w:tcPr>
          <w:p>
            <w:pPr>
              <w:jc w:val="center"/>
            </w:pPr>
            <w:r>
              <w:rPr>
                <w:sz w:val="18"/>
              </w:rPr>
              <w:t>0.90 (n=19)</w:t>
            </w:r>
          </w:p>
        </w:tc>
        <w:tc>
          <w:tcPr>
            <w:tcW w:type="dxa" w:w="864"/>
          </w:tcPr>
          <w:p>
            <w:pPr>
              <w:jc w:val="center"/>
            </w:pPr>
            <w:r>
              <w:rPr>
                <w:sz w:val="18"/>
              </w:rPr>
              <w:t>1.00</w:t>
            </w:r>
          </w:p>
        </w:tc>
        <w:tc>
          <w:tcPr>
            <w:tcW w:type="dxa" w:w="864"/>
          </w:tcPr>
          <w:p>
            <w:pPr>
              <w:jc w:val="center"/>
            </w:pPr>
            <w:r>
              <w:rPr>
                <w:sz w:val="18"/>
              </w:rPr>
              <w:t>0.97 (n=19)</w:t>
            </w:r>
          </w:p>
        </w:tc>
        <w:tc>
          <w:tcPr>
            <w:tcW w:type="dxa" w:w="864"/>
          </w:tcPr>
          <w:p>
            <w:pPr>
              <w:jc w:val="center"/>
            </w:pPr>
            <w:r>
              <w:rPr>
                <w:sz w:val="18"/>
              </w:rPr>
              <w:t>0.79 (n=11)</w:t>
            </w:r>
          </w:p>
        </w:tc>
        <w:tc>
          <w:tcPr>
            <w:tcW w:type="dxa" w:w="864"/>
          </w:tcPr>
          <w:p>
            <w:pPr>
              <w:jc w:val="center"/>
            </w:pPr>
            <w:r>
              <w:rPr>
                <w:sz w:val="18"/>
              </w:rPr>
              <w:t>0.95 (n=27)</w:t>
            </w:r>
          </w:p>
        </w:tc>
        <w:tc>
          <w:tcPr>
            <w:tcW w:type="dxa" w:w="864"/>
          </w:tcPr>
          <w:p>
            <w:pPr>
              <w:jc w:val="center"/>
            </w:pPr>
            <w:r>
              <w:rPr>
                <w:sz w:val="18"/>
              </w:rPr>
              <w:t>0.92 (n=169)</w:t>
            </w:r>
          </w:p>
        </w:tc>
      </w:tr>
      <w:tr>
        <w:tc>
          <w:tcPr>
            <w:tcW w:type="dxa" w:w="864"/>
          </w:tcPr>
          <w:p>
            <w:pPr>
              <w:jc w:val="center"/>
            </w:pPr>
            <w:r>
              <w:rPr>
                <w:sz w:val="18"/>
              </w:rPr>
              <w:t>Rukhshan</w:t>
            </w:r>
          </w:p>
        </w:tc>
        <w:tc>
          <w:tcPr>
            <w:tcW w:type="dxa" w:w="864"/>
          </w:tcPr>
          <w:p>
            <w:pPr>
              <w:jc w:val="center"/>
            </w:pPr>
            <w:r>
              <w:rPr>
                <w:sz w:val="18"/>
              </w:rPr>
              <w:t>— (n=2)</w:t>
            </w:r>
          </w:p>
        </w:tc>
        <w:tc>
          <w:tcPr>
            <w:tcW w:type="dxa" w:w="864"/>
          </w:tcPr>
          <w:p>
            <w:pPr>
              <w:jc w:val="center"/>
            </w:pPr>
            <w:r>
              <w:rPr>
                <w:sz w:val="18"/>
              </w:rPr>
              <w:t>0.93 (n=10)</w:t>
            </w:r>
          </w:p>
        </w:tc>
        <w:tc>
          <w:tcPr>
            <w:tcW w:type="dxa" w:w="864"/>
          </w:tcPr>
          <w:p>
            <w:pPr>
              <w:jc w:val="center"/>
            </w:pPr>
            <w:r>
              <w:rPr>
                <w:sz w:val="18"/>
              </w:rPr>
              <w:t>0.87 (n=12)</w:t>
            </w:r>
          </w:p>
        </w:tc>
        <w:tc>
          <w:tcPr>
            <w:tcW w:type="dxa" w:w="864"/>
          </w:tcPr>
          <w:p>
            <w:pPr>
              <w:jc w:val="center"/>
            </w:pPr>
            <w:r>
              <w:rPr>
                <w:sz w:val="18"/>
              </w:rPr>
              <w:t>0.89 (n=11)</w:t>
            </w:r>
          </w:p>
        </w:tc>
        <w:tc>
          <w:tcPr>
            <w:tcW w:type="dxa" w:w="864"/>
          </w:tcPr>
          <w:p>
            <w:pPr>
              <w:jc w:val="center"/>
            </w:pPr>
            <w:r>
              <w:rPr>
                <w:sz w:val="18"/>
              </w:rPr>
              <w:t>0.97 (n=19)</w:t>
            </w:r>
          </w:p>
        </w:tc>
        <w:tc>
          <w:tcPr>
            <w:tcW w:type="dxa" w:w="864"/>
          </w:tcPr>
          <w:p>
            <w:pPr>
              <w:jc w:val="center"/>
            </w:pPr>
            <w:r>
              <w:rPr>
                <w:sz w:val="18"/>
              </w:rPr>
              <w:t>1.00</w:t>
            </w:r>
          </w:p>
        </w:tc>
        <w:tc>
          <w:tcPr>
            <w:tcW w:type="dxa" w:w="864"/>
          </w:tcPr>
          <w:p>
            <w:pPr>
              <w:jc w:val="center"/>
            </w:pPr>
            <w:r>
              <w:rPr>
                <w:sz w:val="18"/>
              </w:rPr>
              <w:t>0.90 (n=8)</w:t>
            </w:r>
          </w:p>
        </w:tc>
        <w:tc>
          <w:tcPr>
            <w:tcW w:type="dxa" w:w="864"/>
          </w:tcPr>
          <w:p>
            <w:pPr>
              <w:jc w:val="center"/>
            </w:pPr>
            <w:r>
              <w:rPr>
                <w:sz w:val="18"/>
              </w:rPr>
              <w:t>0.96 (n=23)</w:t>
            </w:r>
          </w:p>
        </w:tc>
        <w:tc>
          <w:tcPr>
            <w:tcW w:type="dxa" w:w="864"/>
          </w:tcPr>
          <w:p>
            <w:pPr>
              <w:jc w:val="center"/>
            </w:pPr>
            <w:r>
              <w:rPr>
                <w:sz w:val="18"/>
              </w:rPr>
              <w:t>0.93 (n=121)</w:t>
            </w:r>
          </w:p>
        </w:tc>
      </w:tr>
      <w:tr>
        <w:tc>
          <w:tcPr>
            <w:tcW w:type="dxa" w:w="864"/>
          </w:tcPr>
          <w:p>
            <w:pPr>
              <w:jc w:val="center"/>
            </w:pPr>
            <w:r>
              <w:rPr>
                <w:sz w:val="18"/>
              </w:rPr>
              <w:t>Salman</w:t>
            </w:r>
          </w:p>
        </w:tc>
        <w:tc>
          <w:tcPr>
            <w:tcW w:type="dxa" w:w="864"/>
          </w:tcPr>
          <w:p>
            <w:pPr>
              <w:jc w:val="center"/>
            </w:pPr>
            <w:r>
              <w:rPr>
                <w:sz w:val="18"/>
              </w:rPr>
              <w:t>— (n=0)</w:t>
            </w:r>
          </w:p>
        </w:tc>
        <w:tc>
          <w:tcPr>
            <w:tcW w:type="dxa" w:w="864"/>
          </w:tcPr>
          <w:p>
            <w:pPr>
              <w:jc w:val="center"/>
            </w:pPr>
            <w:r>
              <w:rPr>
                <w:sz w:val="18"/>
              </w:rPr>
              <w:t>— (n=2)</w:t>
            </w:r>
          </w:p>
        </w:tc>
        <w:tc>
          <w:tcPr>
            <w:tcW w:type="dxa" w:w="864"/>
          </w:tcPr>
          <w:p>
            <w:pPr>
              <w:jc w:val="center"/>
            </w:pPr>
            <w:r>
              <w:rPr>
                <w:sz w:val="18"/>
              </w:rPr>
              <w:t>0.98 (n=8)</w:t>
            </w:r>
          </w:p>
        </w:tc>
        <w:tc>
          <w:tcPr>
            <w:tcW w:type="dxa" w:w="864"/>
          </w:tcPr>
          <w:p>
            <w:pPr>
              <w:jc w:val="center"/>
            </w:pPr>
            <w:r>
              <w:rPr>
                <w:sz w:val="18"/>
              </w:rPr>
              <w:t>0.99 (n=9)</w:t>
            </w:r>
          </w:p>
        </w:tc>
        <w:tc>
          <w:tcPr>
            <w:tcW w:type="dxa" w:w="864"/>
          </w:tcPr>
          <w:p>
            <w:pPr>
              <w:jc w:val="center"/>
            </w:pPr>
            <w:r>
              <w:rPr>
                <w:sz w:val="18"/>
              </w:rPr>
              <w:t>0.79 (n=11)</w:t>
            </w:r>
          </w:p>
        </w:tc>
        <w:tc>
          <w:tcPr>
            <w:tcW w:type="dxa" w:w="864"/>
          </w:tcPr>
          <w:p>
            <w:pPr>
              <w:jc w:val="center"/>
            </w:pPr>
            <w:r>
              <w:rPr>
                <w:sz w:val="18"/>
              </w:rPr>
              <w:t>0.90 (n=8)</w:t>
            </w:r>
          </w:p>
        </w:tc>
        <w:tc>
          <w:tcPr>
            <w:tcW w:type="dxa" w:w="864"/>
          </w:tcPr>
          <w:p>
            <w:pPr>
              <w:jc w:val="center"/>
            </w:pPr>
            <w:r>
              <w:rPr>
                <w:sz w:val="18"/>
              </w:rPr>
              <w:t>1.00</w:t>
            </w:r>
          </w:p>
        </w:tc>
        <w:tc>
          <w:tcPr>
            <w:tcW w:type="dxa" w:w="864"/>
          </w:tcPr>
          <w:p>
            <w:pPr>
              <w:jc w:val="center"/>
            </w:pPr>
            <w:r>
              <w:rPr>
                <w:sz w:val="18"/>
              </w:rPr>
              <w:t>0.97 (n=10)</w:t>
            </w:r>
          </w:p>
        </w:tc>
        <w:tc>
          <w:tcPr>
            <w:tcW w:type="dxa" w:w="864"/>
          </w:tcPr>
          <w:p>
            <w:pPr>
              <w:jc w:val="center"/>
            </w:pPr>
            <w:r>
              <w:rPr>
                <w:sz w:val="18"/>
              </w:rPr>
              <w:t>0.97 (n=70)</w:t>
            </w:r>
          </w:p>
        </w:tc>
      </w:tr>
      <w:tr>
        <w:tc>
          <w:tcPr>
            <w:tcW w:type="dxa" w:w="864"/>
          </w:tcPr>
          <w:p>
            <w:pPr>
              <w:jc w:val="center"/>
            </w:pPr>
            <w:r>
              <w:rPr>
                <w:sz w:val="18"/>
              </w:rPr>
              <w:t>Semal</w:t>
            </w:r>
          </w:p>
        </w:tc>
        <w:tc>
          <w:tcPr>
            <w:tcW w:type="dxa" w:w="864"/>
          </w:tcPr>
          <w:p>
            <w:pPr>
              <w:jc w:val="center"/>
            </w:pPr>
            <w:r>
              <w:rPr>
                <w:sz w:val="18"/>
              </w:rPr>
              <w:t>0.76 (n=3)</w:t>
            </w:r>
          </w:p>
        </w:tc>
        <w:tc>
          <w:tcPr>
            <w:tcW w:type="dxa" w:w="864"/>
          </w:tcPr>
          <w:p>
            <w:pPr>
              <w:jc w:val="center"/>
            </w:pPr>
            <w:r>
              <w:rPr>
                <w:sz w:val="18"/>
              </w:rPr>
              <w:t>0.99 (n=8)</w:t>
            </w:r>
          </w:p>
        </w:tc>
        <w:tc>
          <w:tcPr>
            <w:tcW w:type="dxa" w:w="864"/>
          </w:tcPr>
          <w:p>
            <w:pPr>
              <w:jc w:val="center"/>
            </w:pPr>
            <w:r>
              <w:rPr>
                <w:sz w:val="18"/>
              </w:rPr>
              <w:t>0.90 (n=24)</w:t>
            </w:r>
          </w:p>
        </w:tc>
        <w:tc>
          <w:tcPr>
            <w:tcW w:type="dxa" w:w="864"/>
          </w:tcPr>
          <w:p>
            <w:pPr>
              <w:jc w:val="center"/>
            </w:pPr>
            <w:r>
              <w:rPr>
                <w:sz w:val="18"/>
              </w:rPr>
              <w:t>0.83 (n=22)</w:t>
            </w:r>
          </w:p>
        </w:tc>
        <w:tc>
          <w:tcPr>
            <w:tcW w:type="dxa" w:w="864"/>
          </w:tcPr>
          <w:p>
            <w:pPr>
              <w:jc w:val="center"/>
            </w:pPr>
            <w:r>
              <w:rPr>
                <w:sz w:val="18"/>
              </w:rPr>
              <w:t>0.95 (n=27)</w:t>
            </w:r>
          </w:p>
        </w:tc>
        <w:tc>
          <w:tcPr>
            <w:tcW w:type="dxa" w:w="864"/>
          </w:tcPr>
          <w:p>
            <w:pPr>
              <w:jc w:val="center"/>
            </w:pPr>
            <w:r>
              <w:rPr>
                <w:sz w:val="18"/>
              </w:rPr>
              <w:t>0.96 (n=23)</w:t>
            </w:r>
          </w:p>
        </w:tc>
        <w:tc>
          <w:tcPr>
            <w:tcW w:type="dxa" w:w="864"/>
          </w:tcPr>
          <w:p>
            <w:pPr>
              <w:jc w:val="center"/>
            </w:pPr>
            <w:r>
              <w:rPr>
                <w:sz w:val="18"/>
              </w:rPr>
              <w:t>0.97 (n=10)</w:t>
            </w:r>
          </w:p>
        </w:tc>
        <w:tc>
          <w:tcPr>
            <w:tcW w:type="dxa" w:w="864"/>
          </w:tcPr>
          <w:p>
            <w:pPr>
              <w:jc w:val="center"/>
            </w:pPr>
            <w:r>
              <w:rPr>
                <w:sz w:val="18"/>
              </w:rPr>
              <w:t>1.00</w:t>
            </w:r>
          </w:p>
        </w:tc>
        <w:tc>
          <w:tcPr>
            <w:tcW w:type="dxa" w:w="864"/>
          </w:tcPr>
          <w:p>
            <w:pPr>
              <w:jc w:val="center"/>
            </w:pPr>
            <w:r>
              <w:rPr>
                <w:sz w:val="18"/>
              </w:rPr>
              <w:t>0.94 (n=189)</w:t>
            </w:r>
          </w:p>
        </w:tc>
      </w:tr>
      <w:tr>
        <w:tc>
          <w:tcPr>
            <w:tcW w:type="dxa" w:w="864"/>
          </w:tcPr>
          <w:p>
            <w:pPr>
              <w:jc w:val="center"/>
            </w:pPr>
            <w:r>
              <w:rPr>
                <w:sz w:val="18"/>
              </w:rPr>
              <w:t>AI</w:t>
            </w:r>
          </w:p>
        </w:tc>
        <w:tc>
          <w:tcPr>
            <w:tcW w:type="dxa" w:w="864"/>
          </w:tcPr>
          <w:p>
            <w:pPr>
              <w:jc w:val="center"/>
            </w:pPr>
            <w:r>
              <w:rPr>
                <w:sz w:val="18"/>
              </w:rPr>
              <w:t>0.94 (n=18)</w:t>
            </w:r>
          </w:p>
        </w:tc>
        <w:tc>
          <w:tcPr>
            <w:tcW w:type="dxa" w:w="864"/>
          </w:tcPr>
          <w:p>
            <w:pPr>
              <w:jc w:val="center"/>
            </w:pPr>
            <w:r>
              <w:rPr>
                <w:sz w:val="18"/>
              </w:rPr>
              <w:t>0.95 (n=69)</w:t>
            </w:r>
          </w:p>
        </w:tc>
        <w:tc>
          <w:tcPr>
            <w:tcW w:type="dxa" w:w="864"/>
          </w:tcPr>
          <w:p>
            <w:pPr>
              <w:jc w:val="center"/>
            </w:pPr>
            <w:r>
              <w:rPr>
                <w:sz w:val="18"/>
              </w:rPr>
              <w:t>0.96 (n=130)</w:t>
            </w:r>
          </w:p>
        </w:tc>
        <w:tc>
          <w:tcPr>
            <w:tcW w:type="dxa" w:w="864"/>
          </w:tcPr>
          <w:p>
            <w:pPr>
              <w:jc w:val="center"/>
            </w:pPr>
            <w:r>
              <w:rPr>
                <w:sz w:val="18"/>
              </w:rPr>
              <w:t>0.87 (n=125)</w:t>
            </w:r>
          </w:p>
        </w:tc>
        <w:tc>
          <w:tcPr>
            <w:tcW w:type="dxa" w:w="864"/>
          </w:tcPr>
          <w:p>
            <w:pPr>
              <w:jc w:val="center"/>
            </w:pPr>
            <w:r>
              <w:rPr>
                <w:sz w:val="18"/>
              </w:rPr>
              <w:t>0.92 (n=169)</w:t>
            </w:r>
          </w:p>
        </w:tc>
        <w:tc>
          <w:tcPr>
            <w:tcW w:type="dxa" w:w="864"/>
          </w:tcPr>
          <w:p>
            <w:pPr>
              <w:jc w:val="center"/>
            </w:pPr>
            <w:r>
              <w:rPr>
                <w:sz w:val="18"/>
              </w:rPr>
              <w:t>0.93 (n=121)</w:t>
            </w:r>
          </w:p>
        </w:tc>
        <w:tc>
          <w:tcPr>
            <w:tcW w:type="dxa" w:w="864"/>
          </w:tcPr>
          <w:p>
            <w:pPr>
              <w:jc w:val="center"/>
            </w:pPr>
            <w:r>
              <w:rPr>
                <w:sz w:val="18"/>
              </w:rPr>
              <w:t>0.97 (n=70)</w:t>
            </w:r>
          </w:p>
        </w:tc>
        <w:tc>
          <w:tcPr>
            <w:tcW w:type="dxa" w:w="864"/>
          </w:tcPr>
          <w:p>
            <w:pPr>
              <w:jc w:val="center"/>
            </w:pPr>
            <w:r>
              <w:rPr>
                <w:sz w:val="18"/>
              </w:rPr>
              <w:t>0.94 (n=189)</w:t>
            </w:r>
          </w:p>
        </w:tc>
        <w:tc>
          <w:tcPr>
            <w:tcW w:type="dxa" w:w="864"/>
          </w:tcPr>
          <w:p>
            <w:pPr>
              <w:jc w:val="center"/>
            </w:pPr>
            <w:r>
              <w:rPr>
                <w:sz w:val="18"/>
              </w:rPr>
              <w:t>1.00</w:t>
            </w:r>
          </w:p>
        </w:tc>
      </w:tr>
    </w:tbl>
    <w:p/>
    <w:p>
      <w:r>
        <w:t>Most human-human pairs correlate above r = 0.90. Human-AI pairs fall in the 0.61–0.89 range, reflecting the systematic scoring gap documented in Section 3.</w:t>
      </w:r>
    </w:p>
    <w:p>
      <w:pPr>
        <w:pStyle w:val="Heading1"/>
      </w:pPr>
      <w:r>
        <w:t>6. Combined Human Inter-Grader Score</w:t>
      </w:r>
    </w:p>
    <w:p>
      <w:r>
        <w:t>Each of the 297 audio files in this dataset was independently graded by two human raters. The combined human inter-grader score (consensus score) is the average of both graders' word-correct counts for each audio. This consensus score serves as the human gold standard against which AI is benchmarked.</w:t>
      </w:r>
    </w:p>
    <w:p>
      <w:pPr>
        <w:pStyle w:val="Heading2"/>
      </w:pPr>
      <w:r>
        <w:t>Human Inter-Grader Agreement</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pPr>
              <w:jc w:val="center"/>
            </w:pPr>
            <w:r>
              <w:rPr>
                <w:sz w:val="18"/>
              </w:rPr>
              <w:t>Paired audios</w:t>
            </w:r>
          </w:p>
        </w:tc>
        <w:tc>
          <w:tcPr>
            <w:tcW w:type="dxa" w:w="4320"/>
          </w:tcPr>
          <w:p>
            <w:pPr>
              <w:jc w:val="center"/>
            </w:pPr>
            <w:r>
              <w:rPr>
                <w:sz w:val="18"/>
              </w:rPr>
              <w:t>297</w:t>
            </w:r>
          </w:p>
        </w:tc>
      </w:tr>
      <w:tr>
        <w:tc>
          <w:tcPr>
            <w:tcW w:type="dxa" w:w="4320"/>
          </w:tcPr>
          <w:p>
            <w:pPr>
              <w:jc w:val="center"/>
            </w:pPr>
            <w:r>
              <w:rPr>
                <w:sz w:val="18"/>
              </w:rPr>
              <w:t>Pearson r (Grader 1 vs Grader 2)</w:t>
            </w:r>
          </w:p>
        </w:tc>
        <w:tc>
          <w:tcPr>
            <w:tcW w:type="dxa" w:w="4320"/>
          </w:tcPr>
          <w:p>
            <w:pPr>
              <w:jc w:val="center"/>
            </w:pPr>
            <w:r>
              <w:rPr>
                <w:sz w:val="18"/>
              </w:rPr>
              <w:t>0.878 (p &lt; 0.0001)</w:t>
            </w:r>
          </w:p>
        </w:tc>
      </w:tr>
      <w:tr>
        <w:tc>
          <w:tcPr>
            <w:tcW w:type="dxa" w:w="4320"/>
          </w:tcPr>
          <w:p>
            <w:pPr>
              <w:jc w:val="center"/>
            </w:pPr>
            <w:r>
              <w:rPr>
                <w:sz w:val="18"/>
              </w:rPr>
              <w:t>Exact agreement (same word count)</w:t>
            </w:r>
          </w:p>
        </w:tc>
        <w:tc>
          <w:tcPr>
            <w:tcW w:type="dxa" w:w="4320"/>
          </w:tcPr>
          <w:p>
            <w:pPr>
              <w:jc w:val="center"/>
            </w:pPr>
            <w:r>
              <w:rPr>
                <w:sz w:val="18"/>
              </w:rPr>
              <w:t>38.0%</w:t>
            </w:r>
          </w:p>
        </w:tc>
      </w:tr>
      <w:tr>
        <w:tc>
          <w:tcPr>
            <w:tcW w:type="dxa" w:w="4320"/>
          </w:tcPr>
          <w:p>
            <w:pPr>
              <w:jc w:val="center"/>
            </w:pPr>
            <w:r>
              <w:rPr>
                <w:sz w:val="18"/>
              </w:rPr>
              <w:t>Within 1 word</w:t>
            </w:r>
          </w:p>
        </w:tc>
        <w:tc>
          <w:tcPr>
            <w:tcW w:type="dxa" w:w="4320"/>
          </w:tcPr>
          <w:p>
            <w:pPr>
              <w:jc w:val="center"/>
            </w:pPr>
            <w:r>
              <w:rPr>
                <w:sz w:val="18"/>
              </w:rPr>
              <w:t>72.7%</w:t>
            </w:r>
          </w:p>
        </w:tc>
      </w:tr>
      <w:tr>
        <w:tc>
          <w:tcPr>
            <w:tcW w:type="dxa" w:w="4320"/>
          </w:tcPr>
          <w:p>
            <w:pPr>
              <w:jc w:val="center"/>
            </w:pPr>
            <w:r>
              <w:rPr>
                <w:sz w:val="18"/>
              </w:rPr>
              <w:t>Within 2 words</w:t>
            </w:r>
          </w:p>
        </w:tc>
        <w:tc>
          <w:tcPr>
            <w:tcW w:type="dxa" w:w="4320"/>
          </w:tcPr>
          <w:p>
            <w:pPr>
              <w:jc w:val="center"/>
            </w:pPr>
            <w:r>
              <w:rPr>
                <w:sz w:val="18"/>
              </w:rPr>
              <w:t>88.6%</w:t>
            </w:r>
          </w:p>
        </w:tc>
      </w:tr>
      <w:tr>
        <w:tc>
          <w:tcPr>
            <w:tcW w:type="dxa" w:w="4320"/>
          </w:tcPr>
          <w:p>
            <w:pPr>
              <w:jc w:val="center"/>
            </w:pPr>
            <w:r>
              <w:rPr>
                <w:sz w:val="18"/>
              </w:rPr>
              <w:t>Mean absolute difference</w:t>
            </w:r>
          </w:p>
        </w:tc>
        <w:tc>
          <w:tcPr>
            <w:tcW w:type="dxa" w:w="4320"/>
          </w:tcPr>
          <w:p>
            <w:pPr>
              <w:jc w:val="center"/>
            </w:pPr>
            <w:r>
              <w:rPr>
                <w:sz w:val="18"/>
              </w:rPr>
              <w:t>1.20 words</w:t>
            </w:r>
          </w:p>
        </w:tc>
      </w:tr>
      <w:tr>
        <w:tc>
          <w:tcPr>
            <w:tcW w:type="dxa" w:w="4320"/>
          </w:tcPr>
          <w:p>
            <w:pPr>
              <w:jc w:val="center"/>
            </w:pPr>
            <w:r>
              <w:rPr>
                <w:sz w:val="18"/>
              </w:rPr>
              <w:t>Median absolute difference</w:t>
            </w:r>
          </w:p>
        </w:tc>
        <w:tc>
          <w:tcPr>
            <w:tcW w:type="dxa" w:w="4320"/>
          </w:tcPr>
          <w:p>
            <w:pPr>
              <w:jc w:val="center"/>
            </w:pPr>
            <w:r>
              <w:rPr>
                <w:sz w:val="18"/>
              </w:rPr>
              <w:t>1.00 words</w:t>
            </w:r>
          </w:p>
        </w:tc>
      </w:tr>
    </w:tbl>
    <w:p/>
    <w:p>
      <w:r>
        <w:t>Human graders correlate at r = 0.878 and agree exactly 38.0% of the time. When they disagree, the difference is typically small (median 1 word, 88.6% within 2 words). This level of agreement is consistent with published benchmarks for early literacy oral reading assessments, where inter-rater correlations of r = 0.85–0.95 are considered strong.</w:t>
      </w:r>
    </w:p>
    <w:p>
      <w:pPr>
        <w:pStyle w:val="Heading2"/>
      </w:pPr>
      <w:r>
        <w:t>AI vs Human Consensus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pPr>
              <w:jc w:val="center"/>
            </w:pPr>
            <w:r>
              <w:rPr>
                <w:sz w:val="18"/>
              </w:rPr>
              <w:t>Human consensus mean (words correct)</w:t>
            </w:r>
          </w:p>
        </w:tc>
        <w:tc>
          <w:tcPr>
            <w:tcW w:type="dxa" w:w="4320"/>
          </w:tcPr>
          <w:p>
            <w:pPr>
              <w:jc w:val="center"/>
            </w:pPr>
            <w:r>
              <w:rPr>
                <w:sz w:val="18"/>
              </w:rPr>
              <w:t>7.73</w:t>
            </w:r>
          </w:p>
        </w:tc>
      </w:tr>
      <w:tr>
        <w:tc>
          <w:tcPr>
            <w:tcW w:type="dxa" w:w="4320"/>
          </w:tcPr>
          <w:p>
            <w:pPr>
              <w:jc w:val="center"/>
            </w:pPr>
            <w:r>
              <w:rPr>
                <w:sz w:val="18"/>
              </w:rPr>
              <w:t>AI mean (words correct)</w:t>
            </w:r>
          </w:p>
        </w:tc>
        <w:tc>
          <w:tcPr>
            <w:tcW w:type="dxa" w:w="4320"/>
          </w:tcPr>
          <w:p>
            <w:pPr>
              <w:jc w:val="center"/>
            </w:pPr>
            <w:r>
              <w:rPr>
                <w:sz w:val="18"/>
              </w:rPr>
              <w:t>8.63</w:t>
            </w:r>
          </w:p>
        </w:tc>
      </w:tr>
      <w:tr>
        <w:tc>
          <w:tcPr>
            <w:tcW w:type="dxa" w:w="4320"/>
          </w:tcPr>
          <w:p>
            <w:pPr>
              <w:jc w:val="center"/>
            </w:pPr>
            <w:r>
              <w:rPr>
                <w:sz w:val="18"/>
              </w:rPr>
              <w:t>Mean AI deviation from consensus</w:t>
            </w:r>
          </w:p>
        </w:tc>
        <w:tc>
          <w:tcPr>
            <w:tcW w:type="dxa" w:w="4320"/>
          </w:tcPr>
          <w:p>
            <w:pPr>
              <w:jc w:val="center"/>
            </w:pPr>
            <w:r>
              <w:rPr>
                <w:sz w:val="18"/>
              </w:rPr>
              <w:t>0.91</w:t>
            </w:r>
          </w:p>
        </w:tc>
      </w:tr>
      <w:tr>
        <w:tc>
          <w:tcPr>
            <w:tcW w:type="dxa" w:w="4320"/>
          </w:tcPr>
          <w:p>
            <w:pPr>
              <w:jc w:val="center"/>
            </w:pPr>
            <w:r>
              <w:rPr>
                <w:sz w:val="18"/>
              </w:rPr>
              <w:t>Mean absolute deviation</w:t>
            </w:r>
          </w:p>
        </w:tc>
        <w:tc>
          <w:tcPr>
            <w:tcW w:type="dxa" w:w="4320"/>
          </w:tcPr>
          <w:p>
            <w:pPr>
              <w:jc w:val="center"/>
            </w:pPr>
            <w:r>
              <w:rPr>
                <w:sz w:val="18"/>
              </w:rPr>
              <w:t>1.07</w:t>
            </w:r>
          </w:p>
        </w:tc>
      </w:tr>
      <w:tr>
        <w:tc>
          <w:tcPr>
            <w:tcW w:type="dxa" w:w="4320"/>
          </w:tcPr>
          <w:p>
            <w:pPr>
              <w:jc w:val="center"/>
            </w:pPr>
            <w:r>
              <w:rPr>
                <w:sz w:val="18"/>
              </w:rPr>
              <w:t>Pearson r (AI vs consensus)</w:t>
            </w:r>
          </w:p>
        </w:tc>
        <w:tc>
          <w:tcPr>
            <w:tcW w:type="dxa" w:w="4320"/>
          </w:tcPr>
          <w:p>
            <w:pPr>
              <w:jc w:val="center"/>
            </w:pPr>
            <w:r>
              <w:rPr>
                <w:sz w:val="18"/>
              </w:rPr>
              <w:t>0.954</w:t>
            </w:r>
          </w:p>
        </w:tc>
      </w:tr>
    </w:tbl>
    <w:p/>
    <w:p>
      <w:r>
        <w:t>When benchmarked against the human consensus score, AI deviates by 0.91 words on average (scoring lower) with a correlation of r = 0.954. The AI-consensus correlation (0.954) is notably weaker than the human-human correlation (0.878), confirming that AI applies a systematically different — and stricter — scoring standard.</w:t>
      </w:r>
    </w:p>
    <w:p>
      <w:pPr>
        <w:pStyle w:val="Heading1"/>
      </w:pPr>
      <w:r>
        <w:t>7. Word Error Rate (WER) &amp; Industry Benchmarks</w:t>
      </w:r>
    </w:p>
    <w:p>
      <w:pPr>
        <w:pStyle w:val="Heading2"/>
      </w:pPr>
      <w:r>
        <w:t>What is Word Error Rate?</w:t>
      </w:r>
    </w:p>
    <w:p>
      <w:r>
        <w:t>Word Error Rate (WER) is the standard metric for evaluating speech recognition and oral reading assessment accuracy. It measures the proportion of reference words that were not correctly identified. In this context:</w:t>
      </w:r>
    </w:p>
    <w:p>
      <w:pPr>
        <w:pStyle w:val="ListBullet"/>
      </w:pPr>
      <w:r>
        <w:t>WER = (Total Reference Words − Words Scored Correct) / Total Reference Words</w:t>
      </w:r>
    </w:p>
    <w:p>
      <w:pPr>
        <w:pStyle w:val="ListBullet"/>
      </w:pPr>
      <w:r>
        <w:t>A WER of 0% means every word was scored as correct; a WER of 100% means no words were scored as correct. Lower WER indicates better performance. Note: in this dataset, WER reflects scoring accuracy (whether the student's pronunciation was judged correct), not transcription accuracy (whether the system heard the right word).</w:t>
      </w:r>
    </w:p>
    <w:p>
      <w:pPr>
        <w:pStyle w:val="Heading2"/>
      </w:pPr>
      <w:r>
        <w:t>WER Results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Scorer</w:t>
            </w:r>
          </w:p>
        </w:tc>
        <w:tc>
          <w:tcPr>
            <w:tcW w:type="dxa" w:w="4320"/>
          </w:tcPr>
          <w:p>
            <w:pPr>
              <w:jc w:val="center"/>
            </w:pPr>
            <w:r>
              <w:rPr>
                <w:b/>
                <w:sz w:val="18"/>
              </w:rPr>
              <w:t>Mean WER</w:t>
            </w:r>
          </w:p>
        </w:tc>
      </w:tr>
      <w:tr>
        <w:tc>
          <w:tcPr>
            <w:tcW w:type="dxa" w:w="4320"/>
          </w:tcPr>
          <w:p>
            <w:pPr>
              <w:jc w:val="center"/>
            </w:pPr>
            <w:r>
              <w:rPr>
                <w:sz w:val="18"/>
              </w:rPr>
              <w:t>Human Consensus (avg of 2 graders)</w:t>
            </w:r>
          </w:p>
        </w:tc>
        <w:tc>
          <w:tcPr>
            <w:tcW w:type="dxa" w:w="4320"/>
          </w:tcPr>
          <w:p>
            <w:pPr>
              <w:jc w:val="center"/>
            </w:pPr>
            <w:r>
              <w:rPr>
                <w:sz w:val="18"/>
              </w:rPr>
              <w:t>18.4%</w:t>
            </w:r>
          </w:p>
        </w:tc>
      </w:tr>
      <w:tr>
        <w:tc>
          <w:tcPr>
            <w:tcW w:type="dxa" w:w="4320"/>
          </w:tcPr>
          <w:p>
            <w:pPr>
              <w:jc w:val="center"/>
            </w:pPr>
            <w:r>
              <w:rPr>
                <w:sz w:val="18"/>
              </w:rPr>
              <w:t>AI (Azure Pronunciation Assessment)</w:t>
            </w:r>
          </w:p>
        </w:tc>
        <w:tc>
          <w:tcPr>
            <w:tcW w:type="dxa" w:w="4320"/>
          </w:tcPr>
          <w:p>
            <w:pPr>
              <w:jc w:val="center"/>
            </w:pPr>
            <w:r>
              <w:rPr>
                <w:sz w:val="18"/>
              </w:rPr>
              <w:t>7.0%</w:t>
            </w:r>
          </w:p>
        </w:tc>
      </w:tr>
      <w:tr>
        <w:tc>
          <w:tcPr>
            <w:tcW w:type="dxa" w:w="4320"/>
          </w:tcPr>
          <w:p>
            <w:pPr>
              <w:jc w:val="center"/>
            </w:pPr>
            <w:r>
              <w:rPr>
                <w:sz w:val="18"/>
              </w:rPr>
              <w:t>Gap (AI − Human)</w:t>
            </w:r>
          </w:p>
        </w:tc>
        <w:tc>
          <w:tcPr>
            <w:tcW w:type="dxa" w:w="4320"/>
          </w:tcPr>
          <w:p>
            <w:pPr>
              <w:jc w:val="center"/>
            </w:pPr>
            <w:r>
              <w:rPr>
                <w:sz w:val="18"/>
              </w:rPr>
              <w:t>+-11.4 pp</w:t>
            </w:r>
          </w:p>
        </w:tc>
      </w:tr>
    </w:tbl>
    <w:p/>
    <w:p>
      <w:pPr>
        <w:pStyle w:val="Heading2"/>
      </w:pPr>
      <w:r>
        <w:t>Industry Benchmarks</w:t>
      </w:r>
    </w:p>
    <w:p>
      <w:r>
        <w:t>The table below compares our results against published benchmarks for automated oral reading assessment and speech recognition systems: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Benchmark / System</w:t>
            </w:r>
          </w:p>
        </w:tc>
        <w:tc>
          <w:tcPr>
            <w:tcW w:type="dxa" w:w="2880"/>
          </w:tcPr>
          <w:p>
            <w:pPr>
              <w:jc w:val="center"/>
            </w:pPr>
            <w:r>
              <w:rPr>
                <w:b/>
                <w:sz w:val="18"/>
              </w:rPr>
              <w:t>WER / Error Rate</w:t>
            </w:r>
          </w:p>
        </w:tc>
        <w:tc>
          <w:tcPr>
            <w:tcW w:type="dxa" w:w="2880"/>
          </w:tcPr>
          <w:p>
            <w:pPr>
              <w:jc w:val="center"/>
            </w:pPr>
            <w:r>
              <w:rPr>
                <w:b/>
                <w:sz w:val="18"/>
              </w:rPr>
              <w:t>Context</w:t>
            </w:r>
          </w:p>
        </w:tc>
      </w:tr>
      <w:tr>
        <w:tc>
          <w:tcPr>
            <w:tcW w:type="dxa" w:w="2880"/>
          </w:tcPr>
          <w:p>
            <w:pPr>
              <w:jc w:val="center"/>
            </w:pPr>
            <w:r>
              <w:rPr>
                <w:sz w:val="18"/>
              </w:rPr>
              <w:t>This study — Human consensus</w:t>
            </w:r>
          </w:p>
        </w:tc>
        <w:tc>
          <w:tcPr>
            <w:tcW w:type="dxa" w:w="2880"/>
          </w:tcPr>
          <w:p>
            <w:pPr>
              <w:jc w:val="center"/>
            </w:pPr>
            <w:r>
              <w:rPr>
                <w:sz w:val="18"/>
              </w:rPr>
              <w:t>18.4%</w:t>
            </w:r>
          </w:p>
        </w:tc>
        <w:tc>
          <w:tcPr>
            <w:tcW w:type="dxa" w:w="2880"/>
          </w:tcPr>
          <w:p>
            <w:pPr>
              <w:jc w:val="center"/>
            </w:pPr>
            <w:r>
              <w:rPr>
                <w:sz w:val="18"/>
              </w:rPr>
              <w:t>Grade 1, Pakistani English, 2 graders</w:t>
            </w:r>
          </w:p>
        </w:tc>
      </w:tr>
      <w:tr>
        <w:tc>
          <w:tcPr>
            <w:tcW w:type="dxa" w:w="2880"/>
          </w:tcPr>
          <w:p>
            <w:pPr>
              <w:jc w:val="center"/>
            </w:pPr>
            <w:r>
              <w:rPr>
                <w:sz w:val="18"/>
              </w:rPr>
              <w:t>This study — AI (Azure)</w:t>
            </w:r>
          </w:p>
        </w:tc>
        <w:tc>
          <w:tcPr>
            <w:tcW w:type="dxa" w:w="2880"/>
          </w:tcPr>
          <w:p>
            <w:pPr>
              <w:jc w:val="center"/>
            </w:pPr>
            <w:r>
              <w:rPr>
                <w:sz w:val="18"/>
              </w:rPr>
              <w:t>7.0%</w:t>
            </w:r>
          </w:p>
        </w:tc>
        <w:tc>
          <w:tcPr>
            <w:tcW w:type="dxa" w:w="2880"/>
          </w:tcPr>
          <w:p>
            <w:pPr>
              <w:jc w:val="center"/>
            </w:pPr>
            <w:r>
              <w:rPr>
                <w:sz w:val="18"/>
              </w:rPr>
              <w:t>Azure Pronunciation Assessment</w:t>
            </w:r>
          </w:p>
        </w:tc>
      </w:tr>
      <w:tr>
        <w:tc>
          <w:tcPr>
            <w:tcW w:type="dxa" w:w="2880"/>
          </w:tcPr>
          <w:p>
            <w:pPr>
              <w:jc w:val="center"/>
            </w:pPr>
            <w:r>
              <w:rPr>
                <w:sz w:val="18"/>
              </w:rPr>
              <w:t>ASER / Annual Status of Education Report</w:t>
            </w:r>
          </w:p>
        </w:tc>
        <w:tc>
          <w:tcPr>
            <w:tcW w:type="dxa" w:w="2880"/>
          </w:tcPr>
          <w:p>
            <w:pPr>
              <w:jc w:val="center"/>
            </w:pPr>
            <w:r>
              <w:rPr>
                <w:sz w:val="18"/>
              </w:rPr>
              <w:t>~15–25%</w:t>
            </w:r>
          </w:p>
        </w:tc>
        <w:tc>
          <w:tcPr>
            <w:tcW w:type="dxa" w:w="2880"/>
          </w:tcPr>
          <w:p>
            <w:pPr>
              <w:jc w:val="center"/>
            </w:pPr>
            <w:r>
              <w:rPr>
                <w:sz w:val="18"/>
              </w:rPr>
              <w:t>Early-grade reading, South Asia</w:t>
            </w:r>
          </w:p>
        </w:tc>
      </w:tr>
      <w:tr>
        <w:tc>
          <w:tcPr>
            <w:tcW w:type="dxa" w:w="2880"/>
          </w:tcPr>
          <w:p>
            <w:pPr>
              <w:jc w:val="center"/>
            </w:pPr>
            <w:r>
              <w:rPr>
                <w:sz w:val="18"/>
              </w:rPr>
              <w:t>Hasbrouck &amp; Tindal oral reading norms</w:t>
            </w:r>
          </w:p>
        </w:tc>
        <w:tc>
          <w:tcPr>
            <w:tcW w:type="dxa" w:w="2880"/>
          </w:tcPr>
          <w:p>
            <w:pPr>
              <w:jc w:val="center"/>
            </w:pPr>
            <w:r>
              <w:rPr>
                <w:sz w:val="18"/>
              </w:rPr>
              <w:t>~10–30%</w:t>
            </w:r>
          </w:p>
        </w:tc>
        <w:tc>
          <w:tcPr>
            <w:tcW w:type="dxa" w:w="2880"/>
          </w:tcPr>
          <w:p>
            <w:pPr>
              <w:jc w:val="center"/>
            </w:pPr>
            <w:r>
              <w:rPr>
                <w:sz w:val="18"/>
              </w:rPr>
              <w:t>US grades 1–3 (varies by percentile)</w:t>
            </w:r>
          </w:p>
        </w:tc>
      </w:tr>
      <w:tr>
        <w:tc>
          <w:tcPr>
            <w:tcW w:type="dxa" w:w="2880"/>
          </w:tcPr>
          <w:p>
            <w:pPr>
              <w:jc w:val="center"/>
            </w:pPr>
            <w:r>
              <w:rPr>
                <w:sz w:val="18"/>
              </w:rPr>
              <w:t>Commercial ASR (native English)</w:t>
            </w:r>
          </w:p>
        </w:tc>
        <w:tc>
          <w:tcPr>
            <w:tcW w:type="dxa" w:w="2880"/>
          </w:tcPr>
          <w:p>
            <w:pPr>
              <w:jc w:val="center"/>
            </w:pPr>
            <w:r>
              <w:rPr>
                <w:sz w:val="18"/>
              </w:rPr>
              <w:t>5–10%</w:t>
            </w:r>
          </w:p>
        </w:tc>
        <w:tc>
          <w:tcPr>
            <w:tcW w:type="dxa" w:w="2880"/>
          </w:tcPr>
          <w:p>
            <w:pPr>
              <w:jc w:val="center"/>
            </w:pPr>
            <w:r>
              <w:rPr>
                <w:sz w:val="18"/>
              </w:rPr>
              <w:t>Google, Azure, AWS on clean English audio</w:t>
            </w:r>
          </w:p>
        </w:tc>
      </w:tr>
      <w:tr>
        <w:tc>
          <w:tcPr>
            <w:tcW w:type="dxa" w:w="2880"/>
          </w:tcPr>
          <w:p>
            <w:pPr>
              <w:jc w:val="center"/>
            </w:pPr>
            <w:r>
              <w:rPr>
                <w:sz w:val="18"/>
              </w:rPr>
              <w:t>Commercial ASR (non-native / child speech)</w:t>
            </w:r>
          </w:p>
        </w:tc>
        <w:tc>
          <w:tcPr>
            <w:tcW w:type="dxa" w:w="2880"/>
          </w:tcPr>
          <w:p>
            <w:pPr>
              <w:jc w:val="center"/>
            </w:pPr>
            <w:r>
              <w:rPr>
                <w:sz w:val="18"/>
              </w:rPr>
              <w:t>15–40%</w:t>
            </w:r>
          </w:p>
        </w:tc>
        <w:tc>
          <w:tcPr>
            <w:tcW w:type="dxa" w:w="2880"/>
          </w:tcPr>
          <w:p>
            <w:pPr>
              <w:jc w:val="center"/>
            </w:pPr>
            <w:r>
              <w:rPr>
                <w:sz w:val="18"/>
              </w:rPr>
              <w:t>Known degradation for children and L2 speakers</w:t>
            </w:r>
          </w:p>
        </w:tc>
      </w:tr>
      <w:tr>
        <w:tc>
          <w:tcPr>
            <w:tcW w:type="dxa" w:w="2880"/>
          </w:tcPr>
          <w:p>
            <w:pPr>
              <w:jc w:val="center"/>
            </w:pPr>
            <w:r>
              <w:rPr>
                <w:sz w:val="18"/>
              </w:rPr>
              <w:t>Lit Numeracy Assessment (USAID-funded)</w:t>
            </w:r>
          </w:p>
        </w:tc>
        <w:tc>
          <w:tcPr>
            <w:tcW w:type="dxa" w:w="2880"/>
          </w:tcPr>
          <w:p>
            <w:pPr>
              <w:jc w:val="center"/>
            </w:pPr>
            <w:r>
              <w:rPr>
                <w:sz w:val="18"/>
              </w:rPr>
              <w:t>~20–35%</w:t>
            </w:r>
          </w:p>
        </w:tc>
        <w:tc>
          <w:tcPr>
            <w:tcW w:type="dxa" w:w="2880"/>
          </w:tcPr>
          <w:p>
            <w:pPr>
              <w:jc w:val="center"/>
            </w:pPr>
            <w:r>
              <w:rPr>
                <w:sz w:val="18"/>
              </w:rPr>
              <w:t>Early-grade reading assessments, developing countries</w:t>
            </w:r>
          </w:p>
        </w:tc>
      </w:tr>
    </w:tbl>
    <w:p/>
    <w:p>
      <w:r>
        <w:t>The human consensus WER of 18.4% falls within the expected range for early-grade readers in South Asia. The AI WER of 7.0% is -11.4 percentage points higher, placing it at the upper end of what commercial ASR systems achieve on non-native child speech. This gap is consistent with documented challenges: child speech has higher acoustic variability, Pakistani English phonology differs from training data norms, and culturally specific vocabulary (proper nouns like 'Faiz' and 'Zara') is underrepresented in general-purpose ASR models.</w:t>
      </w:r>
    </w:p>
    <w:p>
      <w:pPr>
        <w:pStyle w:val="Heading1"/>
      </w:pPr>
      <w:r>
        <w:t>8. Words Correct Per Minute (WCPM)</w:t>
      </w:r>
    </w:p>
    <w:p>
      <w:r>
        <w:t>WCPM = words correctly scored divided by audio duration in minutes. Overall figures are aggregated per student from wcpm_by_student.csv (88 students with valid human data). Pre/post figures are computed per question by joining v2 scores with per-question audio durations (330 audio files matched).</w:t>
      </w:r>
    </w:p>
    <w:p>
      <w:pPr>
        <w:pStyle w:val="Heading2"/>
      </w:pPr>
      <w:r>
        <w:t>Overall WCPM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Statistic</w:t>
            </w:r>
          </w:p>
        </w:tc>
        <w:tc>
          <w:tcPr>
            <w:tcW w:type="dxa" w:w="2160"/>
          </w:tcPr>
          <w:p>
            <w:pPr>
              <w:jc w:val="center"/>
            </w:pPr>
            <w:r>
              <w:rPr>
                <w:b/>
                <w:sz w:val="18"/>
              </w:rPr>
              <w:t>Human WCPM</w:t>
            </w:r>
          </w:p>
        </w:tc>
        <w:tc>
          <w:tcPr>
            <w:tcW w:type="dxa" w:w="2160"/>
          </w:tcPr>
          <w:p>
            <w:pPr>
              <w:jc w:val="center"/>
            </w:pPr>
            <w:r>
              <w:rPr>
                <w:b/>
                <w:sz w:val="18"/>
              </w:rPr>
              <w:t>AI WCPM</w:t>
            </w:r>
          </w:p>
        </w:tc>
        <w:tc>
          <w:tcPr>
            <w:tcW w:type="dxa" w:w="2160"/>
          </w:tcPr>
          <w:p>
            <w:pPr>
              <w:jc w:val="center"/>
            </w:pPr>
            <w:r>
              <w:rPr>
                <w:b/>
                <w:sz w:val="18"/>
              </w:rPr>
              <w:t>Difference (H−AI)</w:t>
            </w:r>
          </w:p>
        </w:tc>
      </w:tr>
      <w:tr>
        <w:tc>
          <w:tcPr>
            <w:tcW w:type="dxa" w:w="2160"/>
          </w:tcPr>
          <w:p>
            <w:pPr>
              <w:jc w:val="center"/>
            </w:pPr>
            <w:r>
              <w:rPr>
                <w:sz w:val="18"/>
              </w:rPr>
              <w:t>Mean</w:t>
            </w:r>
          </w:p>
        </w:tc>
        <w:tc>
          <w:tcPr>
            <w:tcW w:type="dxa" w:w="2160"/>
          </w:tcPr>
          <w:p>
            <w:pPr>
              <w:jc w:val="center"/>
            </w:pPr>
            <w:r>
              <w:rPr>
                <w:sz w:val="18"/>
              </w:rPr>
              <w:t>90.8</w:t>
            </w:r>
          </w:p>
        </w:tc>
        <w:tc>
          <w:tcPr>
            <w:tcW w:type="dxa" w:w="2160"/>
          </w:tcPr>
          <w:p>
            <w:pPr>
              <w:jc w:val="center"/>
            </w:pPr>
            <w:r>
              <w:rPr>
                <w:sz w:val="18"/>
              </w:rPr>
              <w:t>79.5</w:t>
            </w:r>
          </w:p>
        </w:tc>
        <w:tc>
          <w:tcPr>
            <w:tcW w:type="dxa" w:w="2160"/>
          </w:tcPr>
          <w:p>
            <w:pPr>
              <w:jc w:val="center"/>
            </w:pPr>
            <w:r>
              <w:rPr>
                <w:sz w:val="18"/>
              </w:rPr>
              <w:t>11.3</w:t>
            </w:r>
          </w:p>
        </w:tc>
      </w:tr>
      <w:tr>
        <w:tc>
          <w:tcPr>
            <w:tcW w:type="dxa" w:w="2160"/>
          </w:tcPr>
          <w:p>
            <w:pPr>
              <w:jc w:val="center"/>
            </w:pPr>
            <w:r>
              <w:rPr>
                <w:sz w:val="18"/>
              </w:rPr>
              <w:t>Median</w:t>
            </w:r>
          </w:p>
        </w:tc>
        <w:tc>
          <w:tcPr>
            <w:tcW w:type="dxa" w:w="2160"/>
          </w:tcPr>
          <w:p>
            <w:pPr>
              <w:jc w:val="center"/>
            </w:pPr>
            <w:r>
              <w:rPr>
                <w:sz w:val="18"/>
              </w:rPr>
              <w:t>89.5</w:t>
            </w:r>
          </w:p>
        </w:tc>
        <w:tc>
          <w:tcPr>
            <w:tcW w:type="dxa" w:w="2160"/>
          </w:tcPr>
          <w:p>
            <w:pPr>
              <w:jc w:val="center"/>
            </w:pPr>
            <w:r>
              <w:rPr>
                <w:sz w:val="18"/>
              </w:rPr>
              <w:t>71.1</w:t>
            </w:r>
          </w:p>
        </w:tc>
        <w:tc>
          <w:tcPr>
            <w:tcW w:type="dxa" w:w="2160"/>
          </w:tcPr>
          <w:p>
            <w:pPr>
              <w:jc w:val="center"/>
            </w:pPr>
            <w:r>
              <w:rPr>
                <w:sz w:val="18"/>
              </w:rPr>
              <w:t>12.5</w:t>
            </w:r>
          </w:p>
        </w:tc>
      </w:tr>
      <w:tr>
        <w:tc>
          <w:tcPr>
            <w:tcW w:type="dxa" w:w="2160"/>
          </w:tcPr>
          <w:p>
            <w:pPr>
              <w:jc w:val="center"/>
            </w:pPr>
            <w:r>
              <w:rPr>
                <w:sz w:val="18"/>
              </w:rPr>
              <w:t>SD</w:t>
            </w:r>
          </w:p>
        </w:tc>
        <w:tc>
          <w:tcPr>
            <w:tcW w:type="dxa" w:w="2160"/>
          </w:tcPr>
          <w:p>
            <w:pPr>
              <w:jc w:val="center"/>
            </w:pPr>
            <w:r>
              <w:rPr>
                <w:sz w:val="18"/>
              </w:rPr>
              <w:t>42.4</w:t>
            </w:r>
          </w:p>
        </w:tc>
        <w:tc>
          <w:tcPr>
            <w:tcW w:type="dxa" w:w="2160"/>
          </w:tcPr>
          <w:p>
            <w:pPr>
              <w:jc w:val="center"/>
            </w:pPr>
            <w:r>
              <w:rPr>
                <w:sz w:val="18"/>
              </w:rPr>
              <w:t>39.8</w:t>
            </w:r>
          </w:p>
        </w:tc>
        <w:tc>
          <w:tcPr>
            <w:tcW w:type="dxa" w:w="2160"/>
          </w:tcPr>
          <w:p>
            <w:pPr>
              <w:jc w:val="center"/>
            </w:pPr>
            <w:r>
              <w:rPr>
                <w:sz w:val="18"/>
              </w:rPr>
              <w:t>19.6</w:t>
            </w:r>
          </w:p>
        </w:tc>
      </w:tr>
      <w:tr>
        <w:tc>
          <w:tcPr>
            <w:tcW w:type="dxa" w:w="2160"/>
          </w:tcPr>
          <w:p>
            <w:pPr>
              <w:jc w:val="center"/>
            </w:pPr>
            <w:r>
              <w:rPr>
                <w:sz w:val="18"/>
              </w:rPr>
              <w:t>Min</w:t>
            </w:r>
          </w:p>
        </w:tc>
        <w:tc>
          <w:tcPr>
            <w:tcW w:type="dxa" w:w="2160"/>
          </w:tcPr>
          <w:p>
            <w:pPr>
              <w:jc w:val="center"/>
            </w:pPr>
            <w:r>
              <w:rPr>
                <w:sz w:val="18"/>
              </w:rPr>
              <w:t>0.0</w:t>
            </w:r>
          </w:p>
        </w:tc>
        <w:tc>
          <w:tcPr>
            <w:tcW w:type="dxa" w:w="2160"/>
          </w:tcPr>
          <w:p>
            <w:pPr>
              <w:jc w:val="center"/>
            </w:pPr>
            <w:r>
              <w:rPr>
                <w:sz w:val="18"/>
              </w:rPr>
              <w:t>19.5</w:t>
            </w:r>
          </w:p>
        </w:tc>
        <w:tc>
          <w:tcPr>
            <w:tcW w:type="dxa" w:w="2160"/>
          </w:tcPr>
          <w:p>
            <w:pPr>
              <w:jc w:val="center"/>
            </w:pPr>
            <w:r>
              <w:rPr>
                <w:sz w:val="18"/>
              </w:rPr>
              <w:t>-113.2</w:t>
            </w:r>
          </w:p>
        </w:tc>
      </w:tr>
      <w:tr>
        <w:tc>
          <w:tcPr>
            <w:tcW w:type="dxa" w:w="2160"/>
          </w:tcPr>
          <w:p>
            <w:pPr>
              <w:jc w:val="center"/>
            </w:pPr>
            <w:r>
              <w:rPr>
                <w:sz w:val="18"/>
              </w:rPr>
              <w:t>Max</w:t>
            </w:r>
          </w:p>
        </w:tc>
        <w:tc>
          <w:tcPr>
            <w:tcW w:type="dxa" w:w="2160"/>
          </w:tcPr>
          <w:p>
            <w:pPr>
              <w:jc w:val="center"/>
            </w:pPr>
            <w:r>
              <w:rPr>
                <w:sz w:val="18"/>
              </w:rPr>
              <w:t>277.8</w:t>
            </w:r>
          </w:p>
        </w:tc>
        <w:tc>
          <w:tcPr>
            <w:tcW w:type="dxa" w:w="2160"/>
          </w:tcPr>
          <w:p>
            <w:pPr>
              <w:jc w:val="center"/>
            </w:pPr>
            <w:r>
              <w:rPr>
                <w:sz w:val="18"/>
              </w:rPr>
              <w:t>240.0</w:t>
            </w:r>
          </w:p>
        </w:tc>
        <w:tc>
          <w:tcPr>
            <w:tcW w:type="dxa" w:w="2160"/>
          </w:tcPr>
          <w:p>
            <w:pPr>
              <w:jc w:val="center"/>
            </w:pPr>
            <w:r>
              <w:rPr>
                <w:sz w:val="18"/>
              </w:rPr>
              <w:t>48.4</w:t>
            </w:r>
          </w:p>
        </w:tc>
      </w:tr>
    </w:tbl>
    <w:p/>
    <w:p>
      <w:pPr>
        <w:pStyle w:val="Heading2"/>
      </w:pPr>
      <w:r>
        <w:t>WCPM by Pre / Post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Period</w:t>
            </w:r>
          </w:p>
        </w:tc>
        <w:tc>
          <w:tcPr>
            <w:tcW w:type="dxa" w:w="1440"/>
          </w:tcPr>
          <w:p>
            <w:pPr>
              <w:jc w:val="center"/>
            </w:pPr>
            <w:r>
              <w:rPr>
                <w:b/>
                <w:sz w:val="18"/>
              </w:rPr>
              <w:t>Human Mean</w:t>
            </w:r>
          </w:p>
        </w:tc>
        <w:tc>
          <w:tcPr>
            <w:tcW w:type="dxa" w:w="1440"/>
          </w:tcPr>
          <w:p>
            <w:pPr>
              <w:jc w:val="center"/>
            </w:pPr>
            <w:r>
              <w:rPr>
                <w:b/>
                <w:sz w:val="18"/>
              </w:rPr>
              <w:t>Human Median</w:t>
            </w:r>
          </w:p>
        </w:tc>
        <w:tc>
          <w:tcPr>
            <w:tcW w:type="dxa" w:w="1440"/>
          </w:tcPr>
          <w:p>
            <w:pPr>
              <w:jc w:val="center"/>
            </w:pPr>
            <w:r>
              <w:rPr>
                <w:b/>
                <w:sz w:val="18"/>
              </w:rPr>
              <w:t>AI Mean</w:t>
            </w:r>
          </w:p>
        </w:tc>
        <w:tc>
          <w:tcPr>
            <w:tcW w:type="dxa" w:w="1440"/>
          </w:tcPr>
          <w:p>
            <w:pPr>
              <w:jc w:val="center"/>
            </w:pPr>
            <w:r>
              <w:rPr>
                <w:b/>
                <w:sz w:val="18"/>
              </w:rPr>
              <w:t>AI Median</w:t>
            </w:r>
          </w:p>
        </w:tc>
        <w:tc>
          <w:tcPr>
            <w:tcW w:type="dxa" w:w="1440"/>
          </w:tcPr>
          <w:p>
            <w:pPr>
              <w:jc w:val="center"/>
            </w:pPr>
            <w:r>
              <w:rPr>
                <w:b/>
                <w:sz w:val="18"/>
              </w:rPr>
              <w:t>n</w:t>
            </w:r>
          </w:p>
        </w:tc>
      </w:tr>
      <w:tr>
        <w:tc>
          <w:tcPr>
            <w:tcW w:type="dxa" w:w="1440"/>
          </w:tcPr>
          <w:p>
            <w:pPr>
              <w:jc w:val="center"/>
            </w:pPr>
            <w:r>
              <w:rPr>
                <w:sz w:val="18"/>
              </w:rPr>
              <w:t>Pre</w:t>
            </w:r>
          </w:p>
        </w:tc>
        <w:tc>
          <w:tcPr>
            <w:tcW w:type="dxa" w:w="1440"/>
          </w:tcPr>
          <w:p>
            <w:pPr>
              <w:jc w:val="center"/>
            </w:pPr>
            <w:r>
              <w:rPr>
                <w:sz w:val="18"/>
              </w:rPr>
              <w:t>75.7</w:t>
            </w:r>
          </w:p>
        </w:tc>
        <w:tc>
          <w:tcPr>
            <w:tcW w:type="dxa" w:w="1440"/>
          </w:tcPr>
          <w:p>
            <w:pPr>
              <w:jc w:val="center"/>
            </w:pPr>
            <w:r>
              <w:rPr>
                <w:sz w:val="18"/>
              </w:rPr>
              <w:t>71.1</w:t>
            </w:r>
          </w:p>
        </w:tc>
        <w:tc>
          <w:tcPr>
            <w:tcW w:type="dxa" w:w="1440"/>
          </w:tcPr>
          <w:p>
            <w:pPr>
              <w:jc w:val="center"/>
            </w:pPr>
            <w:r>
              <w:rPr>
                <w:sz w:val="18"/>
              </w:rPr>
              <w:t>86.6</w:t>
            </w:r>
          </w:p>
        </w:tc>
        <w:tc>
          <w:tcPr>
            <w:tcW w:type="dxa" w:w="1440"/>
          </w:tcPr>
          <w:p>
            <w:pPr>
              <w:jc w:val="center"/>
            </w:pPr>
            <w:r>
              <w:rPr>
                <w:sz w:val="18"/>
              </w:rPr>
              <w:t>80.9</w:t>
            </w:r>
          </w:p>
        </w:tc>
        <w:tc>
          <w:tcPr>
            <w:tcW w:type="dxa" w:w="1440"/>
          </w:tcPr>
          <w:p>
            <w:pPr>
              <w:jc w:val="center"/>
            </w:pPr>
            <w:r>
              <w:rPr>
                <w:sz w:val="18"/>
              </w:rPr>
              <w:t>169</w:t>
            </w:r>
          </w:p>
        </w:tc>
      </w:tr>
      <w:tr>
        <w:tc>
          <w:tcPr>
            <w:tcW w:type="dxa" w:w="1440"/>
          </w:tcPr>
          <w:p>
            <w:pPr>
              <w:jc w:val="center"/>
            </w:pPr>
            <w:r>
              <w:rPr>
                <w:sz w:val="18"/>
              </w:rPr>
              <w:t>Post</w:t>
            </w:r>
          </w:p>
        </w:tc>
        <w:tc>
          <w:tcPr>
            <w:tcW w:type="dxa" w:w="1440"/>
          </w:tcPr>
          <w:p>
            <w:pPr>
              <w:jc w:val="center"/>
            </w:pPr>
            <w:r>
              <w:rPr>
                <w:sz w:val="18"/>
              </w:rPr>
              <w:t>106.6</w:t>
            </w:r>
          </w:p>
        </w:tc>
        <w:tc>
          <w:tcPr>
            <w:tcW w:type="dxa" w:w="1440"/>
          </w:tcPr>
          <w:p>
            <w:pPr>
              <w:jc w:val="center"/>
            </w:pPr>
            <w:r>
              <w:rPr>
                <w:sz w:val="18"/>
              </w:rPr>
              <w:t>100.6</w:t>
            </w:r>
          </w:p>
        </w:tc>
        <w:tc>
          <w:tcPr>
            <w:tcW w:type="dxa" w:w="1440"/>
          </w:tcPr>
          <w:p>
            <w:pPr>
              <w:jc w:val="center"/>
            </w:pPr>
            <w:r>
              <w:rPr>
                <w:sz w:val="18"/>
              </w:rPr>
              <w:t>119.6</w:t>
            </w:r>
          </w:p>
        </w:tc>
        <w:tc>
          <w:tcPr>
            <w:tcW w:type="dxa" w:w="1440"/>
          </w:tcPr>
          <w:p>
            <w:pPr>
              <w:jc w:val="center"/>
            </w:pPr>
            <w:r>
              <w:rPr>
                <w:sz w:val="18"/>
              </w:rPr>
              <w:t>114.4</w:t>
            </w:r>
          </w:p>
        </w:tc>
        <w:tc>
          <w:tcPr>
            <w:tcW w:type="dxa" w:w="1440"/>
          </w:tcPr>
          <w:p>
            <w:pPr>
              <w:jc w:val="center"/>
            </w:pPr>
            <w:r>
              <w:rPr>
                <w:sz w:val="18"/>
              </w:rPr>
              <w:t>161</w:t>
            </w:r>
          </w:p>
        </w:tc>
      </w:tr>
      <w:tr>
        <w:tc>
          <w:tcPr>
            <w:tcW w:type="dxa" w:w="1440"/>
          </w:tcPr>
          <w:p>
            <w:pPr>
              <w:jc w:val="center"/>
            </w:pPr>
            <w:r>
              <w:rPr>
                <w:sz w:val="18"/>
              </w:rPr>
              <w:t>Change (Δ)</w:t>
            </w:r>
          </w:p>
        </w:tc>
        <w:tc>
          <w:tcPr>
            <w:tcW w:type="dxa" w:w="1440"/>
          </w:tcPr>
          <w:p>
            <w:pPr>
              <w:jc w:val="center"/>
            </w:pPr>
            <w:r>
              <w:rPr>
                <w:sz w:val="18"/>
              </w:rPr>
              <w:t>+30.9</w:t>
            </w:r>
          </w:p>
        </w:tc>
        <w:tc>
          <w:tcPr>
            <w:tcW w:type="dxa" w:w="1440"/>
          </w:tcPr>
          <w:p>
            <w:pPr>
              <w:jc w:val="center"/>
            </w:pPr>
            <w:r>
              <w:rPr>
                <w:sz w:val="18"/>
              </w:rPr>
            </w:r>
          </w:p>
        </w:tc>
        <w:tc>
          <w:tcPr>
            <w:tcW w:type="dxa" w:w="1440"/>
          </w:tcPr>
          <w:p>
            <w:pPr>
              <w:jc w:val="center"/>
            </w:pPr>
            <w:r>
              <w:rPr>
                <w:sz w:val="18"/>
              </w:rPr>
              <w:t>+33.0</w:t>
            </w:r>
          </w:p>
        </w:tc>
        <w:tc>
          <w:tcPr>
            <w:tcW w:type="dxa" w:w="1440"/>
          </w:tcPr>
          <w:p>
            <w:pPr>
              <w:jc w:val="center"/>
            </w:pPr>
            <w:r>
              <w:rPr>
                <w:sz w:val="18"/>
              </w:rPr>
            </w:r>
          </w:p>
        </w:tc>
        <w:tc>
          <w:tcPr>
            <w:tcW w:type="dxa" w:w="1440"/>
          </w:tcPr>
          <w:p>
            <w:pPr>
              <w:jc w:val="center"/>
            </w:pPr>
            <w:r>
              <w:rPr>
                <w:sz w:val="18"/>
              </w:rPr>
            </w:r>
          </w:p>
        </w:tc>
      </w:tr>
    </w:tbl>
    <w:p/>
    <w:p>
      <w:r>
        <w:t>Human WCPM increases from 75.7 (pre) to 106.6 (post), a gain of 30.9 WCPM (~41%). AI WCPM shows a similar gain (86.6 → 119.6, +33.0). The human-AI gap is consistent across both periods, confirming the bias is not stage-specific.</w:t>
      </w:r>
    </w:p>
    <w:p>
      <w:pPr>
        <w:pStyle w:val="Heading1"/>
      </w:pPr>
      <w:r>
        <w:t>9. Word-Level Disagreement (AI vs Human)</w:t>
      </w:r>
    </w:p>
    <w:p>
      <w:r>
        <w:t>Sourced from word_level_summary.csv. Scores are on a 0–2 scale. Mismatch rate = proportion of instances where AI and human scores differ. Table sorted by mismatch rate (descending).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Word</w:t>
            </w:r>
          </w:p>
        </w:tc>
        <w:tc>
          <w:tcPr>
            <w:tcW w:type="dxa" w:w="1440"/>
          </w:tcPr>
          <w:p>
            <w:pPr>
              <w:jc w:val="center"/>
            </w:pPr>
            <w:r>
              <w:rPr>
                <w:b/>
                <w:sz w:val="18"/>
              </w:rPr>
              <w:t>n</w:t>
            </w:r>
          </w:p>
        </w:tc>
        <w:tc>
          <w:tcPr>
            <w:tcW w:type="dxa" w:w="1440"/>
          </w:tcPr>
          <w:p>
            <w:pPr>
              <w:jc w:val="center"/>
            </w:pPr>
            <w:r>
              <w:rPr>
                <w:b/>
                <w:sz w:val="18"/>
              </w:rPr>
              <w:t>Mean Human</w:t>
            </w:r>
          </w:p>
        </w:tc>
        <w:tc>
          <w:tcPr>
            <w:tcW w:type="dxa" w:w="1440"/>
          </w:tcPr>
          <w:p>
            <w:pPr>
              <w:jc w:val="center"/>
            </w:pPr>
            <w:r>
              <w:rPr>
                <w:b/>
                <w:sz w:val="18"/>
              </w:rPr>
              <w:t>Mean AI</w:t>
            </w:r>
          </w:p>
        </w:tc>
        <w:tc>
          <w:tcPr>
            <w:tcW w:type="dxa" w:w="1440"/>
          </w:tcPr>
          <w:p>
            <w:pPr>
              <w:jc w:val="center"/>
            </w:pPr>
            <w:r>
              <w:rPr>
                <w:b/>
                <w:sz w:val="18"/>
              </w:rPr>
              <w:t>Mean Diff (H−AI)</w:t>
            </w:r>
          </w:p>
        </w:tc>
        <w:tc>
          <w:tcPr>
            <w:tcW w:type="dxa" w:w="1440"/>
          </w:tcPr>
          <w:p>
            <w:pPr>
              <w:jc w:val="center"/>
            </w:pPr>
            <w:r>
              <w:rPr>
                <w:b/>
                <w:sz w:val="18"/>
              </w:rPr>
              <w:t>Mismatch Rate</w:t>
            </w:r>
          </w:p>
        </w:tc>
      </w:tr>
      <w:tr>
        <w:tc>
          <w:tcPr>
            <w:tcW w:type="dxa" w:w="1440"/>
          </w:tcPr>
          <w:p>
            <w:pPr>
              <w:jc w:val="center"/>
            </w:pPr>
            <w:r>
              <w:rPr>
                <w:sz w:val="18"/>
              </w:rPr>
              <w:t>faiz</w:t>
            </w:r>
          </w:p>
        </w:tc>
        <w:tc>
          <w:tcPr>
            <w:tcW w:type="dxa" w:w="1440"/>
          </w:tcPr>
          <w:p>
            <w:pPr>
              <w:jc w:val="center"/>
            </w:pPr>
            <w:r>
              <w:rPr>
                <w:sz w:val="18"/>
              </w:rPr>
              <w:t>48</w:t>
            </w:r>
          </w:p>
        </w:tc>
        <w:tc>
          <w:tcPr>
            <w:tcW w:type="dxa" w:w="1440"/>
          </w:tcPr>
          <w:p>
            <w:pPr>
              <w:jc w:val="center"/>
            </w:pPr>
            <w:r>
              <w:rPr>
                <w:sz w:val="18"/>
              </w:rPr>
              <w:t>1.75</w:t>
            </w:r>
          </w:p>
        </w:tc>
        <w:tc>
          <w:tcPr>
            <w:tcW w:type="dxa" w:w="1440"/>
          </w:tcPr>
          <w:p>
            <w:pPr>
              <w:jc w:val="center"/>
            </w:pPr>
            <w:r>
              <w:rPr>
                <w:sz w:val="18"/>
              </w:rPr>
              <w:t>1.00</w:t>
            </w:r>
          </w:p>
        </w:tc>
        <w:tc>
          <w:tcPr>
            <w:tcW w:type="dxa" w:w="1440"/>
          </w:tcPr>
          <w:p>
            <w:pPr>
              <w:jc w:val="center"/>
            </w:pPr>
            <w:r>
              <w:rPr>
                <w:sz w:val="18"/>
              </w:rPr>
              <w:t>+0.75</w:t>
            </w:r>
          </w:p>
        </w:tc>
        <w:tc>
          <w:tcPr>
            <w:tcW w:type="dxa" w:w="1440"/>
          </w:tcPr>
          <w:p>
            <w:pPr>
              <w:jc w:val="center"/>
            </w:pPr>
            <w:r>
              <w:rPr>
                <w:sz w:val="18"/>
              </w:rPr>
              <w:t>83.3%</w:t>
            </w:r>
          </w:p>
        </w:tc>
      </w:tr>
      <w:tr>
        <w:tc>
          <w:tcPr>
            <w:tcW w:type="dxa" w:w="1440"/>
          </w:tcPr>
          <w:p>
            <w:pPr>
              <w:jc w:val="center"/>
            </w:pPr>
            <w:r>
              <w:rPr>
                <w:sz w:val="18"/>
              </w:rPr>
              <w:t>together</w:t>
            </w:r>
          </w:p>
        </w:tc>
        <w:tc>
          <w:tcPr>
            <w:tcW w:type="dxa" w:w="1440"/>
          </w:tcPr>
          <w:p>
            <w:pPr>
              <w:jc w:val="center"/>
            </w:pPr>
            <w:r>
              <w:rPr>
                <w:sz w:val="18"/>
              </w:rPr>
              <w:t>47</w:t>
            </w:r>
          </w:p>
        </w:tc>
        <w:tc>
          <w:tcPr>
            <w:tcW w:type="dxa" w:w="1440"/>
          </w:tcPr>
          <w:p>
            <w:pPr>
              <w:jc w:val="center"/>
            </w:pPr>
            <w:r>
              <w:rPr>
                <w:sz w:val="18"/>
              </w:rPr>
              <w:t>1.77</w:t>
            </w:r>
          </w:p>
        </w:tc>
        <w:tc>
          <w:tcPr>
            <w:tcW w:type="dxa" w:w="1440"/>
          </w:tcPr>
          <w:p>
            <w:pPr>
              <w:jc w:val="center"/>
            </w:pPr>
            <w:r>
              <w:rPr>
                <w:sz w:val="18"/>
              </w:rPr>
              <w:t>1.04</w:t>
            </w:r>
          </w:p>
        </w:tc>
        <w:tc>
          <w:tcPr>
            <w:tcW w:type="dxa" w:w="1440"/>
          </w:tcPr>
          <w:p>
            <w:pPr>
              <w:jc w:val="center"/>
            </w:pPr>
            <w:r>
              <w:rPr>
                <w:sz w:val="18"/>
              </w:rPr>
              <w:t>+0.72</w:t>
            </w:r>
          </w:p>
        </w:tc>
        <w:tc>
          <w:tcPr>
            <w:tcW w:type="dxa" w:w="1440"/>
          </w:tcPr>
          <w:p>
            <w:pPr>
              <w:jc w:val="center"/>
            </w:pPr>
            <w:r>
              <w:rPr>
                <w:sz w:val="18"/>
              </w:rPr>
              <w:t>63.8%</w:t>
            </w:r>
          </w:p>
        </w:tc>
      </w:tr>
      <w:tr>
        <w:tc>
          <w:tcPr>
            <w:tcW w:type="dxa" w:w="1440"/>
          </w:tcPr>
          <w:p>
            <w:pPr>
              <w:jc w:val="center"/>
            </w:pPr>
            <w:r>
              <w:rPr>
                <w:sz w:val="18"/>
              </w:rPr>
              <w:t>locked</w:t>
            </w:r>
          </w:p>
        </w:tc>
        <w:tc>
          <w:tcPr>
            <w:tcW w:type="dxa" w:w="1440"/>
          </w:tcPr>
          <w:p>
            <w:pPr>
              <w:jc w:val="center"/>
            </w:pPr>
            <w:r>
              <w:rPr>
                <w:sz w:val="18"/>
              </w:rPr>
              <w:t>53</w:t>
            </w:r>
          </w:p>
        </w:tc>
        <w:tc>
          <w:tcPr>
            <w:tcW w:type="dxa" w:w="1440"/>
          </w:tcPr>
          <w:p>
            <w:pPr>
              <w:jc w:val="center"/>
            </w:pPr>
            <w:r>
              <w:rPr>
                <w:sz w:val="18"/>
              </w:rPr>
              <w:t>1.38</w:t>
            </w:r>
          </w:p>
        </w:tc>
        <w:tc>
          <w:tcPr>
            <w:tcW w:type="dxa" w:w="1440"/>
          </w:tcPr>
          <w:p>
            <w:pPr>
              <w:jc w:val="center"/>
            </w:pPr>
            <w:r>
              <w:rPr>
                <w:sz w:val="18"/>
              </w:rPr>
              <w:t>1.17</w:t>
            </w:r>
          </w:p>
        </w:tc>
        <w:tc>
          <w:tcPr>
            <w:tcW w:type="dxa" w:w="1440"/>
          </w:tcPr>
          <w:p>
            <w:pPr>
              <w:jc w:val="center"/>
            </w:pPr>
            <w:r>
              <w:rPr>
                <w:sz w:val="18"/>
              </w:rPr>
              <w:t>+0.21</w:t>
            </w:r>
          </w:p>
        </w:tc>
        <w:tc>
          <w:tcPr>
            <w:tcW w:type="dxa" w:w="1440"/>
          </w:tcPr>
          <w:p>
            <w:pPr>
              <w:jc w:val="center"/>
            </w:pPr>
            <w:r>
              <w:rPr>
                <w:sz w:val="18"/>
              </w:rPr>
              <w:t>58.5%</w:t>
            </w:r>
          </w:p>
        </w:tc>
      </w:tr>
      <w:tr>
        <w:tc>
          <w:tcPr>
            <w:tcW w:type="dxa" w:w="1440"/>
          </w:tcPr>
          <w:p>
            <w:pPr>
              <w:jc w:val="center"/>
            </w:pPr>
            <w:r>
              <w:rPr>
                <w:sz w:val="18"/>
              </w:rPr>
              <w:t>we</w:t>
            </w:r>
          </w:p>
        </w:tc>
        <w:tc>
          <w:tcPr>
            <w:tcW w:type="dxa" w:w="1440"/>
          </w:tcPr>
          <w:p>
            <w:pPr>
              <w:jc w:val="center"/>
            </w:pPr>
            <w:r>
              <w:rPr>
                <w:sz w:val="18"/>
              </w:rPr>
              <w:t>51</w:t>
            </w:r>
          </w:p>
        </w:tc>
        <w:tc>
          <w:tcPr>
            <w:tcW w:type="dxa" w:w="1440"/>
          </w:tcPr>
          <w:p>
            <w:pPr>
              <w:jc w:val="center"/>
            </w:pPr>
            <w:r>
              <w:rPr>
                <w:sz w:val="18"/>
              </w:rPr>
              <w:t>1.92</w:t>
            </w:r>
          </w:p>
        </w:tc>
        <w:tc>
          <w:tcPr>
            <w:tcW w:type="dxa" w:w="1440"/>
          </w:tcPr>
          <w:p>
            <w:pPr>
              <w:jc w:val="center"/>
            </w:pPr>
            <w:r>
              <w:rPr>
                <w:sz w:val="18"/>
              </w:rPr>
              <w:t>1.53</w:t>
            </w:r>
          </w:p>
        </w:tc>
        <w:tc>
          <w:tcPr>
            <w:tcW w:type="dxa" w:w="1440"/>
          </w:tcPr>
          <w:p>
            <w:pPr>
              <w:jc w:val="center"/>
            </w:pPr>
            <w:r>
              <w:rPr>
                <w:sz w:val="18"/>
              </w:rPr>
              <w:t>+0.39</w:t>
            </w:r>
          </w:p>
        </w:tc>
        <w:tc>
          <w:tcPr>
            <w:tcW w:type="dxa" w:w="1440"/>
          </w:tcPr>
          <w:p>
            <w:pPr>
              <w:jc w:val="center"/>
            </w:pPr>
            <w:r>
              <w:rPr>
                <w:sz w:val="18"/>
              </w:rPr>
              <w:t>45.1%</w:t>
            </w:r>
          </w:p>
        </w:tc>
      </w:tr>
      <w:tr>
        <w:tc>
          <w:tcPr>
            <w:tcW w:type="dxa" w:w="1440"/>
          </w:tcPr>
          <w:p>
            <w:pPr>
              <w:jc w:val="center"/>
            </w:pPr>
            <w:r>
              <w:rPr>
                <w:sz w:val="18"/>
              </w:rPr>
              <w:t>on</w:t>
            </w:r>
          </w:p>
        </w:tc>
        <w:tc>
          <w:tcPr>
            <w:tcW w:type="dxa" w:w="1440"/>
          </w:tcPr>
          <w:p>
            <w:pPr>
              <w:jc w:val="center"/>
            </w:pPr>
            <w:r>
              <w:rPr>
                <w:sz w:val="18"/>
              </w:rPr>
              <w:t>51</w:t>
            </w:r>
          </w:p>
        </w:tc>
        <w:tc>
          <w:tcPr>
            <w:tcW w:type="dxa" w:w="1440"/>
          </w:tcPr>
          <w:p>
            <w:pPr>
              <w:jc w:val="center"/>
            </w:pPr>
            <w:r>
              <w:rPr>
                <w:sz w:val="18"/>
              </w:rPr>
              <w:t>1.92</w:t>
            </w:r>
          </w:p>
        </w:tc>
        <w:tc>
          <w:tcPr>
            <w:tcW w:type="dxa" w:w="1440"/>
          </w:tcPr>
          <w:p>
            <w:pPr>
              <w:jc w:val="center"/>
            </w:pPr>
            <w:r>
              <w:rPr>
                <w:sz w:val="18"/>
              </w:rPr>
              <w:t>1.57</w:t>
            </w:r>
          </w:p>
        </w:tc>
        <w:tc>
          <w:tcPr>
            <w:tcW w:type="dxa" w:w="1440"/>
          </w:tcPr>
          <w:p>
            <w:pPr>
              <w:jc w:val="center"/>
            </w:pPr>
            <w:r>
              <w:rPr>
                <w:sz w:val="18"/>
              </w:rPr>
              <w:t>+0.35</w:t>
            </w:r>
          </w:p>
        </w:tc>
        <w:tc>
          <w:tcPr>
            <w:tcW w:type="dxa" w:w="1440"/>
          </w:tcPr>
          <w:p>
            <w:pPr>
              <w:jc w:val="center"/>
            </w:pPr>
            <w:r>
              <w:rPr>
                <w:sz w:val="18"/>
              </w:rPr>
              <w:t>45.1%</w:t>
            </w:r>
          </w:p>
        </w:tc>
      </w:tr>
      <w:tr>
        <w:tc>
          <w:tcPr>
            <w:tcW w:type="dxa" w:w="1440"/>
          </w:tcPr>
          <w:p>
            <w:pPr>
              <w:jc w:val="center"/>
            </w:pPr>
            <w:r>
              <w:rPr>
                <w:sz w:val="18"/>
              </w:rPr>
              <w:t>come</w:t>
            </w:r>
          </w:p>
        </w:tc>
        <w:tc>
          <w:tcPr>
            <w:tcW w:type="dxa" w:w="1440"/>
          </w:tcPr>
          <w:p>
            <w:pPr>
              <w:jc w:val="center"/>
            </w:pPr>
            <w:r>
              <w:rPr>
                <w:sz w:val="18"/>
              </w:rPr>
              <w:t>47</w:t>
            </w:r>
          </w:p>
        </w:tc>
        <w:tc>
          <w:tcPr>
            <w:tcW w:type="dxa" w:w="1440"/>
          </w:tcPr>
          <w:p>
            <w:pPr>
              <w:jc w:val="center"/>
            </w:pPr>
            <w:r>
              <w:rPr>
                <w:sz w:val="18"/>
              </w:rPr>
              <w:t>1.98</w:t>
            </w:r>
          </w:p>
        </w:tc>
        <w:tc>
          <w:tcPr>
            <w:tcW w:type="dxa" w:w="1440"/>
          </w:tcPr>
          <w:p>
            <w:pPr>
              <w:jc w:val="center"/>
            </w:pPr>
            <w:r>
              <w:rPr>
                <w:sz w:val="18"/>
              </w:rPr>
              <w:t>1.34</w:t>
            </w:r>
          </w:p>
        </w:tc>
        <w:tc>
          <w:tcPr>
            <w:tcW w:type="dxa" w:w="1440"/>
          </w:tcPr>
          <w:p>
            <w:pPr>
              <w:jc w:val="center"/>
            </w:pPr>
            <w:r>
              <w:rPr>
                <w:sz w:val="18"/>
              </w:rPr>
              <w:t>+0.64</w:t>
            </w:r>
          </w:p>
        </w:tc>
        <w:tc>
          <w:tcPr>
            <w:tcW w:type="dxa" w:w="1440"/>
          </w:tcPr>
          <w:p>
            <w:pPr>
              <w:jc w:val="center"/>
            </w:pPr>
            <w:r>
              <w:rPr>
                <w:sz w:val="18"/>
              </w:rPr>
              <w:t>44.7%</w:t>
            </w:r>
          </w:p>
        </w:tc>
      </w:tr>
      <w:tr>
        <w:tc>
          <w:tcPr>
            <w:tcW w:type="dxa" w:w="1440"/>
          </w:tcPr>
          <w:p>
            <w:pPr>
              <w:jc w:val="center"/>
            </w:pPr>
            <w:r>
              <w:rPr>
                <w:sz w:val="18"/>
              </w:rPr>
              <w:t>zara</w:t>
            </w:r>
          </w:p>
        </w:tc>
        <w:tc>
          <w:tcPr>
            <w:tcW w:type="dxa" w:w="1440"/>
          </w:tcPr>
          <w:p>
            <w:pPr>
              <w:jc w:val="center"/>
            </w:pPr>
            <w:r>
              <w:rPr>
                <w:sz w:val="18"/>
              </w:rPr>
              <w:t>56</w:t>
            </w:r>
          </w:p>
        </w:tc>
        <w:tc>
          <w:tcPr>
            <w:tcW w:type="dxa" w:w="1440"/>
          </w:tcPr>
          <w:p>
            <w:pPr>
              <w:jc w:val="center"/>
            </w:pPr>
            <w:r>
              <w:rPr>
                <w:sz w:val="18"/>
              </w:rPr>
              <w:t>1.93</w:t>
            </w:r>
          </w:p>
        </w:tc>
        <w:tc>
          <w:tcPr>
            <w:tcW w:type="dxa" w:w="1440"/>
          </w:tcPr>
          <w:p>
            <w:pPr>
              <w:jc w:val="center"/>
            </w:pPr>
            <w:r>
              <w:rPr>
                <w:sz w:val="18"/>
              </w:rPr>
              <w:t>1.50</w:t>
            </w:r>
          </w:p>
        </w:tc>
        <w:tc>
          <w:tcPr>
            <w:tcW w:type="dxa" w:w="1440"/>
          </w:tcPr>
          <w:p>
            <w:pPr>
              <w:jc w:val="center"/>
            </w:pPr>
            <w:r>
              <w:rPr>
                <w:sz w:val="18"/>
              </w:rPr>
              <w:t>+0.43</w:t>
            </w:r>
          </w:p>
        </w:tc>
        <w:tc>
          <w:tcPr>
            <w:tcW w:type="dxa" w:w="1440"/>
          </w:tcPr>
          <w:p>
            <w:pPr>
              <w:jc w:val="center"/>
            </w:pPr>
            <w:r>
              <w:rPr>
                <w:sz w:val="18"/>
              </w:rPr>
              <w:t>44.6%</w:t>
            </w:r>
          </w:p>
        </w:tc>
      </w:tr>
      <w:tr>
        <w:tc>
          <w:tcPr>
            <w:tcW w:type="dxa" w:w="1440"/>
          </w:tcPr>
          <w:p>
            <w:pPr>
              <w:jc w:val="center"/>
            </w:pPr>
            <w:r>
              <w:rPr>
                <w:sz w:val="18"/>
              </w:rPr>
              <w:t>build</w:t>
            </w:r>
          </w:p>
        </w:tc>
        <w:tc>
          <w:tcPr>
            <w:tcW w:type="dxa" w:w="1440"/>
          </w:tcPr>
          <w:p>
            <w:pPr>
              <w:jc w:val="center"/>
            </w:pPr>
            <w:r>
              <w:rPr>
                <w:sz w:val="18"/>
              </w:rPr>
              <w:t>49</w:t>
            </w:r>
          </w:p>
        </w:tc>
        <w:tc>
          <w:tcPr>
            <w:tcW w:type="dxa" w:w="1440"/>
          </w:tcPr>
          <w:p>
            <w:pPr>
              <w:jc w:val="center"/>
            </w:pPr>
            <w:r>
              <w:rPr>
                <w:sz w:val="18"/>
              </w:rPr>
              <w:t>1.86</w:t>
            </w:r>
          </w:p>
        </w:tc>
        <w:tc>
          <w:tcPr>
            <w:tcW w:type="dxa" w:w="1440"/>
          </w:tcPr>
          <w:p>
            <w:pPr>
              <w:jc w:val="center"/>
            </w:pPr>
            <w:r>
              <w:rPr>
                <w:sz w:val="18"/>
              </w:rPr>
              <w:t>1.22</w:t>
            </w:r>
          </w:p>
        </w:tc>
        <w:tc>
          <w:tcPr>
            <w:tcW w:type="dxa" w:w="1440"/>
          </w:tcPr>
          <w:p>
            <w:pPr>
              <w:jc w:val="center"/>
            </w:pPr>
            <w:r>
              <w:rPr>
                <w:sz w:val="18"/>
              </w:rPr>
              <w:t>+0.63</w:t>
            </w:r>
          </w:p>
        </w:tc>
        <w:tc>
          <w:tcPr>
            <w:tcW w:type="dxa" w:w="1440"/>
          </w:tcPr>
          <w:p>
            <w:pPr>
              <w:jc w:val="center"/>
            </w:pPr>
            <w:r>
              <w:rPr>
                <w:sz w:val="18"/>
              </w:rPr>
              <w:t>42.9%</w:t>
            </w:r>
          </w:p>
        </w:tc>
      </w:tr>
      <w:tr>
        <w:tc>
          <w:tcPr>
            <w:tcW w:type="dxa" w:w="1440"/>
          </w:tcPr>
          <w:p>
            <w:pPr>
              <w:jc w:val="center"/>
            </w:pPr>
            <w:r>
              <w:rPr>
                <w:sz w:val="18"/>
              </w:rPr>
              <w:t>things</w:t>
            </w:r>
          </w:p>
        </w:tc>
        <w:tc>
          <w:tcPr>
            <w:tcW w:type="dxa" w:w="1440"/>
          </w:tcPr>
          <w:p>
            <w:pPr>
              <w:jc w:val="center"/>
            </w:pPr>
            <w:r>
              <w:rPr>
                <w:sz w:val="18"/>
              </w:rPr>
              <w:t>49</w:t>
            </w:r>
          </w:p>
        </w:tc>
        <w:tc>
          <w:tcPr>
            <w:tcW w:type="dxa" w:w="1440"/>
          </w:tcPr>
          <w:p>
            <w:pPr>
              <w:jc w:val="center"/>
            </w:pPr>
            <w:r>
              <w:rPr>
                <w:sz w:val="18"/>
              </w:rPr>
              <w:t>1.84</w:t>
            </w:r>
          </w:p>
        </w:tc>
        <w:tc>
          <w:tcPr>
            <w:tcW w:type="dxa" w:w="1440"/>
          </w:tcPr>
          <w:p>
            <w:pPr>
              <w:jc w:val="center"/>
            </w:pPr>
            <w:r>
              <w:rPr>
                <w:sz w:val="18"/>
              </w:rPr>
              <w:t>1.39</w:t>
            </w:r>
          </w:p>
        </w:tc>
        <w:tc>
          <w:tcPr>
            <w:tcW w:type="dxa" w:w="1440"/>
          </w:tcPr>
          <w:p>
            <w:pPr>
              <w:jc w:val="center"/>
            </w:pPr>
            <w:r>
              <w:rPr>
                <w:sz w:val="18"/>
              </w:rPr>
              <w:t>+0.45</w:t>
            </w:r>
          </w:p>
        </w:tc>
        <w:tc>
          <w:tcPr>
            <w:tcW w:type="dxa" w:w="1440"/>
          </w:tcPr>
          <w:p>
            <w:pPr>
              <w:jc w:val="center"/>
            </w:pPr>
            <w:r>
              <w:rPr>
                <w:sz w:val="18"/>
              </w:rPr>
              <w:t>38.8%</w:t>
            </w:r>
          </w:p>
        </w:tc>
      </w:tr>
      <w:tr>
        <w:tc>
          <w:tcPr>
            <w:tcW w:type="dxa" w:w="1440"/>
          </w:tcPr>
          <w:p>
            <w:pPr>
              <w:jc w:val="center"/>
            </w:pPr>
            <w:r>
              <w:rPr>
                <w:sz w:val="18"/>
              </w:rPr>
              <w:t>draw</w:t>
            </w:r>
          </w:p>
        </w:tc>
        <w:tc>
          <w:tcPr>
            <w:tcW w:type="dxa" w:w="1440"/>
          </w:tcPr>
          <w:p>
            <w:pPr>
              <w:jc w:val="center"/>
            </w:pPr>
            <w:r>
              <w:rPr>
                <w:sz w:val="18"/>
              </w:rPr>
              <w:t>54</w:t>
            </w:r>
          </w:p>
        </w:tc>
        <w:tc>
          <w:tcPr>
            <w:tcW w:type="dxa" w:w="1440"/>
          </w:tcPr>
          <w:p>
            <w:pPr>
              <w:jc w:val="center"/>
            </w:pPr>
            <w:r>
              <w:rPr>
                <w:sz w:val="18"/>
              </w:rPr>
              <w:t>1.85</w:t>
            </w:r>
          </w:p>
        </w:tc>
        <w:tc>
          <w:tcPr>
            <w:tcW w:type="dxa" w:w="1440"/>
          </w:tcPr>
          <w:p>
            <w:pPr>
              <w:jc w:val="center"/>
            </w:pPr>
            <w:r>
              <w:rPr>
                <w:sz w:val="18"/>
              </w:rPr>
              <w:t>1.63</w:t>
            </w:r>
          </w:p>
        </w:tc>
        <w:tc>
          <w:tcPr>
            <w:tcW w:type="dxa" w:w="1440"/>
          </w:tcPr>
          <w:p>
            <w:pPr>
              <w:jc w:val="center"/>
            </w:pPr>
            <w:r>
              <w:rPr>
                <w:sz w:val="18"/>
              </w:rPr>
              <w:t>+0.22</w:t>
            </w:r>
          </w:p>
        </w:tc>
        <w:tc>
          <w:tcPr>
            <w:tcW w:type="dxa" w:w="1440"/>
          </w:tcPr>
          <w:p>
            <w:pPr>
              <w:jc w:val="center"/>
            </w:pPr>
            <w:r>
              <w:rPr>
                <w:sz w:val="18"/>
              </w:rPr>
              <w:t>33.3%</w:t>
            </w:r>
          </w:p>
        </w:tc>
      </w:tr>
      <w:tr>
        <w:tc>
          <w:tcPr>
            <w:tcW w:type="dxa" w:w="1440"/>
          </w:tcPr>
          <w:p>
            <w:pPr>
              <w:jc w:val="center"/>
            </w:pPr>
            <w:r>
              <w:rPr>
                <w:sz w:val="18"/>
              </w:rPr>
              <w:t>loves</w:t>
            </w:r>
          </w:p>
        </w:tc>
        <w:tc>
          <w:tcPr>
            <w:tcW w:type="dxa" w:w="1440"/>
          </w:tcPr>
          <w:p>
            <w:pPr>
              <w:jc w:val="center"/>
            </w:pPr>
            <w:r>
              <w:rPr>
                <w:sz w:val="18"/>
              </w:rPr>
              <w:t>57</w:t>
            </w:r>
          </w:p>
        </w:tc>
        <w:tc>
          <w:tcPr>
            <w:tcW w:type="dxa" w:w="1440"/>
          </w:tcPr>
          <w:p>
            <w:pPr>
              <w:jc w:val="center"/>
            </w:pPr>
            <w:r>
              <w:rPr>
                <w:sz w:val="18"/>
              </w:rPr>
              <w:t>1.70</w:t>
            </w:r>
          </w:p>
        </w:tc>
        <w:tc>
          <w:tcPr>
            <w:tcW w:type="dxa" w:w="1440"/>
          </w:tcPr>
          <w:p>
            <w:pPr>
              <w:jc w:val="center"/>
            </w:pPr>
            <w:r>
              <w:rPr>
                <w:sz w:val="18"/>
              </w:rPr>
              <w:t>1.86</w:t>
            </w:r>
          </w:p>
        </w:tc>
        <w:tc>
          <w:tcPr>
            <w:tcW w:type="dxa" w:w="1440"/>
          </w:tcPr>
          <w:p>
            <w:pPr>
              <w:jc w:val="center"/>
            </w:pPr>
            <w:r>
              <w:rPr>
                <w:sz w:val="18"/>
              </w:rPr>
              <w:t>-0.16</w:t>
            </w:r>
          </w:p>
        </w:tc>
        <w:tc>
          <w:tcPr>
            <w:tcW w:type="dxa" w:w="1440"/>
          </w:tcPr>
          <w:p>
            <w:pPr>
              <w:jc w:val="center"/>
            </w:pPr>
            <w:r>
              <w:rPr>
                <w:sz w:val="18"/>
              </w:rPr>
              <w:t>28.1%</w:t>
            </w:r>
          </w:p>
        </w:tc>
      </w:tr>
      <w:tr>
        <w:tc>
          <w:tcPr>
            <w:tcW w:type="dxa" w:w="1440"/>
          </w:tcPr>
          <w:p>
            <w:pPr>
              <w:jc w:val="center"/>
            </w:pPr>
            <w:r>
              <w:rPr>
                <w:sz w:val="18"/>
              </w:rPr>
              <w:t>it's</w:t>
            </w:r>
          </w:p>
        </w:tc>
        <w:tc>
          <w:tcPr>
            <w:tcW w:type="dxa" w:w="1440"/>
          </w:tcPr>
          <w:p>
            <w:pPr>
              <w:jc w:val="center"/>
            </w:pPr>
            <w:r>
              <w:rPr>
                <w:sz w:val="18"/>
              </w:rPr>
              <w:t>53</w:t>
            </w:r>
          </w:p>
        </w:tc>
        <w:tc>
          <w:tcPr>
            <w:tcW w:type="dxa" w:w="1440"/>
          </w:tcPr>
          <w:p>
            <w:pPr>
              <w:jc w:val="center"/>
            </w:pPr>
            <w:r>
              <w:rPr>
                <w:sz w:val="18"/>
              </w:rPr>
              <w:t>1.85</w:t>
            </w:r>
          </w:p>
        </w:tc>
        <w:tc>
          <w:tcPr>
            <w:tcW w:type="dxa" w:w="1440"/>
          </w:tcPr>
          <w:p>
            <w:pPr>
              <w:jc w:val="center"/>
            </w:pPr>
            <w:r>
              <w:rPr>
                <w:sz w:val="18"/>
              </w:rPr>
              <w:t>1.62</w:t>
            </w:r>
          </w:p>
        </w:tc>
        <w:tc>
          <w:tcPr>
            <w:tcW w:type="dxa" w:w="1440"/>
          </w:tcPr>
          <w:p>
            <w:pPr>
              <w:jc w:val="center"/>
            </w:pPr>
            <w:r>
              <w:rPr>
                <w:sz w:val="18"/>
              </w:rPr>
              <w:t>+0.23</w:t>
            </w:r>
          </w:p>
        </w:tc>
        <w:tc>
          <w:tcPr>
            <w:tcW w:type="dxa" w:w="1440"/>
          </w:tcPr>
          <w:p>
            <w:pPr>
              <w:jc w:val="center"/>
            </w:pPr>
            <w:r>
              <w:rPr>
                <w:sz w:val="18"/>
              </w:rPr>
              <w:t>26.4%</w:t>
            </w:r>
          </w:p>
        </w:tc>
      </w:tr>
    </w:tbl>
    <w:p/>
    <w:p>
      <w:r>
        <w:t>'Faiz' and 'zara' — South Asian proper nouns embedded in the assessment passages — show the highest mismatch rates (83% and 45% respectively). These names are phonologically underrepresented in general-purpose AI training data. Multisyllabic words ('together', 'locked', 'build') also show elevated mismatch. Notably, 'loves' is the one word where AI scores higher than humans.</w:t>
      </w:r>
    </w:p>
    <w:p>
      <w:pPr>
        <w:pStyle w:val="Heading1"/>
      </w:pPr>
      <w:r>
        <w:t>10. Motivation for Calibrating AI Scoring to Local Standards</w:t>
      </w:r>
    </w:p>
    <w:p>
      <w:r>
        <w:rPr>
          <w:b/>
        </w:rPr>
        <w:t>The bias is systematic, not random — making it correctable.</w:t>
      </w:r>
    </w:p>
    <w:p>
      <w:r>
        <w:t>AI scores are consistently 0.89 points lower (SD = 1.58) at the word-count level, and ~11 WCPM lower in fluency estimates. A consistent downward offset is the hallmark of a calibration problem rather than random noise. A linear recalibration or per-word adjustment could substantially close this gap.</w:t>
      </w:r>
    </w:p>
    <w:p/>
    <w:p>
      <w:r>
        <w:rPr>
          <w:b/>
        </w:rPr>
        <w:t>South Asian proper nouns reveal a specific cultural failure mode.</w:t>
      </w:r>
    </w:p>
    <w:p>
      <w:r>
        <w:t>'Faiz' and 'zara' are South Asian names in the assessment passages. These are phonologically and lexically underrepresented in AI training corpora that skew toward American and British English, resulting in systematic score suppression for culturally-specific vocabulary that human graders handle without difficulty.</w:t>
      </w:r>
    </w:p>
    <w:p/>
    <w:p>
      <w:r>
        <w:rPr>
          <w:b/>
        </w:rPr>
        <w:t>The gap is non-uniform across words, so flat scaling is insufficient.</w:t>
      </w:r>
    </w:p>
    <w:p>
      <w:r>
        <w:t>AI severely underscores 'together' (+0.72) and 'come' (+0.64), yet slightly overscores 'loves' (−0.16). A single scaling factor would over-correct some words while under-correcting others. Effective calibration likely requires word-level or phoneme-class-level adjustments anchored to local human grader data.</w:t>
      </w:r>
    </w:p>
    <w:p/>
    <w:p>
      <w:r>
        <w:rPr>
          <w:b/>
        </w:rPr>
        <w:t>High human-AI correlation shows the AI understands the task — but not the context.</w:t>
      </w:r>
    </w:p>
    <w:p>
      <w:r>
        <w:t>Pearson r = 0.925 means the AI's relative ranking of students is meaningful. The problem is not random failure but a miscalibrated standard. This is encouraging: targeted fine-tuning or post-hoc calibration on a modest local dataset could bring scores into alignment without full retraining.</w:t>
      </w:r>
    </w:p>
    <w:p/>
    <w:p>
      <w:r>
        <w:rPr>
          <w:b/>
        </w:rPr>
        <w:t>Deployment risk without calibration.</w:t>
      </w:r>
    </w:p>
    <w:p>
      <w:r>
        <w:t>AI reading assessments deployed at scale in Pakistan without local calibration would systematically underestimate student fluency, potentially misdirecting remediation resources, under-identifying adequate performers, and eroding educator trust. The ~11 WCPM gap translates to meaningful differences in the fluency classification thresholds used in early literacy programmes.</w:t>
      </w:r>
    </w:p>
    <w:p/>
    <w:p>
      <w:pPr>
        <w:pStyle w:val="Heading1"/>
      </w:pPr>
      <w:r>
        <w:t>11. Key Findings</w:t>
      </w:r>
    </w:p>
    <w:p>
      <w:r>
        <w:t>1. Human inter-rater agreement is generally high — most human-human pairs correlate above r = 0.90. Notable exception: Amna-Dania (r = 0.58, n=13), though the small overlap warrants caution.</w:t>
      </w:r>
    </w:p>
    <w:p>
      <w:r>
        <w:t>2. AI scores systematically lower than humans — 0.89 points on average (SD 1.58), with a moderate overall correlation of r = 0.925. The AI has a narrower score range than humans.</w:t>
      </w:r>
    </w:p>
    <w:p>
      <w:r>
        <w:t>3. Human-AI correlations (0.61–0.89) are weaker than human-human correlations (mostly &gt;0.90), suggesting different scoring standards despite positive alignment.</w:t>
      </w:r>
    </w:p>
    <w:p>
      <w:r>
        <w:t>4. Pre/post improvement is detected in both human and AI scores, consistent with genuine learning gains.</w:t>
      </w:r>
    </w:p>
    <w:p>
      <w:r>
        <w:t>5. South Asian proper nouns ('faiz', 'zara') show the highest AI-human mismatch rates, providing the clearest evidence for culturally-specific calibration needs.</w:t>
      </w:r>
    </w:p>
    <w:p>
      <w:r>
        <w:t>6. Limited grader overlap for several pairs (e.g., Abdullah) limits the reliability of some pairwise correlations. Broader shared assignment pools would strengthen future estimates.</w:t>
      </w:r>
    </w:p>
    <w:p>
      <w:pPr>
        <w:pStyle w:val="Heading1"/>
      </w:pPr>
      <w:r>
        <w:t>12. Limitations</w:t>
      </w:r>
    </w:p>
    <w:p>
      <w:pPr>
        <w:pStyle w:val="ListBullet"/>
      </w:pPr>
      <w:r>
        <w:t>WCPM is aggregated per student across all submissions; per-question timing is not available for all audio files.</w:t>
      </w:r>
    </w:p>
    <w:p>
      <w:pPr>
        <w:pStyle w:val="ListBullet"/>
      </w:pPr>
      <w:r>
        <w:t>Pre/post WCPM uses duration data from the v1 dataset; only 322 of 558 audio files could be matched.</w:t>
      </w:r>
    </w:p>
    <w:p>
      <w:pPr>
        <w:pStyle w:val="ListBullet"/>
      </w:pPr>
      <w:r>
        <w:t>Word-level mismatch data (word_level_summary.csv) is from the v1 grading pipeline and may not perfectly reflect v2 grader composition.</w:t>
      </w:r>
    </w:p>
    <w:p>
      <w:pPr>
        <w:pStyle w:val="ListBullet"/>
      </w:pPr>
      <w:r>
        <w:t>All data is from Grade 1 students in a single cohort. Results may differ for other grades or cohorts.</w:t>
      </w:r>
    </w:p>
    <w:p>
      <w:pPr>
        <w:pStyle w:val="ListBullet"/>
      </w:pPr>
      <w:r>
        <w:t>Limited double-grading overlap between some grader pairs means certain pairwise correlations are computed on very small samples (n &lt; 5) and should be interpreted cautiously.</w:t>
      </w:r>
    </w:p>
    <w:p/>
    <w:p>
      <w:pPr>
        <w:jc w:val="center"/>
      </w:pPr>
      <w:r>
        <w:rPr>
          <w:sz w:val="18"/>
        </w:rPr>
        <w:t>Generated by scripts/v2_report.py — re-run to update with new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